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7D93" w14:textId="77777777" w:rsidR="001A3FB3" w:rsidRPr="001A3FB3" w:rsidRDefault="001A3FB3" w:rsidP="001A3FB3">
      <w:pPr>
        <w:ind w:firstLine="0"/>
        <w:rPr>
          <w:b/>
          <w:bCs/>
          <w:color w:val="000000" w:themeColor="text1"/>
          <w:sz w:val="32"/>
          <w:szCs w:val="32"/>
        </w:rPr>
      </w:pPr>
      <w:bookmarkStart w:id="0" w:name="_Toc229371550"/>
    </w:p>
    <w:p w14:paraId="19254761" w14:textId="7B507668" w:rsidR="001A3FB3" w:rsidRPr="001A3FB3" w:rsidRDefault="001A3FB3" w:rsidP="001A3FB3">
      <w:pPr>
        <w:ind w:firstLine="0"/>
        <w:jc w:val="center"/>
        <w:rPr>
          <w:b/>
          <w:bCs/>
          <w:color w:val="000000" w:themeColor="text1"/>
          <w:sz w:val="32"/>
          <w:szCs w:val="32"/>
        </w:rPr>
      </w:pPr>
      <w:r w:rsidRPr="001A3FB3">
        <w:rPr>
          <w:b/>
          <w:bCs/>
          <w:color w:val="000000" w:themeColor="text1"/>
          <w:sz w:val="32"/>
          <w:szCs w:val="32"/>
        </w:rPr>
        <w:t>State ESG Legislation and Financial Judgment</w:t>
      </w:r>
      <w:bookmarkEnd w:id="0"/>
    </w:p>
    <w:p w14:paraId="46301E44" w14:textId="77777777" w:rsidR="001A3FB3" w:rsidRPr="001A3FB3" w:rsidRDefault="001A3FB3" w:rsidP="001A3FB3">
      <w:pPr>
        <w:spacing w:line="360" w:lineRule="auto"/>
        <w:ind w:left="720" w:firstLine="0"/>
        <w:jc w:val="center"/>
        <w:rPr>
          <w:color w:val="000000" w:themeColor="text1"/>
          <w:sz w:val="28"/>
          <w:szCs w:val="28"/>
        </w:rPr>
      </w:pPr>
      <w:bookmarkStart w:id="1" w:name="_Toc229371551"/>
      <w:r w:rsidRPr="001A3FB3">
        <w:rPr>
          <w:color w:val="000000" w:themeColor="text1"/>
          <w:sz w:val="28"/>
          <w:szCs w:val="28"/>
        </w:rPr>
        <w:t>The Anti-ESG Wave and State Control over Analysis, Association, and Market Conduct</w:t>
      </w:r>
      <w:bookmarkEnd w:id="1"/>
      <w:r w:rsidRPr="001A3FB3">
        <w:rPr>
          <w:color w:val="000000" w:themeColor="text1"/>
          <w:sz w:val="28"/>
          <w:szCs w:val="28"/>
        </w:rPr>
        <w:t>: A Doctrinal and Empirical Account</w:t>
      </w:r>
    </w:p>
    <w:p w14:paraId="3F06023A" w14:textId="77777777" w:rsidR="001A3FB3" w:rsidRDefault="001A3FB3" w:rsidP="001A3FB3">
      <w:pPr>
        <w:pStyle w:val="Author"/>
        <w:rPr>
          <w:b w:val="0"/>
          <w:bCs/>
          <w:color w:val="000000" w:themeColor="text1"/>
        </w:rPr>
      </w:pPr>
    </w:p>
    <w:p w14:paraId="38D19146" w14:textId="77777777" w:rsidR="00ED6732" w:rsidRDefault="00ED6732" w:rsidP="00ED6732">
      <w:pPr>
        <w:pStyle w:val="Author"/>
        <w:rPr>
          <w:b w:val="0"/>
          <w:bCs/>
          <w:color w:val="000000" w:themeColor="text1"/>
        </w:rPr>
      </w:pPr>
    </w:p>
    <w:p w14:paraId="0BB3A736" w14:textId="64FF7FAA" w:rsidR="001A3FB3" w:rsidRPr="001A3FB3" w:rsidRDefault="001A3FB3" w:rsidP="00ED6732">
      <w:pPr>
        <w:pStyle w:val="Author"/>
        <w:rPr>
          <w:b w:val="0"/>
          <w:bCs/>
          <w:color w:val="000000" w:themeColor="text1"/>
        </w:rPr>
      </w:pPr>
      <w:r w:rsidRPr="001A3FB3">
        <w:rPr>
          <w:b w:val="0"/>
          <w:bCs/>
          <w:color w:val="000000" w:themeColor="text1"/>
        </w:rPr>
        <w:t xml:space="preserve">By </w:t>
      </w:r>
      <w:r w:rsidRPr="001A3FB3">
        <w:rPr>
          <w:rFonts w:hint="cs"/>
          <w:b w:val="0"/>
          <w:bCs/>
          <w:color w:val="000000" w:themeColor="text1"/>
        </w:rPr>
        <w:t>Omar Motala</w:t>
      </w:r>
    </w:p>
    <w:p w14:paraId="0622762C" w14:textId="121EFC3E" w:rsidR="001A3FB3" w:rsidRDefault="001A3FB3" w:rsidP="001A3FB3">
      <w:pPr>
        <w:pStyle w:val="BodyText"/>
        <w:rPr>
          <w:color w:val="000000" w:themeColor="text1"/>
        </w:rPr>
      </w:pPr>
    </w:p>
    <w:p w14:paraId="2E7134E2" w14:textId="77777777" w:rsidR="001A3FB3" w:rsidRPr="001A3FB3" w:rsidRDefault="001A3FB3" w:rsidP="001A3FB3">
      <w:pPr>
        <w:pStyle w:val="BodyText"/>
        <w:rPr>
          <w:color w:val="000000" w:themeColor="text1"/>
        </w:rPr>
      </w:pPr>
    </w:p>
    <w:p w14:paraId="5A309A45" w14:textId="77777777" w:rsidR="001A3FB3" w:rsidRPr="001A3FB3" w:rsidRDefault="001A3FB3" w:rsidP="001A3FB3">
      <w:pPr>
        <w:pStyle w:val="Author"/>
        <w:rPr>
          <w:color w:val="000000" w:themeColor="text1"/>
        </w:rPr>
      </w:pPr>
      <w:r w:rsidRPr="001A3FB3">
        <w:rPr>
          <w:rFonts w:hint="cs"/>
          <w:noProof/>
          <w:color w:val="000000" w:themeColor="text1"/>
        </w:rPr>
        <w:drawing>
          <wp:inline distT="0" distB="0" distL="0" distR="0" wp14:anchorId="6CDF200F" wp14:editId="46DDC906">
            <wp:extent cx="1496575" cy="1737530"/>
            <wp:effectExtent l="0" t="0" r="0" b="0"/>
            <wp:docPr id="208324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41284" name="Picture 20832412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6575" cy="1737530"/>
                    </a:xfrm>
                    <a:prstGeom prst="rect">
                      <a:avLst/>
                    </a:prstGeom>
                  </pic:spPr>
                </pic:pic>
              </a:graphicData>
            </a:graphic>
          </wp:inline>
        </w:drawing>
      </w:r>
    </w:p>
    <w:p w14:paraId="159B37AA" w14:textId="77777777" w:rsidR="001A3FB3" w:rsidRPr="001A3FB3" w:rsidRDefault="001A3FB3" w:rsidP="001A3FB3">
      <w:pPr>
        <w:pStyle w:val="Date"/>
        <w:rPr>
          <w:b w:val="0"/>
          <w:bCs/>
          <w:color w:val="000000" w:themeColor="text1"/>
        </w:rPr>
      </w:pPr>
    </w:p>
    <w:p w14:paraId="36FF7B9C" w14:textId="77777777" w:rsidR="001A3FB3" w:rsidRDefault="001A3FB3" w:rsidP="001A3FB3">
      <w:pPr>
        <w:pStyle w:val="BodyText"/>
        <w:rPr>
          <w:color w:val="000000" w:themeColor="text1"/>
        </w:rPr>
      </w:pPr>
    </w:p>
    <w:p w14:paraId="2775B4B2" w14:textId="77777777" w:rsidR="001A3FB3" w:rsidRPr="001A3FB3" w:rsidRDefault="001A3FB3" w:rsidP="001A3FB3">
      <w:pPr>
        <w:pStyle w:val="BodyText"/>
        <w:rPr>
          <w:color w:val="000000" w:themeColor="text1"/>
        </w:rPr>
      </w:pPr>
    </w:p>
    <w:p w14:paraId="3AB0D0BF" w14:textId="77777777" w:rsidR="001A3FB3" w:rsidRPr="001A3FB3" w:rsidRDefault="001A3FB3" w:rsidP="001A3FB3">
      <w:pPr>
        <w:pStyle w:val="Date"/>
        <w:rPr>
          <w:b w:val="0"/>
          <w:bCs/>
          <w:color w:val="000000" w:themeColor="text1"/>
        </w:rPr>
      </w:pPr>
      <w:r w:rsidRPr="001A3FB3">
        <w:rPr>
          <w:rFonts w:hint="cs"/>
          <w:b w:val="0"/>
          <w:bCs/>
          <w:color w:val="000000" w:themeColor="text1"/>
        </w:rPr>
        <w:t>Professor Roberto Tallarita</w:t>
      </w:r>
    </w:p>
    <w:p w14:paraId="2C44F24D" w14:textId="77777777" w:rsidR="001A3FB3" w:rsidRPr="001A3FB3" w:rsidRDefault="001A3FB3" w:rsidP="001A3FB3">
      <w:pPr>
        <w:pStyle w:val="BodyText"/>
        <w:ind w:firstLine="0"/>
        <w:jc w:val="center"/>
        <w:rPr>
          <w:color w:val="000000" w:themeColor="text1"/>
        </w:rPr>
      </w:pPr>
      <w:r w:rsidRPr="001A3FB3">
        <w:rPr>
          <w:rFonts w:hint="cs"/>
          <w:color w:val="000000" w:themeColor="text1"/>
        </w:rPr>
        <w:t>Spring 2026</w:t>
      </w:r>
    </w:p>
    <w:p w14:paraId="6F828838" w14:textId="77777777" w:rsidR="001A3FB3" w:rsidRDefault="001A3FB3" w:rsidP="001A3FB3">
      <w:pPr>
        <w:pStyle w:val="BodyText"/>
        <w:ind w:firstLine="0"/>
        <w:rPr>
          <w:color w:val="000000" w:themeColor="text1"/>
        </w:rPr>
      </w:pPr>
    </w:p>
    <w:p w14:paraId="704186EC" w14:textId="77777777" w:rsidR="00BB1F3B" w:rsidRDefault="00BB1F3B" w:rsidP="001A3FB3">
      <w:pPr>
        <w:pStyle w:val="BodyText"/>
        <w:ind w:firstLine="0"/>
        <w:rPr>
          <w:color w:val="000000" w:themeColor="text1"/>
        </w:rPr>
      </w:pPr>
    </w:p>
    <w:p w14:paraId="3CBC6AB6" w14:textId="77777777" w:rsidR="001A3FB3" w:rsidRDefault="001A3FB3" w:rsidP="001A3FB3">
      <w:pPr>
        <w:pStyle w:val="BodyText"/>
        <w:ind w:firstLine="0"/>
        <w:rPr>
          <w:color w:val="000000" w:themeColor="text1"/>
        </w:rPr>
      </w:pPr>
    </w:p>
    <w:p w14:paraId="7CFB51CC" w14:textId="77777777" w:rsidR="002556C3" w:rsidRPr="001A3FB3" w:rsidRDefault="002556C3" w:rsidP="001A3FB3">
      <w:pPr>
        <w:pStyle w:val="BodyText"/>
        <w:ind w:firstLine="0"/>
        <w:rPr>
          <w:color w:val="000000" w:themeColor="text1"/>
        </w:rPr>
      </w:pPr>
    </w:p>
    <w:sdt>
      <w:sdtPr>
        <w:rPr>
          <w:rFonts w:cs="Times New Roman"/>
        </w:rPr>
        <w:id w:val="-1558080855"/>
        <w:docPartObj>
          <w:docPartGallery w:val="Table of Contents"/>
          <w:docPartUnique/>
        </w:docPartObj>
      </w:sdtPr>
      <w:sdtContent>
        <w:p w14:paraId="7DB0AFD8" w14:textId="77777777" w:rsidR="001A3FB3" w:rsidRPr="002556C3" w:rsidRDefault="001A3FB3" w:rsidP="002556C3">
          <w:pPr>
            <w:pStyle w:val="TOCHeading"/>
            <w:spacing w:line="276" w:lineRule="auto"/>
            <w:jc w:val="center"/>
            <w:rPr>
              <w:b/>
              <w:bCs/>
            </w:rPr>
          </w:pPr>
          <w:r w:rsidRPr="002556C3">
            <w:rPr>
              <w:b/>
              <w:bCs/>
            </w:rPr>
            <w:t>Table of Contents</w:t>
          </w:r>
        </w:p>
        <w:p w14:paraId="7E56FA0F" w14:textId="77777777" w:rsidR="001A3FB3" w:rsidRPr="001A3FB3" w:rsidRDefault="001A3FB3" w:rsidP="002556C3">
          <w:pPr>
            <w:pStyle w:val="TOC1"/>
            <w:tabs>
              <w:tab w:val="right" w:leader="dot" w:pos="9350"/>
            </w:tabs>
            <w:spacing w:line="276" w:lineRule="auto"/>
            <w:rPr>
              <w:color w:val="000000" w:themeColor="text1"/>
            </w:rPr>
          </w:pPr>
        </w:p>
        <w:p w14:paraId="6BC17767" w14:textId="6C9A94CC" w:rsidR="002556C3" w:rsidRDefault="001A3FB3" w:rsidP="002556C3">
          <w:pPr>
            <w:pStyle w:val="TOC1"/>
            <w:tabs>
              <w:tab w:val="right" w:leader="dot" w:pos="9350"/>
            </w:tabs>
            <w:spacing w:line="276" w:lineRule="auto"/>
            <w:rPr>
              <w:rFonts w:asciiTheme="minorHAnsi" w:eastAsiaTheme="minorEastAsia" w:hAnsiTheme="minorHAnsi" w:cstheme="minorBidi"/>
              <w:noProof/>
              <w:kern w:val="2"/>
              <w:lang w:eastAsia="en-US"/>
              <w14:ligatures w14:val="standardContextual"/>
            </w:rPr>
          </w:pPr>
          <w:r w:rsidRPr="001A3FB3">
            <w:rPr>
              <w:color w:val="000000" w:themeColor="text1"/>
            </w:rPr>
            <w:fldChar w:fldCharType="begin"/>
          </w:r>
          <w:r w:rsidRPr="001A3FB3">
            <w:rPr>
              <w:color w:val="000000" w:themeColor="text1"/>
            </w:rPr>
            <w:instrText xml:space="preserve"> TOC \o "1-3" \h \z \u </w:instrText>
          </w:r>
          <w:r w:rsidRPr="001A3FB3">
            <w:rPr>
              <w:color w:val="000000" w:themeColor="text1"/>
            </w:rPr>
            <w:fldChar w:fldCharType="separate"/>
          </w:r>
          <w:hyperlink w:anchor="_Toc229502252" w:history="1">
            <w:r w:rsidR="002556C3" w:rsidRPr="001D7EBF">
              <w:rPr>
                <w:rStyle w:val="Hyperlink"/>
                <w:noProof/>
              </w:rPr>
              <w:t>ABSTRACT</w:t>
            </w:r>
            <w:r w:rsidR="002556C3">
              <w:rPr>
                <w:noProof/>
                <w:webHidden/>
              </w:rPr>
              <w:tab/>
            </w:r>
            <w:r w:rsidR="002556C3">
              <w:rPr>
                <w:noProof/>
                <w:webHidden/>
              </w:rPr>
              <w:fldChar w:fldCharType="begin"/>
            </w:r>
            <w:r w:rsidR="002556C3">
              <w:rPr>
                <w:noProof/>
                <w:webHidden/>
              </w:rPr>
              <w:instrText xml:space="preserve"> PAGEREF _Toc229502252 \h </w:instrText>
            </w:r>
            <w:r w:rsidR="002556C3">
              <w:rPr>
                <w:noProof/>
                <w:webHidden/>
              </w:rPr>
            </w:r>
            <w:r w:rsidR="002556C3">
              <w:rPr>
                <w:noProof/>
                <w:webHidden/>
              </w:rPr>
              <w:fldChar w:fldCharType="separate"/>
            </w:r>
            <w:r w:rsidR="002556C3">
              <w:rPr>
                <w:noProof/>
                <w:webHidden/>
              </w:rPr>
              <w:t>5</w:t>
            </w:r>
            <w:r w:rsidR="002556C3">
              <w:rPr>
                <w:noProof/>
                <w:webHidden/>
              </w:rPr>
              <w:fldChar w:fldCharType="end"/>
            </w:r>
          </w:hyperlink>
        </w:p>
        <w:p w14:paraId="780E9A0F" w14:textId="3EA05640" w:rsidR="002556C3" w:rsidRDefault="002556C3" w:rsidP="002556C3">
          <w:pPr>
            <w:pStyle w:val="TOC1"/>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53" w:history="1">
            <w:r w:rsidRPr="001D7EBF">
              <w:rPr>
                <w:rStyle w:val="Hyperlink"/>
                <w:noProof/>
              </w:rPr>
              <w:t>INTRODUCTION</w:t>
            </w:r>
            <w:r>
              <w:rPr>
                <w:noProof/>
                <w:webHidden/>
              </w:rPr>
              <w:tab/>
            </w:r>
            <w:r>
              <w:rPr>
                <w:noProof/>
                <w:webHidden/>
              </w:rPr>
              <w:fldChar w:fldCharType="begin"/>
            </w:r>
            <w:r>
              <w:rPr>
                <w:noProof/>
                <w:webHidden/>
              </w:rPr>
              <w:instrText xml:space="preserve"> PAGEREF _Toc229502253 \h </w:instrText>
            </w:r>
            <w:r>
              <w:rPr>
                <w:noProof/>
                <w:webHidden/>
              </w:rPr>
            </w:r>
            <w:r>
              <w:rPr>
                <w:noProof/>
                <w:webHidden/>
              </w:rPr>
              <w:fldChar w:fldCharType="separate"/>
            </w:r>
            <w:r>
              <w:rPr>
                <w:noProof/>
                <w:webHidden/>
              </w:rPr>
              <w:t>6</w:t>
            </w:r>
            <w:r>
              <w:rPr>
                <w:noProof/>
                <w:webHidden/>
              </w:rPr>
              <w:fldChar w:fldCharType="end"/>
            </w:r>
          </w:hyperlink>
        </w:p>
        <w:p w14:paraId="63392403" w14:textId="7953E589" w:rsidR="002556C3" w:rsidRDefault="002556C3" w:rsidP="002556C3">
          <w:pPr>
            <w:pStyle w:val="TOC1"/>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54" w:history="1">
            <w:r w:rsidRPr="001D7EBF">
              <w:rPr>
                <w:rStyle w:val="Hyperlink"/>
                <w:noProof/>
              </w:rPr>
              <w:t>PART I—WHAT THE ANTI-ESG WAVE TARGETS</w:t>
            </w:r>
            <w:r>
              <w:rPr>
                <w:noProof/>
                <w:webHidden/>
              </w:rPr>
              <w:tab/>
            </w:r>
            <w:r>
              <w:rPr>
                <w:noProof/>
                <w:webHidden/>
              </w:rPr>
              <w:fldChar w:fldCharType="begin"/>
            </w:r>
            <w:r>
              <w:rPr>
                <w:noProof/>
                <w:webHidden/>
              </w:rPr>
              <w:instrText xml:space="preserve"> PAGEREF _Toc229502254 \h </w:instrText>
            </w:r>
            <w:r>
              <w:rPr>
                <w:noProof/>
                <w:webHidden/>
              </w:rPr>
            </w:r>
            <w:r>
              <w:rPr>
                <w:noProof/>
                <w:webHidden/>
              </w:rPr>
              <w:fldChar w:fldCharType="separate"/>
            </w:r>
            <w:r>
              <w:rPr>
                <w:noProof/>
                <w:webHidden/>
              </w:rPr>
              <w:t>10</w:t>
            </w:r>
            <w:r>
              <w:rPr>
                <w:noProof/>
                <w:webHidden/>
              </w:rPr>
              <w:fldChar w:fldCharType="end"/>
            </w:r>
          </w:hyperlink>
        </w:p>
        <w:p w14:paraId="22277CF4" w14:textId="7DB90171"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55" w:history="1">
            <w:r w:rsidRPr="001D7EBF">
              <w:rPr>
                <w:rStyle w:val="Hyperlink"/>
                <w:noProof/>
              </w:rPr>
              <w:t>§I.A Unbundling ESG: Climate, Sidecars, and the Three Registers</w:t>
            </w:r>
            <w:r>
              <w:rPr>
                <w:noProof/>
                <w:webHidden/>
              </w:rPr>
              <w:tab/>
            </w:r>
            <w:r>
              <w:rPr>
                <w:noProof/>
                <w:webHidden/>
              </w:rPr>
              <w:fldChar w:fldCharType="begin"/>
            </w:r>
            <w:r>
              <w:rPr>
                <w:noProof/>
                <w:webHidden/>
              </w:rPr>
              <w:instrText xml:space="preserve"> PAGEREF _Toc229502255 \h </w:instrText>
            </w:r>
            <w:r>
              <w:rPr>
                <w:noProof/>
                <w:webHidden/>
              </w:rPr>
            </w:r>
            <w:r>
              <w:rPr>
                <w:noProof/>
                <w:webHidden/>
              </w:rPr>
              <w:fldChar w:fldCharType="separate"/>
            </w:r>
            <w:r>
              <w:rPr>
                <w:noProof/>
                <w:webHidden/>
              </w:rPr>
              <w:t>10</w:t>
            </w:r>
            <w:r>
              <w:rPr>
                <w:noProof/>
                <w:webHidden/>
              </w:rPr>
              <w:fldChar w:fldCharType="end"/>
            </w:r>
          </w:hyperlink>
        </w:p>
        <w:p w14:paraId="5FF16BC3" w14:textId="72803EFF"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56" w:history="1">
            <w:r w:rsidRPr="001D7EBF">
              <w:rPr>
                <w:rStyle w:val="Hyperlink"/>
                <w:noProof/>
              </w:rPr>
              <w:t>§I.B Financial Materiality and the Pecuniary Continuum</w:t>
            </w:r>
            <w:r>
              <w:rPr>
                <w:noProof/>
                <w:webHidden/>
              </w:rPr>
              <w:tab/>
            </w:r>
            <w:r>
              <w:rPr>
                <w:noProof/>
                <w:webHidden/>
              </w:rPr>
              <w:fldChar w:fldCharType="begin"/>
            </w:r>
            <w:r>
              <w:rPr>
                <w:noProof/>
                <w:webHidden/>
              </w:rPr>
              <w:instrText xml:space="preserve"> PAGEREF _Toc229502256 \h </w:instrText>
            </w:r>
            <w:r>
              <w:rPr>
                <w:noProof/>
                <w:webHidden/>
              </w:rPr>
            </w:r>
            <w:r>
              <w:rPr>
                <w:noProof/>
                <w:webHidden/>
              </w:rPr>
              <w:fldChar w:fldCharType="separate"/>
            </w:r>
            <w:r>
              <w:rPr>
                <w:noProof/>
                <w:webHidden/>
              </w:rPr>
              <w:t>13</w:t>
            </w:r>
            <w:r>
              <w:rPr>
                <w:noProof/>
                <w:webHidden/>
              </w:rPr>
              <w:fldChar w:fldCharType="end"/>
            </w:r>
          </w:hyperlink>
        </w:p>
        <w:p w14:paraId="4BC010D9" w14:textId="6C034421"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57" w:history="1">
            <w:r w:rsidRPr="001D7EBF">
              <w:rPr>
                <w:rStyle w:val="Hyperlink"/>
                <w:noProof/>
              </w:rPr>
              <w:t>§I.C Corpus and Denominator Method</w:t>
            </w:r>
            <w:r>
              <w:rPr>
                <w:noProof/>
                <w:webHidden/>
              </w:rPr>
              <w:tab/>
            </w:r>
            <w:r>
              <w:rPr>
                <w:noProof/>
                <w:webHidden/>
              </w:rPr>
              <w:fldChar w:fldCharType="begin"/>
            </w:r>
            <w:r>
              <w:rPr>
                <w:noProof/>
                <w:webHidden/>
              </w:rPr>
              <w:instrText xml:space="preserve"> PAGEREF _Toc229502257 \h </w:instrText>
            </w:r>
            <w:r>
              <w:rPr>
                <w:noProof/>
                <w:webHidden/>
              </w:rPr>
            </w:r>
            <w:r>
              <w:rPr>
                <w:noProof/>
                <w:webHidden/>
              </w:rPr>
              <w:fldChar w:fldCharType="separate"/>
            </w:r>
            <w:r>
              <w:rPr>
                <w:noProof/>
                <w:webHidden/>
              </w:rPr>
              <w:t>18</w:t>
            </w:r>
            <w:r>
              <w:rPr>
                <w:noProof/>
                <w:webHidden/>
              </w:rPr>
              <w:fldChar w:fldCharType="end"/>
            </w:r>
          </w:hyperlink>
        </w:p>
        <w:p w14:paraId="22533C16" w14:textId="0DC81D4C"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58" w:history="1">
            <w:r w:rsidRPr="001D7EBF">
              <w:rPr>
                <w:rStyle w:val="Hyperlink"/>
                <w:noProof/>
              </w:rPr>
              <w:t>§I.D Implementation Methods and Sidecar Controls</w:t>
            </w:r>
            <w:r>
              <w:rPr>
                <w:noProof/>
                <w:webHidden/>
              </w:rPr>
              <w:tab/>
            </w:r>
            <w:r>
              <w:rPr>
                <w:noProof/>
                <w:webHidden/>
              </w:rPr>
              <w:fldChar w:fldCharType="begin"/>
            </w:r>
            <w:r>
              <w:rPr>
                <w:noProof/>
                <w:webHidden/>
              </w:rPr>
              <w:instrText xml:space="preserve"> PAGEREF _Toc229502258 \h </w:instrText>
            </w:r>
            <w:r>
              <w:rPr>
                <w:noProof/>
                <w:webHidden/>
              </w:rPr>
            </w:r>
            <w:r>
              <w:rPr>
                <w:noProof/>
                <w:webHidden/>
              </w:rPr>
              <w:fldChar w:fldCharType="separate"/>
            </w:r>
            <w:r>
              <w:rPr>
                <w:noProof/>
                <w:webHidden/>
              </w:rPr>
              <w:t>20</w:t>
            </w:r>
            <w:r>
              <w:rPr>
                <w:noProof/>
                <w:webHidden/>
              </w:rPr>
              <w:fldChar w:fldCharType="end"/>
            </w:r>
          </w:hyperlink>
        </w:p>
        <w:p w14:paraId="6E34D701" w14:textId="37BCA96F"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59" w:history="1">
            <w:r w:rsidRPr="001D7EBF">
              <w:rPr>
                <w:rStyle w:val="Hyperlink"/>
                <w:noProof/>
              </w:rPr>
              <w:t>Footnote Bank for Part I</w:t>
            </w:r>
            <w:r>
              <w:rPr>
                <w:noProof/>
                <w:webHidden/>
              </w:rPr>
              <w:tab/>
            </w:r>
            <w:r>
              <w:rPr>
                <w:noProof/>
                <w:webHidden/>
              </w:rPr>
              <w:fldChar w:fldCharType="begin"/>
            </w:r>
            <w:r>
              <w:rPr>
                <w:noProof/>
                <w:webHidden/>
              </w:rPr>
              <w:instrText xml:space="preserve"> PAGEREF _Toc229502259 \h </w:instrText>
            </w:r>
            <w:r>
              <w:rPr>
                <w:noProof/>
                <w:webHidden/>
              </w:rPr>
            </w:r>
            <w:r>
              <w:rPr>
                <w:noProof/>
                <w:webHidden/>
              </w:rPr>
              <w:fldChar w:fldCharType="separate"/>
            </w:r>
            <w:r>
              <w:rPr>
                <w:noProof/>
                <w:webHidden/>
              </w:rPr>
              <w:t>23</w:t>
            </w:r>
            <w:r>
              <w:rPr>
                <w:noProof/>
                <w:webHidden/>
              </w:rPr>
              <w:fldChar w:fldCharType="end"/>
            </w:r>
          </w:hyperlink>
        </w:p>
        <w:p w14:paraId="7C293859" w14:textId="76BB0993" w:rsidR="002556C3" w:rsidRDefault="002556C3" w:rsidP="002556C3">
          <w:pPr>
            <w:pStyle w:val="TOC1"/>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0" w:history="1">
            <w:r w:rsidRPr="001D7EBF">
              <w:rPr>
                <w:rStyle w:val="Hyperlink"/>
                <w:noProof/>
              </w:rPr>
              <w:t>PART II—THE ANTI-ESG STATE TOOLKIT</w:t>
            </w:r>
            <w:r>
              <w:rPr>
                <w:noProof/>
                <w:webHidden/>
              </w:rPr>
              <w:tab/>
            </w:r>
            <w:r>
              <w:rPr>
                <w:noProof/>
                <w:webHidden/>
              </w:rPr>
              <w:fldChar w:fldCharType="begin"/>
            </w:r>
            <w:r>
              <w:rPr>
                <w:noProof/>
                <w:webHidden/>
              </w:rPr>
              <w:instrText xml:space="preserve"> PAGEREF _Toc229502260 \h </w:instrText>
            </w:r>
            <w:r>
              <w:rPr>
                <w:noProof/>
                <w:webHidden/>
              </w:rPr>
            </w:r>
            <w:r>
              <w:rPr>
                <w:noProof/>
                <w:webHidden/>
              </w:rPr>
              <w:fldChar w:fldCharType="separate"/>
            </w:r>
            <w:r>
              <w:rPr>
                <w:noProof/>
                <w:webHidden/>
              </w:rPr>
              <w:t>23</w:t>
            </w:r>
            <w:r>
              <w:rPr>
                <w:noProof/>
                <w:webHidden/>
              </w:rPr>
              <w:fldChar w:fldCharType="end"/>
            </w:r>
          </w:hyperlink>
        </w:p>
        <w:p w14:paraId="54639941" w14:textId="2F5288E3"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1" w:history="1">
            <w:r w:rsidRPr="001D7EBF">
              <w:rPr>
                <w:rStyle w:val="Hyperlink"/>
                <w:noProof/>
              </w:rPr>
              <w:t>§II.A Toolkit logic: hard core and broader perimeter</w:t>
            </w:r>
            <w:r>
              <w:rPr>
                <w:noProof/>
                <w:webHidden/>
              </w:rPr>
              <w:tab/>
            </w:r>
            <w:r>
              <w:rPr>
                <w:noProof/>
                <w:webHidden/>
              </w:rPr>
              <w:fldChar w:fldCharType="begin"/>
            </w:r>
            <w:r>
              <w:rPr>
                <w:noProof/>
                <w:webHidden/>
              </w:rPr>
              <w:instrText xml:space="preserve"> PAGEREF _Toc229502261 \h </w:instrText>
            </w:r>
            <w:r>
              <w:rPr>
                <w:noProof/>
                <w:webHidden/>
              </w:rPr>
            </w:r>
            <w:r>
              <w:rPr>
                <w:noProof/>
                <w:webHidden/>
              </w:rPr>
              <w:fldChar w:fldCharType="separate"/>
            </w:r>
            <w:r>
              <w:rPr>
                <w:noProof/>
                <w:webHidden/>
              </w:rPr>
              <w:t>23</w:t>
            </w:r>
            <w:r>
              <w:rPr>
                <w:noProof/>
                <w:webHidden/>
              </w:rPr>
              <w:fldChar w:fldCharType="end"/>
            </w:r>
          </w:hyperlink>
        </w:p>
        <w:p w14:paraId="0BFB3440" w14:textId="7CC9ACB5"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2" w:history="1">
            <w:r w:rsidRPr="001D7EBF">
              <w:rPr>
                <w:rStyle w:val="Hyperlink"/>
                <w:noProof/>
              </w:rPr>
              <w:t>§II.B Substance-Axis Foreclosure</w:t>
            </w:r>
            <w:r>
              <w:rPr>
                <w:noProof/>
                <w:webHidden/>
              </w:rPr>
              <w:tab/>
            </w:r>
            <w:r>
              <w:rPr>
                <w:noProof/>
                <w:webHidden/>
              </w:rPr>
              <w:fldChar w:fldCharType="begin"/>
            </w:r>
            <w:r>
              <w:rPr>
                <w:noProof/>
                <w:webHidden/>
              </w:rPr>
              <w:instrText xml:space="preserve"> PAGEREF _Toc229502262 \h </w:instrText>
            </w:r>
            <w:r>
              <w:rPr>
                <w:noProof/>
                <w:webHidden/>
              </w:rPr>
            </w:r>
            <w:r>
              <w:rPr>
                <w:noProof/>
                <w:webHidden/>
              </w:rPr>
              <w:fldChar w:fldCharType="separate"/>
            </w:r>
            <w:r>
              <w:rPr>
                <w:noProof/>
                <w:webHidden/>
              </w:rPr>
              <w:t>25</w:t>
            </w:r>
            <w:r>
              <w:rPr>
                <w:noProof/>
                <w:webHidden/>
              </w:rPr>
              <w:fldChar w:fldCharType="end"/>
            </w:r>
          </w:hyperlink>
        </w:p>
        <w:p w14:paraId="3F10225D" w14:textId="1DBA5E6A"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3" w:history="1">
            <w:r w:rsidRPr="001D7EBF">
              <w:rPr>
                <w:rStyle w:val="Hyperlink"/>
                <w:noProof/>
              </w:rPr>
              <w:t>§II.C Evidentiary Conversion</w:t>
            </w:r>
            <w:r>
              <w:rPr>
                <w:noProof/>
                <w:webHidden/>
              </w:rPr>
              <w:tab/>
            </w:r>
            <w:r>
              <w:rPr>
                <w:noProof/>
                <w:webHidden/>
              </w:rPr>
              <w:fldChar w:fldCharType="begin"/>
            </w:r>
            <w:r>
              <w:rPr>
                <w:noProof/>
                <w:webHidden/>
              </w:rPr>
              <w:instrText xml:space="preserve"> PAGEREF _Toc229502263 \h </w:instrText>
            </w:r>
            <w:r>
              <w:rPr>
                <w:noProof/>
                <w:webHidden/>
              </w:rPr>
            </w:r>
            <w:r>
              <w:rPr>
                <w:noProof/>
                <w:webHidden/>
              </w:rPr>
              <w:fldChar w:fldCharType="separate"/>
            </w:r>
            <w:r>
              <w:rPr>
                <w:noProof/>
                <w:webHidden/>
              </w:rPr>
              <w:t>29</w:t>
            </w:r>
            <w:r>
              <w:rPr>
                <w:noProof/>
                <w:webHidden/>
              </w:rPr>
              <w:fldChar w:fldCharType="end"/>
            </w:r>
          </w:hyperlink>
        </w:p>
        <w:p w14:paraId="69031C94" w14:textId="4307E8BF"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4" w:history="1">
            <w:r w:rsidRPr="001D7EBF">
              <w:rPr>
                <w:rStyle w:val="Hyperlink"/>
                <w:noProof/>
              </w:rPr>
              <w:t>§II.D State-Money Leverage</w:t>
            </w:r>
            <w:r>
              <w:rPr>
                <w:noProof/>
                <w:webHidden/>
              </w:rPr>
              <w:tab/>
            </w:r>
            <w:r>
              <w:rPr>
                <w:noProof/>
                <w:webHidden/>
              </w:rPr>
              <w:fldChar w:fldCharType="begin"/>
            </w:r>
            <w:r>
              <w:rPr>
                <w:noProof/>
                <w:webHidden/>
              </w:rPr>
              <w:instrText xml:space="preserve"> PAGEREF _Toc229502264 \h </w:instrText>
            </w:r>
            <w:r>
              <w:rPr>
                <w:noProof/>
                <w:webHidden/>
              </w:rPr>
            </w:r>
            <w:r>
              <w:rPr>
                <w:noProof/>
                <w:webHidden/>
              </w:rPr>
              <w:fldChar w:fldCharType="separate"/>
            </w:r>
            <w:r>
              <w:rPr>
                <w:noProof/>
                <w:webHidden/>
              </w:rPr>
              <w:t>31</w:t>
            </w:r>
            <w:r>
              <w:rPr>
                <w:noProof/>
                <w:webHidden/>
              </w:rPr>
              <w:fldChar w:fldCharType="end"/>
            </w:r>
          </w:hyperlink>
        </w:p>
        <w:p w14:paraId="376C4EF4" w14:textId="2F26D06D"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5" w:history="1">
            <w:r w:rsidRPr="001D7EBF">
              <w:rPr>
                <w:rStyle w:val="Hyperlink"/>
                <w:noProof/>
              </w:rPr>
              <w:t>§II.E Risk-Pricing, Proxy, Disclosure, and Certification Burdens</w:t>
            </w:r>
            <w:r>
              <w:rPr>
                <w:noProof/>
                <w:webHidden/>
              </w:rPr>
              <w:tab/>
            </w:r>
            <w:r>
              <w:rPr>
                <w:noProof/>
                <w:webHidden/>
              </w:rPr>
              <w:fldChar w:fldCharType="begin"/>
            </w:r>
            <w:r>
              <w:rPr>
                <w:noProof/>
                <w:webHidden/>
              </w:rPr>
              <w:instrText xml:space="preserve"> PAGEREF _Toc229502265 \h </w:instrText>
            </w:r>
            <w:r>
              <w:rPr>
                <w:noProof/>
                <w:webHidden/>
              </w:rPr>
            </w:r>
            <w:r>
              <w:rPr>
                <w:noProof/>
                <w:webHidden/>
              </w:rPr>
              <w:fldChar w:fldCharType="separate"/>
            </w:r>
            <w:r>
              <w:rPr>
                <w:noProof/>
                <w:webHidden/>
              </w:rPr>
              <w:t>34</w:t>
            </w:r>
            <w:r>
              <w:rPr>
                <w:noProof/>
                <w:webHidden/>
              </w:rPr>
              <w:fldChar w:fldCharType="end"/>
            </w:r>
          </w:hyperlink>
        </w:p>
        <w:p w14:paraId="511DC3C7" w14:textId="25D7E794"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6" w:history="1">
            <w:r w:rsidRPr="001D7EBF">
              <w:rPr>
                <w:rStyle w:val="Hyperlink"/>
                <w:noProof/>
              </w:rPr>
              <w:t>§II.F Enforcement, Pressure, Carveouts, and Pro-Side Comparators</w:t>
            </w:r>
            <w:r>
              <w:rPr>
                <w:noProof/>
                <w:webHidden/>
              </w:rPr>
              <w:tab/>
            </w:r>
            <w:r>
              <w:rPr>
                <w:noProof/>
                <w:webHidden/>
              </w:rPr>
              <w:fldChar w:fldCharType="begin"/>
            </w:r>
            <w:r>
              <w:rPr>
                <w:noProof/>
                <w:webHidden/>
              </w:rPr>
              <w:instrText xml:space="preserve"> PAGEREF _Toc229502266 \h </w:instrText>
            </w:r>
            <w:r>
              <w:rPr>
                <w:noProof/>
                <w:webHidden/>
              </w:rPr>
            </w:r>
            <w:r>
              <w:rPr>
                <w:noProof/>
                <w:webHidden/>
              </w:rPr>
              <w:fldChar w:fldCharType="separate"/>
            </w:r>
            <w:r>
              <w:rPr>
                <w:noProof/>
                <w:webHidden/>
              </w:rPr>
              <w:t>38</w:t>
            </w:r>
            <w:r>
              <w:rPr>
                <w:noProof/>
                <w:webHidden/>
              </w:rPr>
              <w:fldChar w:fldCharType="end"/>
            </w:r>
          </w:hyperlink>
        </w:p>
        <w:p w14:paraId="7DEC7AA9" w14:textId="1BF498A4" w:rsidR="002556C3" w:rsidRDefault="002556C3" w:rsidP="002556C3">
          <w:pPr>
            <w:pStyle w:val="TOC1"/>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7" w:history="1">
            <w:r w:rsidRPr="001D7EBF">
              <w:rPr>
                <w:rStyle w:val="Hyperlink"/>
                <w:noProof/>
              </w:rPr>
              <w:t>PART III—DOCTRINAL VALIDITY BY CHANNEL</w:t>
            </w:r>
            <w:r>
              <w:rPr>
                <w:noProof/>
                <w:webHidden/>
              </w:rPr>
              <w:tab/>
            </w:r>
            <w:r>
              <w:rPr>
                <w:noProof/>
                <w:webHidden/>
              </w:rPr>
              <w:fldChar w:fldCharType="begin"/>
            </w:r>
            <w:r>
              <w:rPr>
                <w:noProof/>
                <w:webHidden/>
              </w:rPr>
              <w:instrText xml:space="preserve"> PAGEREF _Toc229502267 \h </w:instrText>
            </w:r>
            <w:r>
              <w:rPr>
                <w:noProof/>
                <w:webHidden/>
              </w:rPr>
            </w:r>
            <w:r>
              <w:rPr>
                <w:noProof/>
                <w:webHidden/>
              </w:rPr>
              <w:fldChar w:fldCharType="separate"/>
            </w:r>
            <w:r>
              <w:rPr>
                <w:noProof/>
                <w:webHidden/>
              </w:rPr>
              <w:t>42</w:t>
            </w:r>
            <w:r>
              <w:rPr>
                <w:noProof/>
                <w:webHidden/>
              </w:rPr>
              <w:fldChar w:fldCharType="end"/>
            </w:r>
          </w:hyperlink>
        </w:p>
        <w:p w14:paraId="742AAFA2" w14:textId="73DF1A49"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8" w:history="1">
            <w:r w:rsidRPr="001D7EBF">
              <w:rPr>
                <w:rStyle w:val="Hyperlink"/>
                <w:noProof/>
              </w:rPr>
              <w:t>§III.A Channel / Doctrine Map</w:t>
            </w:r>
            <w:r>
              <w:rPr>
                <w:noProof/>
                <w:webHidden/>
              </w:rPr>
              <w:tab/>
            </w:r>
            <w:r>
              <w:rPr>
                <w:noProof/>
                <w:webHidden/>
              </w:rPr>
              <w:fldChar w:fldCharType="begin"/>
            </w:r>
            <w:r>
              <w:rPr>
                <w:noProof/>
                <w:webHidden/>
              </w:rPr>
              <w:instrText xml:space="preserve"> PAGEREF _Toc229502268 \h </w:instrText>
            </w:r>
            <w:r>
              <w:rPr>
                <w:noProof/>
                <w:webHidden/>
              </w:rPr>
            </w:r>
            <w:r>
              <w:rPr>
                <w:noProof/>
                <w:webHidden/>
              </w:rPr>
              <w:fldChar w:fldCharType="separate"/>
            </w:r>
            <w:r>
              <w:rPr>
                <w:noProof/>
                <w:webHidden/>
              </w:rPr>
              <w:t>42</w:t>
            </w:r>
            <w:r>
              <w:rPr>
                <w:noProof/>
                <w:webHidden/>
              </w:rPr>
              <w:fldChar w:fldCharType="end"/>
            </w:r>
          </w:hyperlink>
        </w:p>
        <w:p w14:paraId="24A0DF00" w14:textId="127157A7"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69" w:history="1">
            <w:r w:rsidRPr="001D7EBF">
              <w:rPr>
                <w:rStyle w:val="Hyperlink"/>
                <w:noProof/>
              </w:rPr>
              <w:t>§III.B Public Pensions and Exclusive Purpose</w:t>
            </w:r>
            <w:r>
              <w:rPr>
                <w:noProof/>
                <w:webHidden/>
              </w:rPr>
              <w:tab/>
            </w:r>
            <w:r>
              <w:rPr>
                <w:noProof/>
                <w:webHidden/>
              </w:rPr>
              <w:fldChar w:fldCharType="begin"/>
            </w:r>
            <w:r>
              <w:rPr>
                <w:noProof/>
                <w:webHidden/>
              </w:rPr>
              <w:instrText xml:space="preserve"> PAGEREF _Toc229502269 \h </w:instrText>
            </w:r>
            <w:r>
              <w:rPr>
                <w:noProof/>
                <w:webHidden/>
              </w:rPr>
            </w:r>
            <w:r>
              <w:rPr>
                <w:noProof/>
                <w:webHidden/>
              </w:rPr>
              <w:fldChar w:fldCharType="separate"/>
            </w:r>
            <w:r>
              <w:rPr>
                <w:noProof/>
                <w:webHidden/>
              </w:rPr>
              <w:t>43</w:t>
            </w:r>
            <w:r>
              <w:rPr>
                <w:noProof/>
                <w:webHidden/>
              </w:rPr>
              <w:fldChar w:fldCharType="end"/>
            </w:r>
          </w:hyperlink>
        </w:p>
        <w:p w14:paraId="4A97D44C" w14:textId="24364B9F"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0" w:history="1">
            <w:r w:rsidRPr="001D7EBF">
              <w:rPr>
                <w:rStyle w:val="Hyperlink"/>
                <w:noProof/>
              </w:rPr>
              <w:t>§III.C State-Money Leverage and Unconstitutional Conditions</w:t>
            </w:r>
            <w:r>
              <w:rPr>
                <w:noProof/>
                <w:webHidden/>
              </w:rPr>
              <w:tab/>
            </w:r>
            <w:r>
              <w:rPr>
                <w:noProof/>
                <w:webHidden/>
              </w:rPr>
              <w:fldChar w:fldCharType="begin"/>
            </w:r>
            <w:r>
              <w:rPr>
                <w:noProof/>
                <w:webHidden/>
              </w:rPr>
              <w:instrText xml:space="preserve"> PAGEREF _Toc229502270 \h </w:instrText>
            </w:r>
            <w:r>
              <w:rPr>
                <w:noProof/>
                <w:webHidden/>
              </w:rPr>
            </w:r>
            <w:r>
              <w:rPr>
                <w:noProof/>
                <w:webHidden/>
              </w:rPr>
              <w:fldChar w:fldCharType="separate"/>
            </w:r>
            <w:r>
              <w:rPr>
                <w:noProof/>
                <w:webHidden/>
              </w:rPr>
              <w:t>46</w:t>
            </w:r>
            <w:r>
              <w:rPr>
                <w:noProof/>
                <w:webHidden/>
              </w:rPr>
              <w:fldChar w:fldCharType="end"/>
            </w:r>
          </w:hyperlink>
        </w:p>
        <w:p w14:paraId="3DB84485" w14:textId="5FFF9A51"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1" w:history="1">
            <w:r w:rsidRPr="001D7EBF">
              <w:rPr>
                <w:rStyle w:val="Hyperlink"/>
                <w:noProof/>
              </w:rPr>
              <w:t>§III.D Proxy, Disclosure, and Compelled Speech</w:t>
            </w:r>
            <w:r>
              <w:rPr>
                <w:noProof/>
                <w:webHidden/>
              </w:rPr>
              <w:tab/>
            </w:r>
            <w:r>
              <w:rPr>
                <w:noProof/>
                <w:webHidden/>
              </w:rPr>
              <w:fldChar w:fldCharType="begin"/>
            </w:r>
            <w:r>
              <w:rPr>
                <w:noProof/>
                <w:webHidden/>
              </w:rPr>
              <w:instrText xml:space="preserve"> PAGEREF _Toc229502271 \h </w:instrText>
            </w:r>
            <w:r>
              <w:rPr>
                <w:noProof/>
                <w:webHidden/>
              </w:rPr>
            </w:r>
            <w:r>
              <w:rPr>
                <w:noProof/>
                <w:webHidden/>
              </w:rPr>
              <w:fldChar w:fldCharType="separate"/>
            </w:r>
            <w:r>
              <w:rPr>
                <w:noProof/>
                <w:webHidden/>
              </w:rPr>
              <w:t>49</w:t>
            </w:r>
            <w:r>
              <w:rPr>
                <w:noProof/>
                <w:webHidden/>
              </w:rPr>
              <w:fldChar w:fldCharType="end"/>
            </w:r>
          </w:hyperlink>
        </w:p>
        <w:p w14:paraId="61298525" w14:textId="260353E2"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2" w:history="1">
            <w:r w:rsidRPr="001D7EBF">
              <w:rPr>
                <w:rStyle w:val="Hyperlink"/>
                <w:noProof/>
              </w:rPr>
              <w:t>§III.E Banking / Insurance and Preemption</w:t>
            </w:r>
            <w:r>
              <w:rPr>
                <w:noProof/>
                <w:webHidden/>
              </w:rPr>
              <w:tab/>
            </w:r>
            <w:r>
              <w:rPr>
                <w:noProof/>
                <w:webHidden/>
              </w:rPr>
              <w:fldChar w:fldCharType="begin"/>
            </w:r>
            <w:r>
              <w:rPr>
                <w:noProof/>
                <w:webHidden/>
              </w:rPr>
              <w:instrText xml:space="preserve"> PAGEREF _Toc229502272 \h </w:instrText>
            </w:r>
            <w:r>
              <w:rPr>
                <w:noProof/>
                <w:webHidden/>
              </w:rPr>
            </w:r>
            <w:r>
              <w:rPr>
                <w:noProof/>
                <w:webHidden/>
              </w:rPr>
              <w:fldChar w:fldCharType="separate"/>
            </w:r>
            <w:r>
              <w:rPr>
                <w:noProof/>
                <w:webHidden/>
              </w:rPr>
              <w:t>52</w:t>
            </w:r>
            <w:r>
              <w:rPr>
                <w:noProof/>
                <w:webHidden/>
              </w:rPr>
              <w:fldChar w:fldCharType="end"/>
            </w:r>
          </w:hyperlink>
        </w:p>
        <w:p w14:paraId="10E5CCB0" w14:textId="1F6E0C51"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3" w:history="1">
            <w:r w:rsidRPr="001D7EBF">
              <w:rPr>
                <w:rStyle w:val="Hyperlink"/>
                <w:noProof/>
              </w:rPr>
              <w:t>§III.F Savings Clauses and Mixed Validity</w:t>
            </w:r>
            <w:r>
              <w:rPr>
                <w:noProof/>
                <w:webHidden/>
              </w:rPr>
              <w:tab/>
            </w:r>
            <w:r>
              <w:rPr>
                <w:noProof/>
                <w:webHidden/>
              </w:rPr>
              <w:fldChar w:fldCharType="begin"/>
            </w:r>
            <w:r>
              <w:rPr>
                <w:noProof/>
                <w:webHidden/>
              </w:rPr>
              <w:instrText xml:space="preserve"> PAGEREF _Toc229502273 \h </w:instrText>
            </w:r>
            <w:r>
              <w:rPr>
                <w:noProof/>
                <w:webHidden/>
              </w:rPr>
            </w:r>
            <w:r>
              <w:rPr>
                <w:noProof/>
                <w:webHidden/>
              </w:rPr>
              <w:fldChar w:fldCharType="separate"/>
            </w:r>
            <w:r>
              <w:rPr>
                <w:noProof/>
                <w:webHidden/>
              </w:rPr>
              <w:t>53</w:t>
            </w:r>
            <w:r>
              <w:rPr>
                <w:noProof/>
                <w:webHidden/>
              </w:rPr>
              <w:fldChar w:fldCharType="end"/>
            </w:r>
          </w:hyperlink>
        </w:p>
        <w:p w14:paraId="5AEA3329" w14:textId="078C67EF" w:rsidR="002556C3" w:rsidRDefault="002556C3" w:rsidP="002556C3">
          <w:pPr>
            <w:pStyle w:val="TOC1"/>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4" w:history="1">
            <w:r w:rsidRPr="001D7EBF">
              <w:rPr>
                <w:rStyle w:val="Hyperlink"/>
                <w:noProof/>
              </w:rPr>
              <w:t>PART IV—COMPLIANCE OVERHANG AND STRUCTURAL COSTS</w:t>
            </w:r>
            <w:r>
              <w:rPr>
                <w:noProof/>
                <w:webHidden/>
              </w:rPr>
              <w:tab/>
            </w:r>
            <w:r>
              <w:rPr>
                <w:noProof/>
                <w:webHidden/>
              </w:rPr>
              <w:fldChar w:fldCharType="begin"/>
            </w:r>
            <w:r>
              <w:rPr>
                <w:noProof/>
                <w:webHidden/>
              </w:rPr>
              <w:instrText xml:space="preserve"> PAGEREF _Toc229502274 \h </w:instrText>
            </w:r>
            <w:r>
              <w:rPr>
                <w:noProof/>
                <w:webHidden/>
              </w:rPr>
            </w:r>
            <w:r>
              <w:rPr>
                <w:noProof/>
                <w:webHidden/>
              </w:rPr>
              <w:fldChar w:fldCharType="separate"/>
            </w:r>
            <w:r>
              <w:rPr>
                <w:noProof/>
                <w:webHidden/>
              </w:rPr>
              <w:t>54</w:t>
            </w:r>
            <w:r>
              <w:rPr>
                <w:noProof/>
                <w:webHidden/>
              </w:rPr>
              <w:fldChar w:fldCharType="end"/>
            </w:r>
          </w:hyperlink>
        </w:p>
        <w:p w14:paraId="65B980B6" w14:textId="1C16FFFA"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5" w:history="1">
            <w:r w:rsidRPr="001D7EBF">
              <w:rPr>
                <w:rStyle w:val="Hyperlink"/>
                <w:noProof/>
              </w:rPr>
              <w:t>§IV.A The Empirical Record</w:t>
            </w:r>
            <w:r>
              <w:rPr>
                <w:noProof/>
                <w:webHidden/>
              </w:rPr>
              <w:tab/>
            </w:r>
            <w:r>
              <w:rPr>
                <w:noProof/>
                <w:webHidden/>
              </w:rPr>
              <w:fldChar w:fldCharType="begin"/>
            </w:r>
            <w:r>
              <w:rPr>
                <w:noProof/>
                <w:webHidden/>
              </w:rPr>
              <w:instrText xml:space="preserve"> PAGEREF _Toc229502275 \h </w:instrText>
            </w:r>
            <w:r>
              <w:rPr>
                <w:noProof/>
                <w:webHidden/>
              </w:rPr>
            </w:r>
            <w:r>
              <w:rPr>
                <w:noProof/>
                <w:webHidden/>
              </w:rPr>
              <w:fldChar w:fldCharType="separate"/>
            </w:r>
            <w:r>
              <w:rPr>
                <w:noProof/>
                <w:webHidden/>
              </w:rPr>
              <w:t>54</w:t>
            </w:r>
            <w:r>
              <w:rPr>
                <w:noProof/>
                <w:webHidden/>
              </w:rPr>
              <w:fldChar w:fldCharType="end"/>
            </w:r>
          </w:hyperlink>
        </w:p>
        <w:p w14:paraId="188BB7A3" w14:textId="3A1214EF"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6" w:history="1">
            <w:r w:rsidRPr="001D7EBF">
              <w:rPr>
                <w:rStyle w:val="Hyperlink"/>
                <w:noProof/>
              </w:rPr>
              <w:t>§IV.B What Drives the Effects (Compliance Overhang)</w:t>
            </w:r>
            <w:r>
              <w:rPr>
                <w:noProof/>
                <w:webHidden/>
              </w:rPr>
              <w:tab/>
            </w:r>
            <w:r>
              <w:rPr>
                <w:noProof/>
                <w:webHidden/>
              </w:rPr>
              <w:fldChar w:fldCharType="begin"/>
            </w:r>
            <w:r>
              <w:rPr>
                <w:noProof/>
                <w:webHidden/>
              </w:rPr>
              <w:instrText xml:space="preserve"> PAGEREF _Toc229502276 \h </w:instrText>
            </w:r>
            <w:r>
              <w:rPr>
                <w:noProof/>
                <w:webHidden/>
              </w:rPr>
            </w:r>
            <w:r>
              <w:rPr>
                <w:noProof/>
                <w:webHidden/>
              </w:rPr>
              <w:fldChar w:fldCharType="separate"/>
            </w:r>
            <w:r>
              <w:rPr>
                <w:noProof/>
                <w:webHidden/>
              </w:rPr>
              <w:t>60</w:t>
            </w:r>
            <w:r>
              <w:rPr>
                <w:noProof/>
                <w:webHidden/>
              </w:rPr>
              <w:fldChar w:fldCharType="end"/>
            </w:r>
          </w:hyperlink>
        </w:p>
        <w:p w14:paraId="4310A2CF" w14:textId="11A405D4"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7" w:history="1">
            <w:r w:rsidRPr="001D7EBF">
              <w:rPr>
                <w:rStyle w:val="Hyperlink"/>
                <w:noProof/>
              </w:rPr>
              <w:t>§IV.C Cumulative Effects</w:t>
            </w:r>
            <w:r>
              <w:rPr>
                <w:noProof/>
                <w:webHidden/>
              </w:rPr>
              <w:tab/>
            </w:r>
            <w:r>
              <w:rPr>
                <w:noProof/>
                <w:webHidden/>
              </w:rPr>
              <w:fldChar w:fldCharType="begin"/>
            </w:r>
            <w:r>
              <w:rPr>
                <w:noProof/>
                <w:webHidden/>
              </w:rPr>
              <w:instrText xml:space="preserve"> PAGEREF _Toc229502277 \h </w:instrText>
            </w:r>
            <w:r>
              <w:rPr>
                <w:noProof/>
                <w:webHidden/>
              </w:rPr>
            </w:r>
            <w:r>
              <w:rPr>
                <w:noProof/>
                <w:webHidden/>
              </w:rPr>
              <w:fldChar w:fldCharType="separate"/>
            </w:r>
            <w:r>
              <w:rPr>
                <w:noProof/>
                <w:webHidden/>
              </w:rPr>
              <w:t>67</w:t>
            </w:r>
            <w:r>
              <w:rPr>
                <w:noProof/>
                <w:webHidden/>
              </w:rPr>
              <w:fldChar w:fldCharType="end"/>
            </w:r>
          </w:hyperlink>
        </w:p>
        <w:p w14:paraId="7042BAAF" w14:textId="443F0E07" w:rsidR="002556C3" w:rsidRDefault="002556C3" w:rsidP="002556C3">
          <w:pPr>
            <w:pStyle w:val="TOC1"/>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8" w:history="1">
            <w:r w:rsidRPr="001D7EBF">
              <w:rPr>
                <w:rStyle w:val="Hyperlink"/>
                <w:noProof/>
              </w:rPr>
              <w:t>PART V—REGULATORY DESIGN, POLITICAL ECONOMY, AND FRAMEWORK NEUTRALITY</w:t>
            </w:r>
            <w:r>
              <w:rPr>
                <w:noProof/>
                <w:webHidden/>
              </w:rPr>
              <w:tab/>
            </w:r>
            <w:r>
              <w:rPr>
                <w:noProof/>
                <w:webHidden/>
              </w:rPr>
              <w:fldChar w:fldCharType="begin"/>
            </w:r>
            <w:r>
              <w:rPr>
                <w:noProof/>
                <w:webHidden/>
              </w:rPr>
              <w:instrText xml:space="preserve"> PAGEREF _Toc229502278 \h </w:instrText>
            </w:r>
            <w:r>
              <w:rPr>
                <w:noProof/>
                <w:webHidden/>
              </w:rPr>
            </w:r>
            <w:r>
              <w:rPr>
                <w:noProof/>
                <w:webHidden/>
              </w:rPr>
              <w:fldChar w:fldCharType="separate"/>
            </w:r>
            <w:r>
              <w:rPr>
                <w:noProof/>
                <w:webHidden/>
              </w:rPr>
              <w:t>76</w:t>
            </w:r>
            <w:r>
              <w:rPr>
                <w:noProof/>
                <w:webHidden/>
              </w:rPr>
              <w:fldChar w:fldCharType="end"/>
            </w:r>
          </w:hyperlink>
        </w:p>
        <w:p w14:paraId="4B00C376" w14:textId="12B9DD92"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79" w:history="1">
            <w:r w:rsidRPr="001D7EBF">
              <w:rPr>
                <w:rStyle w:val="Hyperlink"/>
                <w:noProof/>
              </w:rPr>
              <w:t>§V.A Reversed Accountability Equilibrium</w:t>
            </w:r>
            <w:r>
              <w:rPr>
                <w:noProof/>
                <w:webHidden/>
              </w:rPr>
              <w:tab/>
            </w:r>
            <w:r>
              <w:rPr>
                <w:noProof/>
                <w:webHidden/>
              </w:rPr>
              <w:fldChar w:fldCharType="begin"/>
            </w:r>
            <w:r>
              <w:rPr>
                <w:noProof/>
                <w:webHidden/>
              </w:rPr>
              <w:instrText xml:space="preserve"> PAGEREF _Toc229502279 \h </w:instrText>
            </w:r>
            <w:r>
              <w:rPr>
                <w:noProof/>
                <w:webHidden/>
              </w:rPr>
            </w:r>
            <w:r>
              <w:rPr>
                <w:noProof/>
                <w:webHidden/>
              </w:rPr>
              <w:fldChar w:fldCharType="separate"/>
            </w:r>
            <w:r>
              <w:rPr>
                <w:noProof/>
                <w:webHidden/>
              </w:rPr>
              <w:t>76</w:t>
            </w:r>
            <w:r>
              <w:rPr>
                <w:noProof/>
                <w:webHidden/>
              </w:rPr>
              <w:fldChar w:fldCharType="end"/>
            </w:r>
          </w:hyperlink>
        </w:p>
        <w:p w14:paraId="77575151" w14:textId="6AC23FF7"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0" w:history="1">
            <w:r w:rsidRPr="001D7EBF">
              <w:rPr>
                <w:rStyle w:val="Hyperlink"/>
                <w:noProof/>
              </w:rPr>
              <w:t>§V.B Fiscal and Cross-State Heterogeneity Costs</w:t>
            </w:r>
            <w:r>
              <w:rPr>
                <w:noProof/>
                <w:webHidden/>
              </w:rPr>
              <w:tab/>
            </w:r>
            <w:r>
              <w:rPr>
                <w:noProof/>
                <w:webHidden/>
              </w:rPr>
              <w:fldChar w:fldCharType="begin"/>
            </w:r>
            <w:r>
              <w:rPr>
                <w:noProof/>
                <w:webHidden/>
              </w:rPr>
              <w:instrText xml:space="preserve"> PAGEREF _Toc229502280 \h </w:instrText>
            </w:r>
            <w:r>
              <w:rPr>
                <w:noProof/>
                <w:webHidden/>
              </w:rPr>
            </w:r>
            <w:r>
              <w:rPr>
                <w:noProof/>
                <w:webHidden/>
              </w:rPr>
              <w:fldChar w:fldCharType="separate"/>
            </w:r>
            <w:r>
              <w:rPr>
                <w:noProof/>
                <w:webHidden/>
              </w:rPr>
              <w:t>78</w:t>
            </w:r>
            <w:r>
              <w:rPr>
                <w:noProof/>
                <w:webHidden/>
              </w:rPr>
              <w:fldChar w:fldCharType="end"/>
            </w:r>
          </w:hyperlink>
        </w:p>
        <w:p w14:paraId="6BD78D41" w14:textId="2039A586"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1" w:history="1">
            <w:r w:rsidRPr="001D7EBF">
              <w:rPr>
                <w:rStyle w:val="Hyperlink"/>
                <w:noProof/>
              </w:rPr>
              <w:t>§V.C The Institutional-Stewardship Hedge</w:t>
            </w:r>
            <w:r>
              <w:rPr>
                <w:noProof/>
                <w:webHidden/>
              </w:rPr>
              <w:tab/>
            </w:r>
            <w:r>
              <w:rPr>
                <w:noProof/>
                <w:webHidden/>
              </w:rPr>
              <w:fldChar w:fldCharType="begin"/>
            </w:r>
            <w:r>
              <w:rPr>
                <w:noProof/>
                <w:webHidden/>
              </w:rPr>
              <w:instrText xml:space="preserve"> PAGEREF _Toc229502281 \h </w:instrText>
            </w:r>
            <w:r>
              <w:rPr>
                <w:noProof/>
                <w:webHidden/>
              </w:rPr>
            </w:r>
            <w:r>
              <w:rPr>
                <w:noProof/>
                <w:webHidden/>
              </w:rPr>
              <w:fldChar w:fldCharType="separate"/>
            </w:r>
            <w:r>
              <w:rPr>
                <w:noProof/>
                <w:webHidden/>
              </w:rPr>
              <w:t>83</w:t>
            </w:r>
            <w:r>
              <w:rPr>
                <w:noProof/>
                <w:webHidden/>
              </w:rPr>
              <w:fldChar w:fldCharType="end"/>
            </w:r>
          </w:hyperlink>
        </w:p>
        <w:p w14:paraId="4752E7FB" w14:textId="4AED0322"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2" w:history="1">
            <w:r w:rsidRPr="001D7EBF">
              <w:rPr>
                <w:rStyle w:val="Hyperlink"/>
                <w:noProof/>
              </w:rPr>
              <w:t>§V.D Pro-Side Comparators and Framework Neutrality</w:t>
            </w:r>
            <w:r>
              <w:rPr>
                <w:noProof/>
                <w:webHidden/>
              </w:rPr>
              <w:tab/>
            </w:r>
            <w:r>
              <w:rPr>
                <w:noProof/>
                <w:webHidden/>
              </w:rPr>
              <w:fldChar w:fldCharType="begin"/>
            </w:r>
            <w:r>
              <w:rPr>
                <w:noProof/>
                <w:webHidden/>
              </w:rPr>
              <w:instrText xml:space="preserve"> PAGEREF _Toc229502282 \h </w:instrText>
            </w:r>
            <w:r>
              <w:rPr>
                <w:noProof/>
                <w:webHidden/>
              </w:rPr>
            </w:r>
            <w:r>
              <w:rPr>
                <w:noProof/>
                <w:webHidden/>
              </w:rPr>
              <w:fldChar w:fldCharType="separate"/>
            </w:r>
            <w:r>
              <w:rPr>
                <w:noProof/>
                <w:webHidden/>
              </w:rPr>
              <w:t>83</w:t>
            </w:r>
            <w:r>
              <w:rPr>
                <w:noProof/>
                <w:webHidden/>
              </w:rPr>
              <w:fldChar w:fldCharType="end"/>
            </w:r>
          </w:hyperlink>
        </w:p>
        <w:p w14:paraId="529A5B47" w14:textId="28601CA1"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3" w:history="1">
            <w:r w:rsidRPr="001D7EBF">
              <w:rPr>
                <w:rStyle w:val="Hyperlink"/>
                <w:noProof/>
              </w:rPr>
              <w:t>§V.E Regulatory-Design Implications</w:t>
            </w:r>
            <w:r>
              <w:rPr>
                <w:noProof/>
                <w:webHidden/>
              </w:rPr>
              <w:tab/>
            </w:r>
            <w:r>
              <w:rPr>
                <w:noProof/>
                <w:webHidden/>
              </w:rPr>
              <w:fldChar w:fldCharType="begin"/>
            </w:r>
            <w:r>
              <w:rPr>
                <w:noProof/>
                <w:webHidden/>
              </w:rPr>
              <w:instrText xml:space="preserve"> PAGEREF _Toc229502283 \h </w:instrText>
            </w:r>
            <w:r>
              <w:rPr>
                <w:noProof/>
                <w:webHidden/>
              </w:rPr>
            </w:r>
            <w:r>
              <w:rPr>
                <w:noProof/>
                <w:webHidden/>
              </w:rPr>
              <w:fldChar w:fldCharType="separate"/>
            </w:r>
            <w:r>
              <w:rPr>
                <w:noProof/>
                <w:webHidden/>
              </w:rPr>
              <w:t>86</w:t>
            </w:r>
            <w:r>
              <w:rPr>
                <w:noProof/>
                <w:webHidden/>
              </w:rPr>
              <w:fldChar w:fldCharType="end"/>
            </w:r>
          </w:hyperlink>
        </w:p>
        <w:p w14:paraId="06AC9D7F" w14:textId="7BF7F909"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4" w:history="1">
            <w:r w:rsidRPr="001D7EBF">
              <w:rPr>
                <w:rStyle w:val="Hyperlink"/>
                <w:noProof/>
              </w:rPr>
              <w:t>§V.F Functional Test Worked Examples</w:t>
            </w:r>
            <w:r>
              <w:rPr>
                <w:noProof/>
                <w:webHidden/>
              </w:rPr>
              <w:tab/>
            </w:r>
            <w:r>
              <w:rPr>
                <w:noProof/>
                <w:webHidden/>
              </w:rPr>
              <w:fldChar w:fldCharType="begin"/>
            </w:r>
            <w:r>
              <w:rPr>
                <w:noProof/>
                <w:webHidden/>
              </w:rPr>
              <w:instrText xml:space="preserve"> PAGEREF _Toc229502284 \h </w:instrText>
            </w:r>
            <w:r>
              <w:rPr>
                <w:noProof/>
                <w:webHidden/>
              </w:rPr>
            </w:r>
            <w:r>
              <w:rPr>
                <w:noProof/>
                <w:webHidden/>
              </w:rPr>
              <w:fldChar w:fldCharType="separate"/>
            </w:r>
            <w:r>
              <w:rPr>
                <w:noProof/>
                <w:webHidden/>
              </w:rPr>
              <w:t>86</w:t>
            </w:r>
            <w:r>
              <w:rPr>
                <w:noProof/>
                <w:webHidden/>
              </w:rPr>
              <w:fldChar w:fldCharType="end"/>
            </w:r>
          </w:hyperlink>
        </w:p>
        <w:p w14:paraId="2722B76D" w14:textId="421102A3" w:rsidR="002556C3" w:rsidRDefault="002556C3" w:rsidP="002556C3">
          <w:pPr>
            <w:pStyle w:val="TOC3"/>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5" w:history="1">
            <w:r w:rsidRPr="001D7EBF">
              <w:rPr>
                <w:rStyle w:val="Hyperlink"/>
                <w:noProof/>
              </w:rPr>
              <w:t>§V.F.1 California AB 979—Categorical Board-Composition Mandate</w:t>
            </w:r>
            <w:r>
              <w:rPr>
                <w:noProof/>
                <w:webHidden/>
              </w:rPr>
              <w:tab/>
            </w:r>
            <w:r>
              <w:rPr>
                <w:noProof/>
                <w:webHidden/>
              </w:rPr>
              <w:fldChar w:fldCharType="begin"/>
            </w:r>
            <w:r>
              <w:rPr>
                <w:noProof/>
                <w:webHidden/>
              </w:rPr>
              <w:instrText xml:space="preserve"> PAGEREF _Toc229502285 \h </w:instrText>
            </w:r>
            <w:r>
              <w:rPr>
                <w:noProof/>
                <w:webHidden/>
              </w:rPr>
            </w:r>
            <w:r>
              <w:rPr>
                <w:noProof/>
                <w:webHidden/>
              </w:rPr>
              <w:fldChar w:fldCharType="separate"/>
            </w:r>
            <w:r>
              <w:rPr>
                <w:noProof/>
                <w:webHidden/>
              </w:rPr>
              <w:t>87</w:t>
            </w:r>
            <w:r>
              <w:rPr>
                <w:noProof/>
                <w:webHidden/>
              </w:rPr>
              <w:fldChar w:fldCharType="end"/>
            </w:r>
          </w:hyperlink>
        </w:p>
        <w:p w14:paraId="79E3A377" w14:textId="6B0112E1" w:rsidR="002556C3" w:rsidRDefault="002556C3" w:rsidP="002556C3">
          <w:pPr>
            <w:pStyle w:val="TOC3"/>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6" w:history="1">
            <w:r w:rsidRPr="001D7EBF">
              <w:rPr>
                <w:rStyle w:val="Hyperlink"/>
                <w:noProof/>
              </w:rPr>
              <w:t>§V.F.2 California SB 253—Factual Emissions Disclosure</w:t>
            </w:r>
            <w:r>
              <w:rPr>
                <w:noProof/>
                <w:webHidden/>
              </w:rPr>
              <w:tab/>
            </w:r>
            <w:r>
              <w:rPr>
                <w:noProof/>
                <w:webHidden/>
              </w:rPr>
              <w:fldChar w:fldCharType="begin"/>
            </w:r>
            <w:r>
              <w:rPr>
                <w:noProof/>
                <w:webHidden/>
              </w:rPr>
              <w:instrText xml:space="preserve"> PAGEREF _Toc229502286 \h </w:instrText>
            </w:r>
            <w:r>
              <w:rPr>
                <w:noProof/>
                <w:webHidden/>
              </w:rPr>
            </w:r>
            <w:r>
              <w:rPr>
                <w:noProof/>
                <w:webHidden/>
              </w:rPr>
              <w:fldChar w:fldCharType="separate"/>
            </w:r>
            <w:r>
              <w:rPr>
                <w:noProof/>
                <w:webHidden/>
              </w:rPr>
              <w:t>88</w:t>
            </w:r>
            <w:r>
              <w:rPr>
                <w:noProof/>
                <w:webHidden/>
              </w:rPr>
              <w:fldChar w:fldCharType="end"/>
            </w:r>
          </w:hyperlink>
        </w:p>
        <w:p w14:paraId="2D030863" w14:textId="22023F83" w:rsidR="002556C3" w:rsidRDefault="002556C3" w:rsidP="002556C3">
          <w:pPr>
            <w:pStyle w:val="TOC3"/>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7" w:history="1">
            <w:r w:rsidRPr="001D7EBF">
              <w:rPr>
                <w:rStyle w:val="Hyperlink"/>
                <w:noProof/>
              </w:rPr>
              <w:t>§V.F.3 California SB 261—Compelled Interpretive Climate-Narrative</w:t>
            </w:r>
            <w:r>
              <w:rPr>
                <w:noProof/>
                <w:webHidden/>
              </w:rPr>
              <w:tab/>
            </w:r>
            <w:r>
              <w:rPr>
                <w:noProof/>
                <w:webHidden/>
              </w:rPr>
              <w:fldChar w:fldCharType="begin"/>
            </w:r>
            <w:r>
              <w:rPr>
                <w:noProof/>
                <w:webHidden/>
              </w:rPr>
              <w:instrText xml:space="preserve"> PAGEREF _Toc229502287 \h </w:instrText>
            </w:r>
            <w:r>
              <w:rPr>
                <w:noProof/>
                <w:webHidden/>
              </w:rPr>
            </w:r>
            <w:r>
              <w:rPr>
                <w:noProof/>
                <w:webHidden/>
              </w:rPr>
              <w:fldChar w:fldCharType="separate"/>
            </w:r>
            <w:r>
              <w:rPr>
                <w:noProof/>
                <w:webHidden/>
              </w:rPr>
              <w:t>89</w:t>
            </w:r>
            <w:r>
              <w:rPr>
                <w:noProof/>
                <w:webHidden/>
              </w:rPr>
              <w:fldChar w:fldCharType="end"/>
            </w:r>
          </w:hyperlink>
        </w:p>
        <w:p w14:paraId="6865970D" w14:textId="23C626E8" w:rsidR="002556C3" w:rsidRDefault="002556C3" w:rsidP="002556C3">
          <w:pPr>
            <w:pStyle w:val="TOC3"/>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8" w:history="1">
            <w:r w:rsidRPr="001D7EBF">
              <w:rPr>
                <w:rStyle w:val="Hyperlink"/>
                <w:noProof/>
              </w:rPr>
              <w:t>§V.F.4 Maine LD 99 § 1957(3)—Fossil-Fuel Divestment with Fiduciary Savings</w:t>
            </w:r>
            <w:r>
              <w:rPr>
                <w:noProof/>
                <w:webHidden/>
              </w:rPr>
              <w:tab/>
            </w:r>
            <w:r>
              <w:rPr>
                <w:noProof/>
                <w:webHidden/>
              </w:rPr>
              <w:fldChar w:fldCharType="begin"/>
            </w:r>
            <w:r>
              <w:rPr>
                <w:noProof/>
                <w:webHidden/>
              </w:rPr>
              <w:instrText xml:space="preserve"> PAGEREF _Toc229502288 \h </w:instrText>
            </w:r>
            <w:r>
              <w:rPr>
                <w:noProof/>
                <w:webHidden/>
              </w:rPr>
            </w:r>
            <w:r>
              <w:rPr>
                <w:noProof/>
                <w:webHidden/>
              </w:rPr>
              <w:fldChar w:fldCharType="separate"/>
            </w:r>
            <w:r>
              <w:rPr>
                <w:noProof/>
                <w:webHidden/>
              </w:rPr>
              <w:t>89</w:t>
            </w:r>
            <w:r>
              <w:rPr>
                <w:noProof/>
                <w:webHidden/>
              </w:rPr>
              <w:fldChar w:fldCharType="end"/>
            </w:r>
          </w:hyperlink>
        </w:p>
        <w:p w14:paraId="1C60CCCE" w14:textId="41AB5589" w:rsidR="002556C3" w:rsidRDefault="002556C3" w:rsidP="002556C3">
          <w:pPr>
            <w:pStyle w:val="TOC3"/>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89" w:history="1">
            <w:r w:rsidRPr="001D7EBF">
              <w:rPr>
                <w:rStyle w:val="Hyperlink"/>
                <w:noProof/>
              </w:rPr>
              <w:t>§V.F.5 Kentucky CERS—Carveout-Functioning Anti-ESG Comparator</w:t>
            </w:r>
            <w:r>
              <w:rPr>
                <w:noProof/>
                <w:webHidden/>
              </w:rPr>
              <w:tab/>
            </w:r>
            <w:r>
              <w:rPr>
                <w:noProof/>
                <w:webHidden/>
              </w:rPr>
              <w:fldChar w:fldCharType="begin"/>
            </w:r>
            <w:r>
              <w:rPr>
                <w:noProof/>
                <w:webHidden/>
              </w:rPr>
              <w:instrText xml:space="preserve"> PAGEREF _Toc229502289 \h </w:instrText>
            </w:r>
            <w:r>
              <w:rPr>
                <w:noProof/>
                <w:webHidden/>
              </w:rPr>
            </w:r>
            <w:r>
              <w:rPr>
                <w:noProof/>
                <w:webHidden/>
              </w:rPr>
              <w:fldChar w:fldCharType="separate"/>
            </w:r>
            <w:r>
              <w:rPr>
                <w:noProof/>
                <w:webHidden/>
              </w:rPr>
              <w:t>91</w:t>
            </w:r>
            <w:r>
              <w:rPr>
                <w:noProof/>
                <w:webHidden/>
              </w:rPr>
              <w:fldChar w:fldCharType="end"/>
            </w:r>
          </w:hyperlink>
        </w:p>
        <w:p w14:paraId="489DB0B6" w14:textId="64BA37C7" w:rsidR="002556C3" w:rsidRDefault="002556C3" w:rsidP="002556C3">
          <w:pPr>
            <w:pStyle w:val="TOC3"/>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0" w:history="1">
            <w:r w:rsidRPr="001D7EBF">
              <w:rPr>
                <w:rStyle w:val="Hyperlink"/>
                <w:noProof/>
              </w:rPr>
              <w:t>§V.F.6 Illinois SB 2152—Symmetric Proxy Reporting</w:t>
            </w:r>
            <w:r>
              <w:rPr>
                <w:noProof/>
                <w:webHidden/>
              </w:rPr>
              <w:tab/>
            </w:r>
            <w:r>
              <w:rPr>
                <w:noProof/>
                <w:webHidden/>
              </w:rPr>
              <w:fldChar w:fldCharType="begin"/>
            </w:r>
            <w:r>
              <w:rPr>
                <w:noProof/>
                <w:webHidden/>
              </w:rPr>
              <w:instrText xml:space="preserve"> PAGEREF _Toc229502290 \h </w:instrText>
            </w:r>
            <w:r>
              <w:rPr>
                <w:noProof/>
                <w:webHidden/>
              </w:rPr>
            </w:r>
            <w:r>
              <w:rPr>
                <w:noProof/>
                <w:webHidden/>
              </w:rPr>
              <w:fldChar w:fldCharType="separate"/>
            </w:r>
            <w:r>
              <w:rPr>
                <w:noProof/>
                <w:webHidden/>
              </w:rPr>
              <w:t>93</w:t>
            </w:r>
            <w:r>
              <w:rPr>
                <w:noProof/>
                <w:webHidden/>
              </w:rPr>
              <w:fldChar w:fldCharType="end"/>
            </w:r>
          </w:hyperlink>
        </w:p>
        <w:p w14:paraId="64910098" w14:textId="6E2338E2" w:rsidR="002556C3" w:rsidRDefault="002556C3" w:rsidP="002556C3">
          <w:pPr>
            <w:pStyle w:val="TOC3"/>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1" w:history="1">
            <w:r w:rsidRPr="001D7EBF">
              <w:rPr>
                <w:rStyle w:val="Hyperlink"/>
                <w:noProof/>
              </w:rPr>
              <w:t>§V.F.7 Closing of Worked Examples</w:t>
            </w:r>
            <w:r>
              <w:rPr>
                <w:noProof/>
                <w:webHidden/>
              </w:rPr>
              <w:tab/>
            </w:r>
            <w:r>
              <w:rPr>
                <w:noProof/>
                <w:webHidden/>
              </w:rPr>
              <w:fldChar w:fldCharType="begin"/>
            </w:r>
            <w:r>
              <w:rPr>
                <w:noProof/>
                <w:webHidden/>
              </w:rPr>
              <w:instrText xml:space="preserve"> PAGEREF _Toc229502291 \h </w:instrText>
            </w:r>
            <w:r>
              <w:rPr>
                <w:noProof/>
                <w:webHidden/>
              </w:rPr>
            </w:r>
            <w:r>
              <w:rPr>
                <w:noProof/>
                <w:webHidden/>
              </w:rPr>
              <w:fldChar w:fldCharType="separate"/>
            </w:r>
            <w:r>
              <w:rPr>
                <w:noProof/>
                <w:webHidden/>
              </w:rPr>
              <w:t>93</w:t>
            </w:r>
            <w:r>
              <w:rPr>
                <w:noProof/>
                <w:webHidden/>
              </w:rPr>
              <w:fldChar w:fldCharType="end"/>
            </w:r>
          </w:hyperlink>
        </w:p>
        <w:p w14:paraId="29D0B630" w14:textId="3248BD8D" w:rsidR="002556C3" w:rsidRDefault="002556C3" w:rsidP="002556C3">
          <w:pPr>
            <w:pStyle w:val="TOC1"/>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2" w:history="1">
            <w:r w:rsidRPr="001D7EBF">
              <w:rPr>
                <w:rStyle w:val="Hyperlink"/>
                <w:noProof/>
              </w:rPr>
              <w:t>CONCLUSION</w:t>
            </w:r>
            <w:r>
              <w:rPr>
                <w:noProof/>
                <w:webHidden/>
              </w:rPr>
              <w:tab/>
            </w:r>
            <w:r>
              <w:rPr>
                <w:noProof/>
                <w:webHidden/>
              </w:rPr>
              <w:fldChar w:fldCharType="begin"/>
            </w:r>
            <w:r>
              <w:rPr>
                <w:noProof/>
                <w:webHidden/>
              </w:rPr>
              <w:instrText xml:space="preserve"> PAGEREF _Toc229502292 \h </w:instrText>
            </w:r>
            <w:r>
              <w:rPr>
                <w:noProof/>
                <w:webHidden/>
              </w:rPr>
            </w:r>
            <w:r>
              <w:rPr>
                <w:noProof/>
                <w:webHidden/>
              </w:rPr>
              <w:fldChar w:fldCharType="separate"/>
            </w:r>
            <w:r>
              <w:rPr>
                <w:noProof/>
                <w:webHidden/>
              </w:rPr>
              <w:t>94</w:t>
            </w:r>
            <w:r>
              <w:rPr>
                <w:noProof/>
                <w:webHidden/>
              </w:rPr>
              <w:fldChar w:fldCharType="end"/>
            </w:r>
          </w:hyperlink>
        </w:p>
        <w:p w14:paraId="46EA29A7" w14:textId="33012EFA" w:rsidR="002556C3" w:rsidRDefault="002556C3" w:rsidP="002556C3">
          <w:pPr>
            <w:pStyle w:val="TOC1"/>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3" w:history="1">
            <w:r w:rsidRPr="001D7EBF">
              <w:rPr>
                <w:rStyle w:val="Hyperlink"/>
                <w:noProof/>
              </w:rPr>
              <w:t>METHODOLOGY APPENDIX</w:t>
            </w:r>
            <w:r>
              <w:rPr>
                <w:noProof/>
                <w:webHidden/>
              </w:rPr>
              <w:tab/>
            </w:r>
            <w:r>
              <w:rPr>
                <w:noProof/>
                <w:webHidden/>
              </w:rPr>
              <w:fldChar w:fldCharType="begin"/>
            </w:r>
            <w:r>
              <w:rPr>
                <w:noProof/>
                <w:webHidden/>
              </w:rPr>
              <w:instrText xml:space="preserve"> PAGEREF _Toc229502293 \h </w:instrText>
            </w:r>
            <w:r>
              <w:rPr>
                <w:noProof/>
                <w:webHidden/>
              </w:rPr>
            </w:r>
            <w:r>
              <w:rPr>
                <w:noProof/>
                <w:webHidden/>
              </w:rPr>
              <w:fldChar w:fldCharType="separate"/>
            </w:r>
            <w:r>
              <w:rPr>
                <w:noProof/>
                <w:webHidden/>
              </w:rPr>
              <w:t>100</w:t>
            </w:r>
            <w:r>
              <w:rPr>
                <w:noProof/>
                <w:webHidden/>
              </w:rPr>
              <w:fldChar w:fldCharType="end"/>
            </w:r>
          </w:hyperlink>
        </w:p>
        <w:p w14:paraId="204CB9D2" w14:textId="308C7A70"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4" w:history="1">
            <w:r w:rsidRPr="001D7EBF">
              <w:rPr>
                <w:rStyle w:val="Hyperlink"/>
                <w:noProof/>
              </w:rPr>
              <w:t>A. Overview</w:t>
            </w:r>
            <w:r>
              <w:rPr>
                <w:noProof/>
                <w:webHidden/>
              </w:rPr>
              <w:tab/>
            </w:r>
            <w:r>
              <w:rPr>
                <w:noProof/>
                <w:webHidden/>
              </w:rPr>
              <w:fldChar w:fldCharType="begin"/>
            </w:r>
            <w:r>
              <w:rPr>
                <w:noProof/>
                <w:webHidden/>
              </w:rPr>
              <w:instrText xml:space="preserve"> PAGEREF _Toc229502294 \h </w:instrText>
            </w:r>
            <w:r>
              <w:rPr>
                <w:noProof/>
                <w:webHidden/>
              </w:rPr>
            </w:r>
            <w:r>
              <w:rPr>
                <w:noProof/>
                <w:webHidden/>
              </w:rPr>
              <w:fldChar w:fldCharType="separate"/>
            </w:r>
            <w:r>
              <w:rPr>
                <w:noProof/>
                <w:webHidden/>
              </w:rPr>
              <w:t>101</w:t>
            </w:r>
            <w:r>
              <w:rPr>
                <w:noProof/>
                <w:webHidden/>
              </w:rPr>
              <w:fldChar w:fldCharType="end"/>
            </w:r>
          </w:hyperlink>
        </w:p>
        <w:p w14:paraId="3A817213" w14:textId="35F28958"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5" w:history="1">
            <w:r w:rsidRPr="001D7EBF">
              <w:rPr>
                <w:rStyle w:val="Hyperlink"/>
                <w:noProof/>
              </w:rPr>
              <w:t>B. Source Collection and Normalization</w:t>
            </w:r>
            <w:r>
              <w:rPr>
                <w:noProof/>
                <w:webHidden/>
              </w:rPr>
              <w:tab/>
            </w:r>
            <w:r>
              <w:rPr>
                <w:noProof/>
                <w:webHidden/>
              </w:rPr>
              <w:fldChar w:fldCharType="begin"/>
            </w:r>
            <w:r>
              <w:rPr>
                <w:noProof/>
                <w:webHidden/>
              </w:rPr>
              <w:instrText xml:space="preserve"> PAGEREF _Toc229502295 \h </w:instrText>
            </w:r>
            <w:r>
              <w:rPr>
                <w:noProof/>
                <w:webHidden/>
              </w:rPr>
            </w:r>
            <w:r>
              <w:rPr>
                <w:noProof/>
                <w:webHidden/>
              </w:rPr>
              <w:fldChar w:fldCharType="separate"/>
            </w:r>
            <w:r>
              <w:rPr>
                <w:noProof/>
                <w:webHidden/>
              </w:rPr>
              <w:t>101</w:t>
            </w:r>
            <w:r>
              <w:rPr>
                <w:noProof/>
                <w:webHidden/>
              </w:rPr>
              <w:fldChar w:fldCharType="end"/>
            </w:r>
          </w:hyperlink>
        </w:p>
        <w:p w14:paraId="13021301" w14:textId="71C355CB"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6" w:history="1">
            <w:r w:rsidRPr="001D7EBF">
              <w:rPr>
                <w:rStyle w:val="Hyperlink"/>
                <w:noProof/>
              </w:rPr>
              <w:t>C. Counting Units</w:t>
            </w:r>
            <w:r>
              <w:rPr>
                <w:noProof/>
                <w:webHidden/>
              </w:rPr>
              <w:tab/>
            </w:r>
            <w:r>
              <w:rPr>
                <w:noProof/>
                <w:webHidden/>
              </w:rPr>
              <w:fldChar w:fldCharType="begin"/>
            </w:r>
            <w:r>
              <w:rPr>
                <w:noProof/>
                <w:webHidden/>
              </w:rPr>
              <w:instrText xml:space="preserve"> PAGEREF _Toc229502296 \h </w:instrText>
            </w:r>
            <w:r>
              <w:rPr>
                <w:noProof/>
                <w:webHidden/>
              </w:rPr>
            </w:r>
            <w:r>
              <w:rPr>
                <w:noProof/>
                <w:webHidden/>
              </w:rPr>
              <w:fldChar w:fldCharType="separate"/>
            </w:r>
            <w:r>
              <w:rPr>
                <w:noProof/>
                <w:webHidden/>
              </w:rPr>
              <w:t>102</w:t>
            </w:r>
            <w:r>
              <w:rPr>
                <w:noProof/>
                <w:webHidden/>
              </w:rPr>
              <w:fldChar w:fldCharType="end"/>
            </w:r>
          </w:hyperlink>
        </w:p>
        <w:p w14:paraId="519FC782" w14:textId="5B855FA7"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7" w:history="1">
            <w:r w:rsidRPr="001D7EBF">
              <w:rPr>
                <w:rStyle w:val="Hyperlink"/>
                <w:noProof/>
              </w:rPr>
              <w:t>D. Universe Funnel</w:t>
            </w:r>
            <w:r>
              <w:rPr>
                <w:noProof/>
                <w:webHidden/>
              </w:rPr>
              <w:tab/>
            </w:r>
            <w:r>
              <w:rPr>
                <w:noProof/>
                <w:webHidden/>
              </w:rPr>
              <w:fldChar w:fldCharType="begin"/>
            </w:r>
            <w:r>
              <w:rPr>
                <w:noProof/>
                <w:webHidden/>
              </w:rPr>
              <w:instrText xml:space="preserve"> PAGEREF _Toc229502297 \h </w:instrText>
            </w:r>
            <w:r>
              <w:rPr>
                <w:noProof/>
                <w:webHidden/>
              </w:rPr>
            </w:r>
            <w:r>
              <w:rPr>
                <w:noProof/>
                <w:webHidden/>
              </w:rPr>
              <w:fldChar w:fldCharType="separate"/>
            </w:r>
            <w:r>
              <w:rPr>
                <w:noProof/>
                <w:webHidden/>
              </w:rPr>
              <w:t>102</w:t>
            </w:r>
            <w:r>
              <w:rPr>
                <w:noProof/>
                <w:webHidden/>
              </w:rPr>
              <w:fldChar w:fldCharType="end"/>
            </w:r>
          </w:hyperlink>
        </w:p>
        <w:p w14:paraId="79B59E44" w14:textId="4ACF45F8"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8" w:history="1">
            <w:r w:rsidRPr="001D7EBF">
              <w:rPr>
                <w:rStyle w:val="Hyperlink"/>
                <w:noProof/>
              </w:rPr>
              <w:t>E. Stance Coding</w:t>
            </w:r>
            <w:r>
              <w:rPr>
                <w:noProof/>
                <w:webHidden/>
              </w:rPr>
              <w:tab/>
            </w:r>
            <w:r>
              <w:rPr>
                <w:noProof/>
                <w:webHidden/>
              </w:rPr>
              <w:fldChar w:fldCharType="begin"/>
            </w:r>
            <w:r>
              <w:rPr>
                <w:noProof/>
                <w:webHidden/>
              </w:rPr>
              <w:instrText xml:space="preserve"> PAGEREF _Toc229502298 \h </w:instrText>
            </w:r>
            <w:r>
              <w:rPr>
                <w:noProof/>
                <w:webHidden/>
              </w:rPr>
            </w:r>
            <w:r>
              <w:rPr>
                <w:noProof/>
                <w:webHidden/>
              </w:rPr>
              <w:fldChar w:fldCharType="separate"/>
            </w:r>
            <w:r>
              <w:rPr>
                <w:noProof/>
                <w:webHidden/>
              </w:rPr>
              <w:t>103</w:t>
            </w:r>
            <w:r>
              <w:rPr>
                <w:noProof/>
                <w:webHidden/>
              </w:rPr>
              <w:fldChar w:fldCharType="end"/>
            </w:r>
          </w:hyperlink>
        </w:p>
        <w:p w14:paraId="478580F4" w14:textId="24CCB9E6"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299" w:history="1">
            <w:r w:rsidRPr="001D7EBF">
              <w:rPr>
                <w:rStyle w:val="Hyperlink"/>
                <w:noProof/>
              </w:rPr>
              <w:t>F. Focus Coding: CE, CI, and Broad ESG</w:t>
            </w:r>
            <w:r>
              <w:rPr>
                <w:noProof/>
                <w:webHidden/>
              </w:rPr>
              <w:tab/>
            </w:r>
            <w:r>
              <w:rPr>
                <w:noProof/>
                <w:webHidden/>
              </w:rPr>
              <w:fldChar w:fldCharType="begin"/>
            </w:r>
            <w:r>
              <w:rPr>
                <w:noProof/>
                <w:webHidden/>
              </w:rPr>
              <w:instrText xml:space="preserve"> PAGEREF _Toc229502299 \h </w:instrText>
            </w:r>
            <w:r>
              <w:rPr>
                <w:noProof/>
                <w:webHidden/>
              </w:rPr>
            </w:r>
            <w:r>
              <w:rPr>
                <w:noProof/>
                <w:webHidden/>
              </w:rPr>
              <w:fldChar w:fldCharType="separate"/>
            </w:r>
            <w:r>
              <w:rPr>
                <w:noProof/>
                <w:webHidden/>
              </w:rPr>
              <w:t>103</w:t>
            </w:r>
            <w:r>
              <w:rPr>
                <w:noProof/>
                <w:webHidden/>
              </w:rPr>
              <w:fldChar w:fldCharType="end"/>
            </w:r>
          </w:hyperlink>
        </w:p>
        <w:p w14:paraId="67B0D9D8" w14:textId="0C7A5DDB"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0" w:history="1">
            <w:r w:rsidRPr="001D7EBF">
              <w:rPr>
                <w:rStyle w:val="Hyperlink"/>
                <w:noProof/>
              </w:rPr>
              <w:t>G. Exclusions and Sidecars</w:t>
            </w:r>
            <w:r>
              <w:rPr>
                <w:noProof/>
                <w:webHidden/>
              </w:rPr>
              <w:tab/>
            </w:r>
            <w:r>
              <w:rPr>
                <w:noProof/>
                <w:webHidden/>
              </w:rPr>
              <w:fldChar w:fldCharType="begin"/>
            </w:r>
            <w:r>
              <w:rPr>
                <w:noProof/>
                <w:webHidden/>
              </w:rPr>
              <w:instrText xml:space="preserve"> PAGEREF _Toc229502300 \h </w:instrText>
            </w:r>
            <w:r>
              <w:rPr>
                <w:noProof/>
                <w:webHidden/>
              </w:rPr>
            </w:r>
            <w:r>
              <w:rPr>
                <w:noProof/>
                <w:webHidden/>
              </w:rPr>
              <w:fldChar w:fldCharType="separate"/>
            </w:r>
            <w:r>
              <w:rPr>
                <w:noProof/>
                <w:webHidden/>
              </w:rPr>
              <w:t>106</w:t>
            </w:r>
            <w:r>
              <w:rPr>
                <w:noProof/>
                <w:webHidden/>
              </w:rPr>
              <w:fldChar w:fldCharType="end"/>
            </w:r>
          </w:hyperlink>
        </w:p>
        <w:p w14:paraId="06A21F12" w14:textId="4461A64D"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1" w:history="1">
            <w:r w:rsidRPr="001D7EBF">
              <w:rPr>
                <w:rStyle w:val="Hyperlink"/>
                <w:noProof/>
              </w:rPr>
              <w:t>H. Status and Enactment Rates</w:t>
            </w:r>
            <w:r>
              <w:rPr>
                <w:noProof/>
                <w:webHidden/>
              </w:rPr>
              <w:tab/>
            </w:r>
            <w:r>
              <w:rPr>
                <w:noProof/>
                <w:webHidden/>
              </w:rPr>
              <w:fldChar w:fldCharType="begin"/>
            </w:r>
            <w:r>
              <w:rPr>
                <w:noProof/>
                <w:webHidden/>
              </w:rPr>
              <w:instrText xml:space="preserve"> PAGEREF _Toc229502301 \h </w:instrText>
            </w:r>
            <w:r>
              <w:rPr>
                <w:noProof/>
                <w:webHidden/>
              </w:rPr>
            </w:r>
            <w:r>
              <w:rPr>
                <w:noProof/>
                <w:webHidden/>
              </w:rPr>
              <w:fldChar w:fldCharType="separate"/>
            </w:r>
            <w:r>
              <w:rPr>
                <w:noProof/>
                <w:webHidden/>
              </w:rPr>
              <w:t>108</w:t>
            </w:r>
            <w:r>
              <w:rPr>
                <w:noProof/>
                <w:webHidden/>
              </w:rPr>
              <w:fldChar w:fldCharType="end"/>
            </w:r>
          </w:hyperlink>
        </w:p>
        <w:p w14:paraId="148EA2B9" w14:textId="3324538C"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2" w:history="1">
            <w:r w:rsidRPr="001D7EBF">
              <w:rPr>
                <w:rStyle w:val="Hyperlink"/>
                <w:noProof/>
              </w:rPr>
              <w:t>I. Enacted Stock by Universe</w:t>
            </w:r>
            <w:r>
              <w:rPr>
                <w:noProof/>
                <w:webHidden/>
              </w:rPr>
              <w:tab/>
            </w:r>
            <w:r>
              <w:rPr>
                <w:noProof/>
                <w:webHidden/>
              </w:rPr>
              <w:fldChar w:fldCharType="begin"/>
            </w:r>
            <w:r>
              <w:rPr>
                <w:noProof/>
                <w:webHidden/>
              </w:rPr>
              <w:instrText xml:space="preserve"> PAGEREF _Toc229502302 \h </w:instrText>
            </w:r>
            <w:r>
              <w:rPr>
                <w:noProof/>
                <w:webHidden/>
              </w:rPr>
            </w:r>
            <w:r>
              <w:rPr>
                <w:noProof/>
                <w:webHidden/>
              </w:rPr>
              <w:fldChar w:fldCharType="separate"/>
            </w:r>
            <w:r>
              <w:rPr>
                <w:noProof/>
                <w:webHidden/>
              </w:rPr>
              <w:t>109</w:t>
            </w:r>
            <w:r>
              <w:rPr>
                <w:noProof/>
                <w:webHidden/>
              </w:rPr>
              <w:fldChar w:fldCharType="end"/>
            </w:r>
          </w:hyperlink>
        </w:p>
        <w:p w14:paraId="3F055AFD" w14:textId="601DA610"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3" w:history="1">
            <w:r w:rsidRPr="001D7EBF">
              <w:rPr>
                <w:rStyle w:val="Hyperlink"/>
                <w:noProof/>
              </w:rPr>
              <w:t>J. Mechanisms, Reach, and Legal Tools</w:t>
            </w:r>
            <w:r>
              <w:rPr>
                <w:noProof/>
                <w:webHidden/>
              </w:rPr>
              <w:tab/>
            </w:r>
            <w:r>
              <w:rPr>
                <w:noProof/>
                <w:webHidden/>
              </w:rPr>
              <w:fldChar w:fldCharType="begin"/>
            </w:r>
            <w:r>
              <w:rPr>
                <w:noProof/>
                <w:webHidden/>
              </w:rPr>
              <w:instrText xml:space="preserve"> PAGEREF _Toc229502303 \h </w:instrText>
            </w:r>
            <w:r>
              <w:rPr>
                <w:noProof/>
                <w:webHidden/>
              </w:rPr>
            </w:r>
            <w:r>
              <w:rPr>
                <w:noProof/>
                <w:webHidden/>
              </w:rPr>
              <w:fldChar w:fldCharType="separate"/>
            </w:r>
            <w:r>
              <w:rPr>
                <w:noProof/>
                <w:webHidden/>
              </w:rPr>
              <w:t>110</w:t>
            </w:r>
            <w:r>
              <w:rPr>
                <w:noProof/>
                <w:webHidden/>
              </w:rPr>
              <w:fldChar w:fldCharType="end"/>
            </w:r>
          </w:hyperlink>
        </w:p>
        <w:p w14:paraId="4B807633" w14:textId="6943814D"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4" w:history="1">
            <w:r w:rsidRPr="001D7EBF">
              <w:rPr>
                <w:rStyle w:val="Hyperlink"/>
                <w:noProof/>
              </w:rPr>
              <w:t>K. Temporal Waves</w:t>
            </w:r>
            <w:r>
              <w:rPr>
                <w:noProof/>
                <w:webHidden/>
              </w:rPr>
              <w:tab/>
            </w:r>
            <w:r>
              <w:rPr>
                <w:noProof/>
                <w:webHidden/>
              </w:rPr>
              <w:fldChar w:fldCharType="begin"/>
            </w:r>
            <w:r>
              <w:rPr>
                <w:noProof/>
                <w:webHidden/>
              </w:rPr>
              <w:instrText xml:space="preserve"> PAGEREF _Toc229502304 \h </w:instrText>
            </w:r>
            <w:r>
              <w:rPr>
                <w:noProof/>
                <w:webHidden/>
              </w:rPr>
            </w:r>
            <w:r>
              <w:rPr>
                <w:noProof/>
                <w:webHidden/>
              </w:rPr>
              <w:fldChar w:fldCharType="separate"/>
            </w:r>
            <w:r>
              <w:rPr>
                <w:noProof/>
                <w:webHidden/>
              </w:rPr>
              <w:t>111</w:t>
            </w:r>
            <w:r>
              <w:rPr>
                <w:noProof/>
                <w:webHidden/>
              </w:rPr>
              <w:fldChar w:fldCharType="end"/>
            </w:r>
          </w:hyperlink>
        </w:p>
        <w:p w14:paraId="1A4357A6" w14:textId="50CE5101"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5" w:history="1">
            <w:r w:rsidRPr="001D7EBF">
              <w:rPr>
                <w:rStyle w:val="Hyperlink"/>
                <w:noProof/>
              </w:rPr>
              <w:t>L. Substance-Axis Foreclosure and PNC Tiers</w:t>
            </w:r>
            <w:r>
              <w:rPr>
                <w:noProof/>
                <w:webHidden/>
              </w:rPr>
              <w:tab/>
            </w:r>
            <w:r>
              <w:rPr>
                <w:noProof/>
                <w:webHidden/>
              </w:rPr>
              <w:fldChar w:fldCharType="begin"/>
            </w:r>
            <w:r>
              <w:rPr>
                <w:noProof/>
                <w:webHidden/>
              </w:rPr>
              <w:instrText xml:space="preserve"> PAGEREF _Toc229502305 \h </w:instrText>
            </w:r>
            <w:r>
              <w:rPr>
                <w:noProof/>
                <w:webHidden/>
              </w:rPr>
            </w:r>
            <w:r>
              <w:rPr>
                <w:noProof/>
                <w:webHidden/>
              </w:rPr>
              <w:fldChar w:fldCharType="separate"/>
            </w:r>
            <w:r>
              <w:rPr>
                <w:noProof/>
                <w:webHidden/>
              </w:rPr>
              <w:t>112</w:t>
            </w:r>
            <w:r>
              <w:rPr>
                <w:noProof/>
                <w:webHidden/>
              </w:rPr>
              <w:fldChar w:fldCharType="end"/>
            </w:r>
          </w:hyperlink>
        </w:p>
        <w:p w14:paraId="24863BF8" w14:textId="11082503"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6" w:history="1">
            <w:r w:rsidRPr="001D7EBF">
              <w:rPr>
                <w:rStyle w:val="Hyperlink"/>
                <w:noProof/>
              </w:rPr>
              <w:t>M. Savings Clauses and Operational Fit</w:t>
            </w:r>
            <w:r>
              <w:rPr>
                <w:noProof/>
                <w:webHidden/>
              </w:rPr>
              <w:tab/>
            </w:r>
            <w:r>
              <w:rPr>
                <w:noProof/>
                <w:webHidden/>
              </w:rPr>
              <w:fldChar w:fldCharType="begin"/>
            </w:r>
            <w:r>
              <w:rPr>
                <w:noProof/>
                <w:webHidden/>
              </w:rPr>
              <w:instrText xml:space="preserve"> PAGEREF _Toc229502306 \h </w:instrText>
            </w:r>
            <w:r>
              <w:rPr>
                <w:noProof/>
                <w:webHidden/>
              </w:rPr>
            </w:r>
            <w:r>
              <w:rPr>
                <w:noProof/>
                <w:webHidden/>
              </w:rPr>
              <w:fldChar w:fldCharType="separate"/>
            </w:r>
            <w:r>
              <w:rPr>
                <w:noProof/>
                <w:webHidden/>
              </w:rPr>
              <w:t>113</w:t>
            </w:r>
            <w:r>
              <w:rPr>
                <w:noProof/>
                <w:webHidden/>
              </w:rPr>
              <w:fldChar w:fldCharType="end"/>
            </w:r>
          </w:hyperlink>
        </w:p>
        <w:p w14:paraId="4CB76991" w14:textId="61A21791"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7" w:history="1">
            <w:r w:rsidRPr="001D7EBF">
              <w:rPr>
                <w:rStyle w:val="Hyperlink"/>
                <w:noProof/>
              </w:rPr>
              <w:t>N. Clause Extraction</w:t>
            </w:r>
            <w:r>
              <w:rPr>
                <w:noProof/>
                <w:webHidden/>
              </w:rPr>
              <w:tab/>
            </w:r>
            <w:r>
              <w:rPr>
                <w:noProof/>
                <w:webHidden/>
              </w:rPr>
              <w:fldChar w:fldCharType="begin"/>
            </w:r>
            <w:r>
              <w:rPr>
                <w:noProof/>
                <w:webHidden/>
              </w:rPr>
              <w:instrText xml:space="preserve"> PAGEREF _Toc229502307 \h </w:instrText>
            </w:r>
            <w:r>
              <w:rPr>
                <w:noProof/>
                <w:webHidden/>
              </w:rPr>
            </w:r>
            <w:r>
              <w:rPr>
                <w:noProof/>
                <w:webHidden/>
              </w:rPr>
              <w:fldChar w:fldCharType="separate"/>
            </w:r>
            <w:r>
              <w:rPr>
                <w:noProof/>
                <w:webHidden/>
              </w:rPr>
              <w:t>115</w:t>
            </w:r>
            <w:r>
              <w:rPr>
                <w:noProof/>
                <w:webHidden/>
              </w:rPr>
              <w:fldChar w:fldCharType="end"/>
            </w:r>
          </w:hyperlink>
        </w:p>
        <w:p w14:paraId="3359BCAA" w14:textId="19FABDA3"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8" w:history="1">
            <w:r w:rsidRPr="001D7EBF">
              <w:rPr>
                <w:rStyle w:val="Hyperlink"/>
                <w:noProof/>
              </w:rPr>
              <w:t>O. Machine Classification and Calibration</w:t>
            </w:r>
            <w:r>
              <w:rPr>
                <w:noProof/>
                <w:webHidden/>
              </w:rPr>
              <w:tab/>
            </w:r>
            <w:r>
              <w:rPr>
                <w:noProof/>
                <w:webHidden/>
              </w:rPr>
              <w:fldChar w:fldCharType="begin"/>
            </w:r>
            <w:r>
              <w:rPr>
                <w:noProof/>
                <w:webHidden/>
              </w:rPr>
              <w:instrText xml:space="preserve"> PAGEREF _Toc229502308 \h </w:instrText>
            </w:r>
            <w:r>
              <w:rPr>
                <w:noProof/>
                <w:webHidden/>
              </w:rPr>
            </w:r>
            <w:r>
              <w:rPr>
                <w:noProof/>
                <w:webHidden/>
              </w:rPr>
              <w:fldChar w:fldCharType="separate"/>
            </w:r>
            <w:r>
              <w:rPr>
                <w:noProof/>
                <w:webHidden/>
              </w:rPr>
              <w:t>115</w:t>
            </w:r>
            <w:r>
              <w:rPr>
                <w:noProof/>
                <w:webHidden/>
              </w:rPr>
              <w:fldChar w:fldCharType="end"/>
            </w:r>
          </w:hyperlink>
        </w:p>
        <w:p w14:paraId="14A78932" w14:textId="0215EE1B"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09" w:history="1">
            <w:r w:rsidRPr="001D7EBF">
              <w:rPr>
                <w:rStyle w:val="Hyperlink"/>
                <w:noProof/>
              </w:rPr>
              <w:t>P. Embeddings, Topics, Template Families, and Diffusion</w:t>
            </w:r>
            <w:r>
              <w:rPr>
                <w:noProof/>
                <w:webHidden/>
              </w:rPr>
              <w:tab/>
            </w:r>
            <w:r>
              <w:rPr>
                <w:noProof/>
                <w:webHidden/>
              </w:rPr>
              <w:fldChar w:fldCharType="begin"/>
            </w:r>
            <w:r>
              <w:rPr>
                <w:noProof/>
                <w:webHidden/>
              </w:rPr>
              <w:instrText xml:space="preserve"> PAGEREF _Toc229502309 \h </w:instrText>
            </w:r>
            <w:r>
              <w:rPr>
                <w:noProof/>
                <w:webHidden/>
              </w:rPr>
            </w:r>
            <w:r>
              <w:rPr>
                <w:noProof/>
                <w:webHidden/>
              </w:rPr>
              <w:fldChar w:fldCharType="separate"/>
            </w:r>
            <w:r>
              <w:rPr>
                <w:noProof/>
                <w:webHidden/>
              </w:rPr>
              <w:t>115</w:t>
            </w:r>
            <w:r>
              <w:rPr>
                <w:noProof/>
                <w:webHidden/>
              </w:rPr>
              <w:fldChar w:fldCharType="end"/>
            </w:r>
          </w:hyperlink>
        </w:p>
        <w:p w14:paraId="7A4708EB" w14:textId="505B7B61"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10" w:history="1">
            <w:r w:rsidRPr="001D7EBF">
              <w:rPr>
                <w:rStyle w:val="Hyperlink"/>
                <w:noProof/>
              </w:rPr>
              <w:t>Q. Human Review and Source Closeout</w:t>
            </w:r>
            <w:r>
              <w:rPr>
                <w:noProof/>
                <w:webHidden/>
              </w:rPr>
              <w:tab/>
            </w:r>
            <w:r>
              <w:rPr>
                <w:noProof/>
                <w:webHidden/>
              </w:rPr>
              <w:fldChar w:fldCharType="begin"/>
            </w:r>
            <w:r>
              <w:rPr>
                <w:noProof/>
                <w:webHidden/>
              </w:rPr>
              <w:instrText xml:space="preserve"> PAGEREF _Toc229502310 \h </w:instrText>
            </w:r>
            <w:r>
              <w:rPr>
                <w:noProof/>
                <w:webHidden/>
              </w:rPr>
            </w:r>
            <w:r>
              <w:rPr>
                <w:noProof/>
                <w:webHidden/>
              </w:rPr>
              <w:fldChar w:fldCharType="separate"/>
            </w:r>
            <w:r>
              <w:rPr>
                <w:noProof/>
                <w:webHidden/>
              </w:rPr>
              <w:t>116</w:t>
            </w:r>
            <w:r>
              <w:rPr>
                <w:noProof/>
                <w:webHidden/>
              </w:rPr>
              <w:fldChar w:fldCharType="end"/>
            </w:r>
          </w:hyperlink>
        </w:p>
        <w:p w14:paraId="122E23B3" w14:textId="697A3067" w:rsidR="002556C3" w:rsidRDefault="002556C3" w:rsidP="002556C3">
          <w:pPr>
            <w:pStyle w:val="TOC2"/>
            <w:tabs>
              <w:tab w:val="right" w:leader="dot" w:pos="9350"/>
            </w:tabs>
            <w:spacing w:line="276" w:lineRule="auto"/>
            <w:rPr>
              <w:rFonts w:asciiTheme="minorHAnsi" w:eastAsiaTheme="minorEastAsia" w:hAnsiTheme="minorHAnsi" w:cstheme="minorBidi"/>
              <w:noProof/>
              <w:kern w:val="2"/>
              <w:lang w:eastAsia="en-US"/>
              <w14:ligatures w14:val="standardContextual"/>
            </w:rPr>
          </w:pPr>
          <w:hyperlink w:anchor="_Toc229502311" w:history="1">
            <w:r w:rsidRPr="001D7EBF">
              <w:rPr>
                <w:rStyle w:val="Hyperlink"/>
                <w:noProof/>
              </w:rPr>
              <w:t>R. Limits</w:t>
            </w:r>
            <w:r>
              <w:rPr>
                <w:noProof/>
                <w:webHidden/>
              </w:rPr>
              <w:tab/>
            </w:r>
            <w:r>
              <w:rPr>
                <w:noProof/>
                <w:webHidden/>
              </w:rPr>
              <w:fldChar w:fldCharType="begin"/>
            </w:r>
            <w:r>
              <w:rPr>
                <w:noProof/>
                <w:webHidden/>
              </w:rPr>
              <w:instrText xml:space="preserve"> PAGEREF _Toc229502311 \h </w:instrText>
            </w:r>
            <w:r>
              <w:rPr>
                <w:noProof/>
                <w:webHidden/>
              </w:rPr>
            </w:r>
            <w:r>
              <w:rPr>
                <w:noProof/>
                <w:webHidden/>
              </w:rPr>
              <w:fldChar w:fldCharType="separate"/>
            </w:r>
            <w:r>
              <w:rPr>
                <w:noProof/>
                <w:webHidden/>
              </w:rPr>
              <w:t>116</w:t>
            </w:r>
            <w:r>
              <w:rPr>
                <w:noProof/>
                <w:webHidden/>
              </w:rPr>
              <w:fldChar w:fldCharType="end"/>
            </w:r>
          </w:hyperlink>
        </w:p>
        <w:p w14:paraId="2DA8801A" w14:textId="0F1C34F7" w:rsidR="001A3FB3" w:rsidRPr="001A3FB3" w:rsidRDefault="001A3FB3" w:rsidP="002556C3">
          <w:pPr>
            <w:pStyle w:val="BodyText"/>
            <w:spacing w:line="276" w:lineRule="auto"/>
            <w:rPr>
              <w:color w:val="000000" w:themeColor="text1"/>
            </w:rPr>
          </w:pPr>
          <w:r w:rsidRPr="001A3FB3">
            <w:rPr>
              <w:color w:val="000000" w:themeColor="text1"/>
            </w:rPr>
            <w:fldChar w:fldCharType="end"/>
          </w:r>
        </w:p>
      </w:sdtContent>
    </w:sdt>
    <w:p w14:paraId="1D2A0308" w14:textId="77777777" w:rsidR="005F5ACD" w:rsidRPr="001A3FB3" w:rsidRDefault="00000000" w:rsidP="001A3FB3">
      <w:pPr>
        <w:pStyle w:val="Heading1"/>
      </w:pPr>
      <w:bookmarkStart w:id="2" w:name="table-of-contents"/>
      <w:bookmarkStart w:id="3" w:name="abstract"/>
      <w:bookmarkStart w:id="4" w:name="_Toc229502252"/>
      <w:r w:rsidRPr="001A3FB3">
        <w:t>ABSTRACT</w:t>
      </w:r>
      <w:bookmarkEnd w:id="4"/>
    </w:p>
    <w:p w14:paraId="6FC31BE0" w14:textId="4D1B88F6" w:rsidR="005F5ACD" w:rsidRPr="001A3FB3" w:rsidRDefault="00000000">
      <w:pPr>
        <w:pStyle w:val="FirstParagraph"/>
        <w:rPr>
          <w:color w:val="000000" w:themeColor="text1"/>
        </w:rPr>
      </w:pPr>
      <w:r w:rsidRPr="001A3FB3">
        <w:rPr>
          <w:color w:val="000000" w:themeColor="text1"/>
        </w:rPr>
        <w:t xml:space="preserve">State Anti-ESG legislation has been described through bundled political shorthand—ESG, woke capitalism, boycott law, fiduciary neutrality. The shorthand obscures more than it </w:t>
      </w:r>
      <w:proofErr w:type="gramStart"/>
      <w:r w:rsidRPr="001A3FB3">
        <w:rPr>
          <w:color w:val="000000" w:themeColor="text1"/>
        </w:rPr>
        <w:t>reveals</w:t>
      </w:r>
      <w:proofErr w:type="gramEnd"/>
      <w:r w:rsidRPr="001A3FB3">
        <w:rPr>
          <w:color w:val="000000" w:themeColor="text1"/>
        </w:rPr>
        <w:t xml:space="preserve">. State statutory text is more uneven: some statutes name climate, fossil fuels, or net-zero commitments; others use </w:t>
      </w:r>
      <w:r w:rsidR="00B62085">
        <w:rPr>
          <w:color w:val="000000" w:themeColor="text1"/>
        </w:rPr>
        <w:t>“</w:t>
      </w:r>
      <w:r w:rsidRPr="001A3FB3">
        <w:rPr>
          <w:color w:val="000000" w:themeColor="text1"/>
        </w:rPr>
        <w:t>pecuniary,</w:t>
      </w:r>
      <w:r w:rsidR="00B62085">
        <w:rPr>
          <w:color w:val="000000" w:themeColor="text1"/>
        </w:rPr>
        <w:t>”</w:t>
      </w:r>
      <w:r w:rsidRPr="001A3FB3">
        <w:rPr>
          <w:color w:val="000000" w:themeColor="text1"/>
        </w:rPr>
        <w:t xml:space="preserve"> </w:t>
      </w:r>
      <w:r w:rsidR="00B62085">
        <w:rPr>
          <w:color w:val="000000" w:themeColor="text1"/>
        </w:rPr>
        <w:t>“</w:t>
      </w:r>
      <w:r w:rsidRPr="001A3FB3">
        <w:rPr>
          <w:color w:val="000000" w:themeColor="text1"/>
        </w:rPr>
        <w:t>boycott,</w:t>
      </w:r>
      <w:r w:rsidR="00B62085">
        <w:rPr>
          <w:color w:val="000000" w:themeColor="text1"/>
        </w:rPr>
        <w:t>”</w:t>
      </w:r>
      <w:r w:rsidRPr="001A3FB3">
        <w:rPr>
          <w:color w:val="000000" w:themeColor="text1"/>
        </w:rPr>
        <w:t xml:space="preserve"> </w:t>
      </w:r>
      <w:r w:rsidR="00B62085">
        <w:rPr>
          <w:color w:val="000000" w:themeColor="text1"/>
        </w:rPr>
        <w:t>“</w:t>
      </w:r>
      <w:r w:rsidRPr="001A3FB3">
        <w:rPr>
          <w:color w:val="000000" w:themeColor="text1"/>
        </w:rPr>
        <w:t>social credit,</w:t>
      </w:r>
      <w:r w:rsidR="00B62085">
        <w:rPr>
          <w:color w:val="000000" w:themeColor="text1"/>
        </w:rPr>
        <w:t>”</w:t>
      </w:r>
      <w:r w:rsidRPr="001A3FB3">
        <w:rPr>
          <w:color w:val="000000" w:themeColor="text1"/>
        </w:rPr>
        <w:t xml:space="preserve"> or </w:t>
      </w:r>
      <w:r w:rsidR="00B62085">
        <w:rPr>
          <w:color w:val="000000" w:themeColor="text1"/>
        </w:rPr>
        <w:t>“</w:t>
      </w:r>
      <w:r w:rsidRPr="001A3FB3">
        <w:rPr>
          <w:color w:val="000000" w:themeColor="text1"/>
        </w:rPr>
        <w:t>ideological</w:t>
      </w:r>
      <w:r w:rsidR="00B62085">
        <w:rPr>
          <w:color w:val="000000" w:themeColor="text1"/>
        </w:rPr>
        <w:t>”</w:t>
      </w:r>
      <w:r w:rsidRPr="001A3FB3">
        <w:rPr>
          <w:color w:val="000000" w:themeColor="text1"/>
        </w:rPr>
        <w:t xml:space="preserve"> framing; still others reach climate-coded analysis indirectly through energy-boycott, investment, proxy, or stewardship terms. This Article disaggregates the field through a clause-level study and identifies three architectural moves the wave</w:t>
      </w:r>
      <w:r w:rsidR="00B62085">
        <w:rPr>
          <w:color w:val="000000" w:themeColor="text1"/>
        </w:rPr>
        <w:t>’</w:t>
      </w:r>
      <w:r w:rsidRPr="001A3FB3">
        <w:rPr>
          <w:color w:val="000000" w:themeColor="text1"/>
        </w:rPr>
        <w:t xml:space="preserve">s text repeatedly performs. </w:t>
      </w:r>
      <w:r w:rsidRPr="001A3FB3">
        <w:rPr>
          <w:i/>
          <w:iCs/>
          <w:color w:val="000000" w:themeColor="text1"/>
        </w:rPr>
        <w:t>Substance-Axis Foreclosure</w:t>
      </w:r>
      <w:r w:rsidRPr="001A3FB3">
        <w:rPr>
          <w:color w:val="000000" w:themeColor="text1"/>
        </w:rPr>
        <w:t xml:space="preserve"> is the narrow hard core: a small set of statutes—Arkansas HB 1253 and four parallel codifications—that, by definitional or materiality redefinition, render climate- or ESG-coded analytical inputs legally ineligible for fiduciary, banking, insurance, proxy, or disclosure consideration upstream of motive review. </w:t>
      </w:r>
      <w:r w:rsidRPr="001A3FB3">
        <w:rPr>
          <w:i/>
          <w:iCs/>
          <w:color w:val="000000" w:themeColor="text1"/>
        </w:rPr>
        <w:t>Evidentiary Conversion</w:t>
      </w:r>
      <w:r w:rsidRPr="001A3FB3">
        <w:rPr>
          <w:color w:val="000000" w:themeColor="text1"/>
        </w:rPr>
        <w:t xml:space="preserve"> is the cross-channel move: statutes (Kentucky HB 236 is the clearest example) recode coalition memberships, public stewardship statements, and proxy-vote rationales into enumerated statutory evidence of prohibited purpose. </w:t>
      </w:r>
      <w:r w:rsidRPr="001A3FB3">
        <w:rPr>
          <w:i/>
          <w:iCs/>
          <w:color w:val="000000" w:themeColor="text1"/>
        </w:rPr>
        <w:t>Compliance Overhang</w:t>
      </w:r>
      <w:r w:rsidRPr="001A3FB3">
        <w:rPr>
          <w:color w:val="000000" w:themeColor="text1"/>
        </w:rPr>
        <w:t xml:space="preserve"> denotes the cumulative legal liability, regulatory cost, reputational risk, and transaction-cost burden that the wave</w:t>
      </w:r>
      <w:r w:rsidR="00B62085">
        <w:rPr>
          <w:color w:val="000000" w:themeColor="text1"/>
        </w:rPr>
        <w:t>’</w:t>
      </w:r>
      <w:r w:rsidRPr="001A3FB3">
        <w:rPr>
          <w:color w:val="000000" w:themeColor="text1"/>
        </w:rPr>
        <w:t>s multi-channel architecture generates in the aggregate—a burden that raises the operating cost of ESG-coded decision-making regardless of whether any individual statute produces an identifiable market exit. The framework is symmetric: the same architectural tests apply to Pro-side mandates (CA AB 979, CA SB 253, CA SB 261, Maine LD 99, IL SB 2152), and the verdicts split by architectural feature, not political stance.</w:t>
      </w:r>
    </w:p>
    <w:p w14:paraId="2B1155A4" w14:textId="5C80F805" w:rsidR="005F5ACD" w:rsidRPr="001A3FB3" w:rsidRDefault="00000000">
      <w:pPr>
        <w:pStyle w:val="BodyText"/>
        <w:rPr>
          <w:color w:val="000000" w:themeColor="text1"/>
        </w:rPr>
      </w:pPr>
      <w:r w:rsidRPr="001A3FB3">
        <w:rPr>
          <w:color w:val="000000" w:themeColor="text1"/>
        </w:rPr>
        <w:t>The Anti-side wave</w:t>
      </w:r>
      <w:r w:rsidR="00B62085">
        <w:rPr>
          <w:color w:val="000000" w:themeColor="text1"/>
        </w:rPr>
        <w:t>’</w:t>
      </w:r>
      <w:r w:rsidRPr="001A3FB3">
        <w:rPr>
          <w:color w:val="000000" w:themeColor="text1"/>
        </w:rPr>
        <w:t>s distinctive footprint is not a higher enactment rate—within the climate-focused ESG universe, enacted rates for Anti- and Pro-side bills are nearly equivalent—but greater volume, broader actor reach, and stacking across fiduciary, state-money, banking, insurance, proxy, certification, disclosure, and enforcement channels. When challenged, the statutes</w:t>
      </w:r>
      <w:r w:rsidR="00B62085">
        <w:rPr>
          <w:color w:val="000000" w:themeColor="text1"/>
        </w:rPr>
        <w:t>’</w:t>
      </w:r>
      <w:r w:rsidRPr="001A3FB3">
        <w:rPr>
          <w:color w:val="000000" w:themeColor="text1"/>
        </w:rPr>
        <w:t xml:space="preserve"> most aggressive instruments have fared worst in court: </w:t>
      </w:r>
      <w:r w:rsidRPr="001A3FB3">
        <w:rPr>
          <w:i/>
          <w:iCs/>
          <w:color w:val="000000" w:themeColor="text1"/>
        </w:rPr>
        <w:t>Keenan v. Russ</w:t>
      </w:r>
      <w:r w:rsidRPr="001A3FB3">
        <w:rPr>
          <w:color w:val="000000" w:themeColor="text1"/>
        </w:rPr>
        <w:t xml:space="preserve"> invalidated Oklahoma</w:t>
      </w:r>
      <w:r w:rsidR="00B62085">
        <w:rPr>
          <w:color w:val="000000" w:themeColor="text1"/>
        </w:rPr>
        <w:t>’</w:t>
      </w:r>
      <w:r w:rsidRPr="001A3FB3">
        <w:rPr>
          <w:color w:val="000000" w:themeColor="text1"/>
        </w:rPr>
        <w:t xml:space="preserve">s EDEA as applied to its public pension system under exclusive-purpose constitutional analysis; </w:t>
      </w:r>
      <w:r w:rsidRPr="001A3FB3">
        <w:rPr>
          <w:i/>
          <w:iCs/>
          <w:color w:val="000000" w:themeColor="text1"/>
        </w:rPr>
        <w:t>American Sustainable Business Council v. Hegar</w:t>
      </w:r>
      <w:r w:rsidRPr="001A3FB3">
        <w:rPr>
          <w:color w:val="000000" w:themeColor="text1"/>
        </w:rPr>
        <w:t xml:space="preserve"> enjoined Texas Senate Bill 13</w:t>
      </w:r>
      <w:r w:rsidR="00B62085">
        <w:rPr>
          <w:color w:val="000000" w:themeColor="text1"/>
        </w:rPr>
        <w:t>’</w:t>
      </w:r>
      <w:r w:rsidRPr="001A3FB3">
        <w:rPr>
          <w:color w:val="000000" w:themeColor="text1"/>
        </w:rPr>
        <w:t xml:space="preserve">s designation regime on First Amendment overbreadth and Fourteenth Amendment vagueness grounds; the </w:t>
      </w:r>
      <w:r w:rsidRPr="001A3FB3">
        <w:rPr>
          <w:i/>
          <w:iCs/>
          <w:color w:val="000000" w:themeColor="text1"/>
        </w:rPr>
        <w:t>Glass Lewis</w:t>
      </w:r>
      <w:r w:rsidRPr="001A3FB3">
        <w:rPr>
          <w:color w:val="000000" w:themeColor="text1"/>
        </w:rPr>
        <w:t xml:space="preserve"> / </w:t>
      </w:r>
      <w:r w:rsidRPr="001A3FB3">
        <w:rPr>
          <w:i/>
          <w:iCs/>
          <w:color w:val="000000" w:themeColor="text1"/>
        </w:rPr>
        <w:t>ISS v. Paxton</w:t>
      </w:r>
      <w:r w:rsidRPr="001A3FB3">
        <w:rPr>
          <w:color w:val="000000" w:themeColor="text1"/>
        </w:rPr>
        <w:t xml:space="preserve"> preliminary injunctions reached Texas Senate Bill 2337</w:t>
      </w:r>
      <w:r w:rsidR="00B62085">
        <w:rPr>
          <w:color w:val="000000" w:themeColor="text1"/>
        </w:rPr>
        <w:t>’</w:t>
      </w:r>
      <w:r w:rsidRPr="001A3FB3">
        <w:rPr>
          <w:color w:val="000000" w:themeColor="text1"/>
        </w:rPr>
        <w:t>s asymmetric written-financial-analysis duty on compelled-speech grounds. Politically and economically, the cumulative cost environment is structurally significant whether or not behavioral retreat can be cleanly attributed to specific statutes—anchored by Garrett and Ivanov</w:t>
      </w:r>
      <w:r w:rsidR="00B62085">
        <w:rPr>
          <w:color w:val="000000" w:themeColor="text1"/>
        </w:rPr>
        <w:t>’</w:t>
      </w:r>
      <w:r w:rsidRPr="001A3FB3">
        <w:rPr>
          <w:color w:val="000000" w:themeColor="text1"/>
        </w:rPr>
        <w:t>s documentation of $300–500 million in increased Texas municipal-bond borrowing costs and OPERS</w:t>
      </w:r>
      <w:r w:rsidR="00B62085">
        <w:rPr>
          <w:color w:val="000000" w:themeColor="text1"/>
        </w:rPr>
        <w:t>’</w:t>
      </w:r>
      <w:r w:rsidRPr="001A3FB3">
        <w:rPr>
          <w:color w:val="000000" w:themeColor="text1"/>
        </w:rPr>
        <w:t xml:space="preserve">s $9.7 million switching-cost estimate introduced in the </w:t>
      </w:r>
      <w:r w:rsidRPr="001A3FB3">
        <w:rPr>
          <w:i/>
          <w:iCs/>
          <w:color w:val="000000" w:themeColor="text1"/>
        </w:rPr>
        <w:t>Keenan v. Russ</w:t>
      </w:r>
      <w:r w:rsidRPr="001A3FB3">
        <w:rPr>
          <w:color w:val="000000" w:themeColor="text1"/>
        </w:rPr>
        <w:t xml:space="preserve"> litigation record. The Article</w:t>
      </w:r>
      <w:r w:rsidR="00B62085">
        <w:rPr>
          <w:color w:val="000000" w:themeColor="text1"/>
        </w:rPr>
        <w:t>’</w:t>
      </w:r>
      <w:r w:rsidRPr="001A3FB3">
        <w:rPr>
          <w:color w:val="000000" w:themeColor="text1"/>
        </w:rPr>
        <w:t>s constitutional and doctrinal analysis suggests that the hardest instruments—those regulating the analytical inputs and evidentiary record of financial judgment—press beyond the authority states can defensibly exercise over private market conduct.</w:t>
      </w:r>
    </w:p>
    <w:p w14:paraId="530F3265" w14:textId="77777777" w:rsidR="005F5ACD" w:rsidRPr="001A3FB3" w:rsidRDefault="00000000" w:rsidP="001A3FB3">
      <w:pPr>
        <w:pStyle w:val="Heading1"/>
      </w:pPr>
      <w:bookmarkStart w:id="5" w:name="introduction"/>
      <w:bookmarkStart w:id="6" w:name="_Toc229502253"/>
      <w:bookmarkEnd w:id="3"/>
      <w:r w:rsidRPr="001A3FB3">
        <w:t>INTRODUCTION</w:t>
      </w:r>
      <w:bookmarkEnd w:id="6"/>
    </w:p>
    <w:p w14:paraId="090D20EA" w14:textId="18C08861" w:rsidR="005F5ACD" w:rsidRPr="001A3FB3" w:rsidRDefault="00000000">
      <w:pPr>
        <w:pStyle w:val="FirstParagraph"/>
        <w:rPr>
          <w:color w:val="000000" w:themeColor="text1"/>
        </w:rPr>
      </w:pPr>
      <w:r w:rsidRPr="001A3FB3">
        <w:rPr>
          <w:color w:val="000000" w:themeColor="text1"/>
        </w:rPr>
        <w:t xml:space="preserve">State Anti-ESG legislation is often discussed as a political backlash against </w:t>
      </w:r>
      <w:r w:rsidR="00B62085">
        <w:rPr>
          <w:color w:val="000000" w:themeColor="text1"/>
        </w:rPr>
        <w:t>“</w:t>
      </w:r>
      <w:r w:rsidRPr="001A3FB3">
        <w:rPr>
          <w:color w:val="000000" w:themeColor="text1"/>
        </w:rPr>
        <w:t>woke capitalism</w:t>
      </w:r>
      <w:r w:rsidR="00B62085">
        <w:rPr>
          <w:color w:val="000000" w:themeColor="text1"/>
        </w:rPr>
        <w:t>”</w:t>
      </w:r>
      <w:r w:rsidRPr="001A3FB3">
        <w:rPr>
          <w:color w:val="000000" w:themeColor="text1"/>
        </w:rPr>
        <w:t xml:space="preserve"> or a defense of simple fiduciary neutrality. This shorthand obscures a more fragmented legal reality. The wave does not merely police what pension trustees may prefer; it deploys at least eight distinct state capacities—fiduciary, banking, insurance, procurement, proxy, disclosure, certification, and enforcement—to regulate how financial actors analyze risk, document decisions, and associate publicly. Today, a single climate-related risk judgment can be required, categorically forbidden, procedurally burdened, or treated as per-</w:t>
      </w:r>
      <w:proofErr w:type="spellStart"/>
      <w:r w:rsidRPr="001A3FB3">
        <w:rPr>
          <w:color w:val="000000" w:themeColor="text1"/>
        </w:rPr>
        <w:t>se</w:t>
      </w:r>
      <w:proofErr w:type="spellEnd"/>
      <w:r w:rsidRPr="001A3FB3">
        <w:rPr>
          <w:color w:val="000000" w:themeColor="text1"/>
        </w:rPr>
        <w:t xml:space="preserve"> evidence of a legal breach depending on the state and whether it is made by a pension trustee, bank, state contractor, issuer, or proxy advisor. By deploying these different state capacities, legislatures have created a cross-state </w:t>
      </w:r>
      <w:r w:rsidR="00B62085">
        <w:rPr>
          <w:color w:val="000000" w:themeColor="text1"/>
        </w:rPr>
        <w:t>“</w:t>
      </w:r>
      <w:r w:rsidRPr="001A3FB3">
        <w:rPr>
          <w:color w:val="000000" w:themeColor="text1"/>
        </w:rPr>
        <w:t>liability trap</w:t>
      </w:r>
      <w:r w:rsidR="00B62085">
        <w:rPr>
          <w:color w:val="000000" w:themeColor="text1"/>
        </w:rPr>
        <w:t>”</w:t>
      </w:r>
      <w:r w:rsidRPr="001A3FB3">
        <w:rPr>
          <w:color w:val="000000" w:themeColor="text1"/>
        </w:rPr>
        <w:t xml:space="preserve"> that alters the background rules of what market actors may legally analyze, document, price, associate around, and say.</w:t>
      </w:r>
      <w:r w:rsidRPr="001A3FB3">
        <w:rPr>
          <w:rStyle w:val="FootnoteReference"/>
          <w:color w:val="000000" w:themeColor="text1"/>
        </w:rPr>
        <w:footnoteReference w:id="1"/>
      </w:r>
    </w:p>
    <w:p w14:paraId="57B46AC7" w14:textId="7093B3E6" w:rsidR="005F5ACD" w:rsidRPr="001A3FB3" w:rsidRDefault="00000000">
      <w:pPr>
        <w:pStyle w:val="BodyText"/>
        <w:rPr>
          <w:color w:val="000000" w:themeColor="text1"/>
        </w:rPr>
      </w:pPr>
      <w:r w:rsidRPr="001A3FB3">
        <w:rPr>
          <w:color w:val="000000" w:themeColor="text1"/>
        </w:rPr>
        <w:t>This Article constructs a clause-level dataset of attempted and enacted state ESG legislation. Substantive claims begin with filtered ESG universes rather than the unfiltered collection surface. The broad ESG universe captures 1,329 annual attempts; the climate-facing ESG universe, which supplies the Article</w:t>
      </w:r>
      <w:r w:rsidR="00B62085">
        <w:rPr>
          <w:color w:val="000000" w:themeColor="text1"/>
        </w:rPr>
        <w:t>’</w:t>
      </w:r>
      <w:r w:rsidRPr="001A3FB3">
        <w:rPr>
          <w:color w:val="000000" w:themeColor="text1"/>
        </w:rPr>
        <w:t>s main corporate/fiduciary climate analysis, captures 739 annual attempts and 492 companion-collapsed statutes.</w:t>
      </w:r>
      <w:r w:rsidRPr="001A3FB3">
        <w:rPr>
          <w:rStyle w:val="FootnoteReference"/>
          <w:color w:val="000000" w:themeColor="text1"/>
        </w:rPr>
        <w:footnoteReference w:id="2"/>
      </w:r>
      <w:r w:rsidRPr="001A3FB3">
        <w:rPr>
          <w:color w:val="000000" w:themeColor="text1"/>
        </w:rPr>
        <w:t xml:space="preserve"> Annual attempts measure legislative pressure over time; companion-collapsed statutes measure enactment rates and enacted-law structure. The resulting record documents unusual volume, actor reach, and channel stacking across the Anti-side wave. The wave</w:t>
      </w:r>
      <w:r w:rsidR="00B62085">
        <w:rPr>
          <w:color w:val="000000" w:themeColor="text1"/>
        </w:rPr>
        <w:t>’</w:t>
      </w:r>
      <w:r w:rsidRPr="001A3FB3">
        <w:rPr>
          <w:color w:val="000000" w:themeColor="text1"/>
        </w:rPr>
        <w:t xml:space="preserve">s text repeatedly performs three legal moves: </w:t>
      </w:r>
      <w:r w:rsidRPr="001A3FB3">
        <w:rPr>
          <w:i/>
          <w:iCs/>
          <w:color w:val="000000" w:themeColor="text1"/>
        </w:rPr>
        <w:t>Substance-Axis Foreclosure</w:t>
      </w:r>
      <w:r w:rsidRPr="001A3FB3">
        <w:rPr>
          <w:color w:val="000000" w:themeColor="text1"/>
        </w:rPr>
        <w:t xml:space="preserve"> withdraws specified financial-risk inputs from eligible analysis upstream of motive review; </w:t>
      </w:r>
      <w:r w:rsidRPr="001A3FB3">
        <w:rPr>
          <w:i/>
          <w:iCs/>
          <w:color w:val="000000" w:themeColor="text1"/>
        </w:rPr>
        <w:t>Evidentiary Conversion</w:t>
      </w:r>
      <w:r w:rsidRPr="001A3FB3">
        <w:rPr>
          <w:color w:val="000000" w:themeColor="text1"/>
        </w:rPr>
        <w:t xml:space="preserve"> recodes coalition memberships, public stewardship statements, and proxy-vote rationales as enumerated statutory evidence of prohibited purpose; and </w:t>
      </w:r>
      <w:r w:rsidRPr="001A3FB3">
        <w:rPr>
          <w:i/>
          <w:iCs/>
          <w:color w:val="000000" w:themeColor="text1"/>
        </w:rPr>
        <w:t>Compliance Overhang</w:t>
      </w:r>
      <w:r w:rsidRPr="001A3FB3">
        <w:rPr>
          <w:color w:val="000000" w:themeColor="text1"/>
        </w:rPr>
        <w:t xml:space="preserve"> names the cumulative operating-cost environment that overlapping process, certification, disclosure, list-maintenance, and enforcement duties produce.</w:t>
      </w:r>
      <w:r w:rsidRPr="001A3FB3">
        <w:rPr>
          <w:rStyle w:val="FootnoteReference"/>
          <w:color w:val="000000" w:themeColor="text1"/>
        </w:rPr>
        <w:footnoteReference w:id="3"/>
      </w:r>
    </w:p>
    <w:p w14:paraId="3F712FDB" w14:textId="1B18E6AF" w:rsidR="005F5ACD" w:rsidRPr="001A3FB3" w:rsidRDefault="00000000">
      <w:pPr>
        <w:pStyle w:val="BodyText"/>
        <w:rPr>
          <w:color w:val="000000" w:themeColor="text1"/>
        </w:rPr>
      </w:pPr>
      <w:r w:rsidRPr="001A3FB3">
        <w:rPr>
          <w:color w:val="000000" w:themeColor="text1"/>
        </w:rPr>
        <w:t>While the jurisprudential record is nascent and evolving, when tested in court, the wave</w:t>
      </w:r>
      <w:r w:rsidR="00B62085">
        <w:rPr>
          <w:color w:val="000000" w:themeColor="text1"/>
        </w:rPr>
        <w:t>’</w:t>
      </w:r>
      <w:r w:rsidRPr="001A3FB3">
        <w:rPr>
          <w:color w:val="000000" w:themeColor="text1"/>
        </w:rPr>
        <w:t xml:space="preserve">s most aggressive instruments have fared worst: each major invalidation has tracked the specific channel the statute targets. Constitutional challenges have followed the statutory mechanism: </w:t>
      </w:r>
      <w:r w:rsidRPr="001A3FB3">
        <w:rPr>
          <w:i/>
          <w:iCs/>
          <w:color w:val="000000" w:themeColor="text1"/>
        </w:rPr>
        <w:t>Keenan v. Russ</w:t>
      </w:r>
      <w:r w:rsidRPr="001A3FB3">
        <w:rPr>
          <w:color w:val="000000" w:themeColor="text1"/>
        </w:rPr>
        <w:t xml:space="preserve"> invalidated Oklahoma</w:t>
      </w:r>
      <w:r w:rsidR="00B62085">
        <w:rPr>
          <w:color w:val="000000" w:themeColor="text1"/>
        </w:rPr>
        <w:t>’</w:t>
      </w:r>
      <w:r w:rsidRPr="001A3FB3">
        <w:rPr>
          <w:color w:val="000000" w:themeColor="text1"/>
        </w:rPr>
        <w:t xml:space="preserve">s anti-ESG mandate under an exclusive-purpose pension clause; </w:t>
      </w:r>
      <w:r w:rsidRPr="001A3FB3">
        <w:rPr>
          <w:i/>
          <w:iCs/>
          <w:color w:val="000000" w:themeColor="text1"/>
        </w:rPr>
        <w:t>American Sustainable Business Council v. Hegar</w:t>
      </w:r>
      <w:r w:rsidRPr="001A3FB3">
        <w:rPr>
          <w:color w:val="000000" w:themeColor="text1"/>
        </w:rPr>
        <w:t xml:space="preserve"> enjoined Texas</w:t>
      </w:r>
      <w:r w:rsidR="00B62085">
        <w:rPr>
          <w:color w:val="000000" w:themeColor="text1"/>
        </w:rPr>
        <w:t>’</w:t>
      </w:r>
      <w:r w:rsidRPr="001A3FB3">
        <w:rPr>
          <w:color w:val="000000" w:themeColor="text1"/>
        </w:rPr>
        <w:t xml:space="preserve">s anti-ESG blacklist on overbreadth and vagueness grounds; and </w:t>
      </w:r>
      <w:r w:rsidRPr="001A3FB3">
        <w:rPr>
          <w:i/>
          <w:iCs/>
          <w:color w:val="000000" w:themeColor="text1"/>
        </w:rPr>
        <w:t>Glass Lewis v. Paxton</w:t>
      </w:r>
      <w:r w:rsidRPr="001A3FB3">
        <w:rPr>
          <w:color w:val="000000" w:themeColor="text1"/>
        </w:rPr>
        <w:t xml:space="preserve"> secured a compelled-speech injunction against Texas</w:t>
      </w:r>
      <w:r w:rsidR="00B62085">
        <w:rPr>
          <w:color w:val="000000" w:themeColor="text1"/>
        </w:rPr>
        <w:t>’</w:t>
      </w:r>
      <w:r w:rsidRPr="001A3FB3">
        <w:rPr>
          <w:color w:val="000000" w:themeColor="text1"/>
        </w:rPr>
        <w:t>s asymmetric disclosure mandate for proxy advisors.</w:t>
      </w:r>
      <w:r w:rsidRPr="001A3FB3">
        <w:rPr>
          <w:rStyle w:val="FootnoteReference"/>
          <w:color w:val="000000" w:themeColor="text1"/>
        </w:rPr>
        <w:footnoteReference w:id="4"/>
      </w:r>
      <w:r w:rsidRPr="001A3FB3">
        <w:rPr>
          <w:color w:val="000000" w:themeColor="text1"/>
        </w:rPr>
        <w:t xml:space="preserve"> The framework also applies to Pro-side statutes, but by legal tool rather than political direction. Board-composition mandates, fossil-fuel divestment commands, emissions-disclosure rules, and interpretive climate-risk disclosure each raise different questions depending on whether the statute compels governance composition, directs investment exit, requires factual reporting, or requires a contested risk narrative. States possess broad authority to regulate public money and market conduct; the Anti-ESG wave</w:t>
      </w:r>
      <w:r w:rsidR="00B62085">
        <w:rPr>
          <w:color w:val="000000" w:themeColor="text1"/>
        </w:rPr>
        <w:t>’</w:t>
      </w:r>
      <w:r w:rsidRPr="001A3FB3">
        <w:rPr>
          <w:color w:val="000000" w:themeColor="text1"/>
        </w:rPr>
        <w:t>s hardest instruments press against those limits by regulating what financial actors may analyze, document, certify, associate around, and say—a reach the Article tests channel by channel in Part III.</w:t>
      </w:r>
    </w:p>
    <w:p w14:paraId="7445BD0C" w14:textId="05FF14CA" w:rsidR="005F5ACD" w:rsidRPr="001A3FB3" w:rsidRDefault="00000000">
      <w:pPr>
        <w:pStyle w:val="BodyText"/>
        <w:rPr>
          <w:color w:val="000000" w:themeColor="text1"/>
        </w:rPr>
      </w:pPr>
      <w:r w:rsidRPr="001A3FB3">
        <w:rPr>
          <w:color w:val="000000" w:themeColor="text1"/>
        </w:rPr>
        <w:t>The wave</w:t>
      </w:r>
      <w:r w:rsidR="00B62085">
        <w:rPr>
          <w:color w:val="000000" w:themeColor="text1"/>
        </w:rPr>
        <w:t>’</w:t>
      </w:r>
      <w:r w:rsidRPr="001A3FB3">
        <w:rPr>
          <w:color w:val="000000" w:themeColor="text1"/>
        </w:rPr>
        <w:t>s most aggressive instruments have generated channel-specific constitutional invalidations: exclusive-purpose, compelled-speech, and federal-preemption challenges have each produced injunctions against signature statutes. The same statutes impose quantifiable costs on the enacting jurisdictions. Garrett and Ivanov document $300–500 million in additional Texas municipal-bond borrowing costs.</w:t>
      </w:r>
      <w:r w:rsidRPr="001A3FB3">
        <w:rPr>
          <w:rStyle w:val="FootnoteReference"/>
          <w:color w:val="000000" w:themeColor="text1"/>
        </w:rPr>
        <w:footnoteReference w:id="5"/>
      </w:r>
      <w:r w:rsidRPr="001A3FB3">
        <w:rPr>
          <w:color w:val="000000" w:themeColor="text1"/>
        </w:rPr>
        <w:t xml:space="preserve"> OPERS</w:t>
      </w:r>
      <w:r w:rsidR="00B62085">
        <w:rPr>
          <w:color w:val="000000" w:themeColor="text1"/>
        </w:rPr>
        <w:t>’</w:t>
      </w:r>
      <w:r w:rsidRPr="001A3FB3">
        <w:rPr>
          <w:color w:val="000000" w:themeColor="text1"/>
        </w:rPr>
        <w:t xml:space="preserve">s $9.7 million switching-cost estimate was introduced in the </w:t>
      </w:r>
      <w:r w:rsidRPr="001A3FB3">
        <w:rPr>
          <w:i/>
          <w:iCs/>
          <w:color w:val="000000" w:themeColor="text1"/>
        </w:rPr>
        <w:t>Keenan v. Russ</w:t>
      </w:r>
      <w:r w:rsidRPr="001A3FB3">
        <w:rPr>
          <w:color w:val="000000" w:themeColor="text1"/>
        </w:rPr>
        <w:t xml:space="preserve"> litigation record.</w:t>
      </w:r>
      <w:r w:rsidRPr="001A3FB3">
        <w:rPr>
          <w:rStyle w:val="FootnoteReference"/>
          <w:color w:val="000000" w:themeColor="text1"/>
        </w:rPr>
        <w:footnoteReference w:id="6"/>
      </w:r>
      <w:r w:rsidRPr="001A3FB3">
        <w:rPr>
          <w:color w:val="000000" w:themeColor="text1"/>
        </w:rPr>
        <w:t xml:space="preserve"> Indiana</w:t>
      </w:r>
      <w:r w:rsidR="00B62085">
        <w:rPr>
          <w:color w:val="000000" w:themeColor="text1"/>
        </w:rPr>
        <w:t>’</w:t>
      </w:r>
      <w:r w:rsidRPr="001A3FB3">
        <w:rPr>
          <w:color w:val="000000" w:themeColor="text1"/>
        </w:rPr>
        <w:t>s Legislative Services Agency projected approximately $6.7 billion in pension-return losses under HB 1008 as originally drafted.</w:t>
      </w:r>
      <w:r w:rsidRPr="001A3FB3">
        <w:rPr>
          <w:rStyle w:val="FootnoteReference"/>
          <w:color w:val="000000" w:themeColor="text1"/>
        </w:rPr>
        <w:footnoteReference w:id="7"/>
      </w:r>
      <w:r w:rsidRPr="001A3FB3">
        <w:rPr>
          <w:color w:val="000000" w:themeColor="text1"/>
        </w:rPr>
        <w:t xml:space="preserve"> And the wave has coincided with sustained public retreat from climate-coded stewardship—coalition exits, proxy-voting contraction, widespread greenhushing—even as the instruments nominally driving that retreat have proven legally fragile. These laws matter because they regulate analytical inputs and evidentiary inferences before ordinary motive review begins. Throughout, the Article treats the contemporaneous behavioral retreat as consistent with the wave</w:t>
      </w:r>
      <w:r w:rsidR="00B62085">
        <w:rPr>
          <w:color w:val="000000" w:themeColor="text1"/>
        </w:rPr>
        <w:t>’</w:t>
      </w:r>
      <w:r w:rsidRPr="001A3FB3">
        <w:rPr>
          <w:color w:val="000000" w:themeColor="text1"/>
        </w:rPr>
        <w:t>s operating-cost predictions rather than as a causal finding.</w:t>
      </w:r>
    </w:p>
    <w:p w14:paraId="3272630E" w14:textId="769416CD" w:rsidR="005F5ACD" w:rsidRPr="001A3FB3" w:rsidRDefault="00000000">
      <w:pPr>
        <w:pStyle w:val="BodyText"/>
        <w:rPr>
          <w:color w:val="000000" w:themeColor="text1"/>
        </w:rPr>
      </w:pPr>
      <w:r w:rsidRPr="001A3FB3">
        <w:rPr>
          <w:color w:val="000000" w:themeColor="text1"/>
        </w:rPr>
        <w:t>Part I disaggregates the ESG universe into climate-facing and sidecar components, introduces the pecuniary continuum, and lays out the corpus and counting method. Part II catalogs the toolkit</w:t>
      </w:r>
      <w:r w:rsidR="00B62085">
        <w:rPr>
          <w:color w:val="000000" w:themeColor="text1"/>
        </w:rPr>
        <w:t>’</w:t>
      </w:r>
      <w:r w:rsidRPr="001A3FB3">
        <w:rPr>
          <w:color w:val="000000" w:themeColor="text1"/>
        </w:rPr>
        <w:t xml:space="preserve">s three-tier architecture—Substance-Axis Foreclosure, Evidentiary Conversion, and the broader perimeter of process taxes—with close statutory analysis of the hardest enacted measures. Part III maps doctrinal validity channel by channel across pension fiduciary, state-money leverage, banking and insurance, proxy and stewardship, and issuer disclosure, anchored in </w:t>
      </w:r>
      <w:r w:rsidRPr="001A3FB3">
        <w:rPr>
          <w:i/>
          <w:iCs/>
          <w:color w:val="000000" w:themeColor="text1"/>
        </w:rPr>
        <w:t>Keenan</w:t>
      </w:r>
      <w:r w:rsidRPr="001A3FB3">
        <w:rPr>
          <w:color w:val="000000" w:themeColor="text1"/>
        </w:rPr>
        <w:t xml:space="preserve">, </w:t>
      </w:r>
      <w:r w:rsidRPr="001A3FB3">
        <w:rPr>
          <w:i/>
          <w:iCs/>
          <w:color w:val="000000" w:themeColor="text1"/>
        </w:rPr>
        <w:t>ASBC v. Hegar</w:t>
      </w:r>
      <w:r w:rsidRPr="001A3FB3">
        <w:rPr>
          <w:color w:val="000000" w:themeColor="text1"/>
        </w:rPr>
        <w:t xml:space="preserve">, and </w:t>
      </w:r>
      <w:r w:rsidRPr="001A3FB3">
        <w:rPr>
          <w:i/>
          <w:iCs/>
          <w:color w:val="000000" w:themeColor="text1"/>
        </w:rPr>
        <w:t>Glass Lewis v. Paxton</w:t>
      </w:r>
      <w:r w:rsidRPr="001A3FB3">
        <w:rPr>
          <w:color w:val="000000" w:themeColor="text1"/>
        </w:rPr>
        <w:t>. Part IV develops the Compliance Overhang framework and its behavioral and fiscal record. Part V dissects the political-economy implications for corporate governance: how the wave</w:t>
      </w:r>
      <w:r w:rsidR="00B62085">
        <w:rPr>
          <w:color w:val="000000" w:themeColor="text1"/>
        </w:rPr>
        <w:t>’</w:t>
      </w:r>
      <w:r w:rsidRPr="001A3FB3">
        <w:rPr>
          <w:color w:val="000000" w:themeColor="text1"/>
        </w:rPr>
        <w:t>s transaction-cost architecture pushes institutional ownership back toward the concentrated management power Berle and Means first identified, and why any erosion of the institutional monitoring infrastructure is a structural cost that does not depend on contested estimates of stewardship</w:t>
      </w:r>
      <w:r w:rsidR="00B62085">
        <w:rPr>
          <w:color w:val="000000" w:themeColor="text1"/>
        </w:rPr>
        <w:t>’</w:t>
      </w:r>
      <w:r w:rsidRPr="001A3FB3">
        <w:rPr>
          <w:color w:val="000000" w:themeColor="text1"/>
        </w:rPr>
        <w:t>s visible voting impact, with implications for regulatory design on both sides of the wave. The Article concludes by developing a functional test for distinguishing legitimate state regulation from more legally fragile market-conduct commands.</w:t>
      </w:r>
    </w:p>
    <w:p w14:paraId="694EE6ED" w14:textId="0F7200E9" w:rsidR="005F5ACD" w:rsidRPr="001A3FB3" w:rsidRDefault="00000000" w:rsidP="001A3FB3">
      <w:pPr>
        <w:pStyle w:val="Heading1"/>
      </w:pPr>
      <w:bookmarkStart w:id="7" w:name="part-i-what-the-anti-esg-wave-targets"/>
      <w:bookmarkStart w:id="8" w:name="_Toc229502254"/>
      <w:bookmarkEnd w:id="2"/>
      <w:bookmarkEnd w:id="5"/>
      <w:r w:rsidRPr="001A3FB3">
        <w:t>PART I</w:t>
      </w:r>
      <w:r w:rsidR="00B62085">
        <w:t>—</w:t>
      </w:r>
      <w:r w:rsidRPr="001A3FB3">
        <w:t>WHAT THE ANTI-ESG WAVE TARGETS</w:t>
      </w:r>
      <w:bookmarkEnd w:id="8"/>
    </w:p>
    <w:p w14:paraId="12FDFFF2" w14:textId="77777777" w:rsidR="005F5ACD" w:rsidRPr="001A3FB3" w:rsidRDefault="00000000" w:rsidP="001A3FB3">
      <w:pPr>
        <w:pStyle w:val="Heading2"/>
      </w:pPr>
      <w:bookmarkStart w:id="9" w:name="X5ba33a7dc836b9a2e200519843fa7c8ec3232ae"/>
      <w:bookmarkStart w:id="10" w:name="_Toc229502255"/>
      <w:r w:rsidRPr="001A3FB3">
        <w:t>§I.</w:t>
      </w:r>
      <w:proofErr w:type="gramStart"/>
      <w:r w:rsidRPr="001A3FB3">
        <w:t>A</w:t>
      </w:r>
      <w:proofErr w:type="gramEnd"/>
      <w:r w:rsidRPr="001A3FB3">
        <w:t xml:space="preserve"> Unbundling ESG: Climate, Sidecars, and the Three Registers</w:t>
      </w:r>
      <w:bookmarkEnd w:id="10"/>
    </w:p>
    <w:p w14:paraId="3550A555" w14:textId="32F302DA" w:rsidR="005F5ACD" w:rsidRPr="001A3FB3" w:rsidRDefault="00B62085">
      <w:pPr>
        <w:pStyle w:val="FirstParagraph"/>
        <w:rPr>
          <w:color w:val="000000" w:themeColor="text1"/>
        </w:rPr>
      </w:pPr>
      <w:r>
        <w:rPr>
          <w:color w:val="000000" w:themeColor="text1"/>
        </w:rPr>
        <w:t>“</w:t>
      </w:r>
      <w:r w:rsidR="00000000" w:rsidRPr="001A3FB3">
        <w:rPr>
          <w:color w:val="000000" w:themeColor="text1"/>
        </w:rPr>
        <w:t>ESG</w:t>
      </w:r>
      <w:r>
        <w:rPr>
          <w:color w:val="000000" w:themeColor="text1"/>
        </w:rPr>
        <w:t>”</w:t>
      </w:r>
      <w:r w:rsidR="00000000" w:rsidRPr="001A3FB3">
        <w:rPr>
          <w:color w:val="000000" w:themeColor="text1"/>
        </w:rPr>
        <w:t xml:space="preserve"> is used inconsistently across regulatory, market, and political contexts.</w:t>
      </w:r>
      <w:r w:rsidR="00000000" w:rsidRPr="001A3FB3">
        <w:rPr>
          <w:rStyle w:val="FootnoteReference"/>
          <w:color w:val="000000" w:themeColor="text1"/>
        </w:rPr>
        <w:footnoteReference w:id="8"/>
      </w:r>
      <w:r w:rsidR="00000000" w:rsidRPr="001A3FB3">
        <w:rPr>
          <w:color w:val="000000" w:themeColor="text1"/>
        </w:rPr>
        <w:t xml:space="preserve"> A rule that polices a state pension trustee</w:t>
      </w:r>
      <w:r>
        <w:rPr>
          <w:color w:val="000000" w:themeColor="text1"/>
        </w:rPr>
        <w:t>’</w:t>
      </w:r>
      <w:r w:rsidR="00000000" w:rsidRPr="001A3FB3">
        <w:rPr>
          <w:color w:val="000000" w:themeColor="text1"/>
        </w:rPr>
        <w:t xml:space="preserve">s consideration of climate-transition risk, a rule that forbids a bank from declining a fossil-fuel borrower, and a rule that requires an issuer to publish Scope 1 and 2 emissions may each be described as </w:t>
      </w:r>
      <w:r>
        <w:rPr>
          <w:color w:val="000000" w:themeColor="text1"/>
        </w:rPr>
        <w:t>“</w:t>
      </w:r>
      <w:r w:rsidR="00000000" w:rsidRPr="001A3FB3">
        <w:rPr>
          <w:color w:val="000000" w:themeColor="text1"/>
        </w:rPr>
        <w:t>ESG</w:t>
      </w:r>
      <w:r>
        <w:rPr>
          <w:color w:val="000000" w:themeColor="text1"/>
        </w:rPr>
        <w:t>”</w:t>
      </w:r>
      <w:r w:rsidR="00000000" w:rsidRPr="001A3FB3">
        <w:rPr>
          <w:color w:val="000000" w:themeColor="text1"/>
        </w:rPr>
        <w:t xml:space="preserve"> rules, but they regulate three different activities through three different legal devices and can reach three different actors across three different state regimes. Treating them as a single category obscures the doctrinal questions each one presents.</w:t>
      </w:r>
    </w:p>
    <w:p w14:paraId="71E36D1E" w14:textId="62411FCD" w:rsidR="005F5ACD" w:rsidRPr="001A3FB3" w:rsidRDefault="00000000">
      <w:pPr>
        <w:pStyle w:val="BodyText"/>
        <w:rPr>
          <w:color w:val="000000" w:themeColor="text1"/>
        </w:rPr>
      </w:pPr>
      <w:r w:rsidRPr="001A3FB3">
        <w:rPr>
          <w:color w:val="000000" w:themeColor="text1"/>
        </w:rPr>
        <w:t>The Article therefore separates climate-related financial risk from the broader ESG umbrella before mapping the wave. Climate risk is the cleanest test case for two reasons. First, it has been most fully integrated into mainstream financial analysis: global financial supervisors and major asset managers treat climate physical and transition risk as conventional financial risk rather than as a category of collateral political concern.</w:t>
      </w:r>
      <w:r w:rsidRPr="001A3FB3">
        <w:rPr>
          <w:rStyle w:val="FootnoteReference"/>
          <w:color w:val="000000" w:themeColor="text1"/>
        </w:rPr>
        <w:footnoteReference w:id="9"/>
      </w:r>
      <w:r w:rsidRPr="001A3FB3">
        <w:rPr>
          <w:color w:val="000000" w:themeColor="text1"/>
        </w:rPr>
        <w:t xml:space="preserve"> Jeffrey Gordon states the point directly: addressing climate change risk </w:t>
      </w:r>
      <w:r w:rsidR="00B62085">
        <w:rPr>
          <w:color w:val="000000" w:themeColor="text1"/>
        </w:rPr>
        <w:t>“</w:t>
      </w:r>
      <w:r w:rsidRPr="001A3FB3">
        <w:rPr>
          <w:color w:val="000000" w:themeColor="text1"/>
        </w:rPr>
        <w:t>falls squarely in the shareholder value domain, at least from the perspective of a portfolio investor,</w:t>
      </w:r>
      <w:r w:rsidR="00B62085">
        <w:rPr>
          <w:color w:val="000000" w:themeColor="text1"/>
        </w:rPr>
        <w:t>”</w:t>
      </w:r>
      <w:r w:rsidRPr="001A3FB3">
        <w:rPr>
          <w:color w:val="000000" w:themeColor="text1"/>
        </w:rPr>
        <w:t xml:space="preserve"> because </w:t>
      </w:r>
      <w:r w:rsidR="00B62085">
        <w:rPr>
          <w:color w:val="000000" w:themeColor="text1"/>
        </w:rPr>
        <w:t>“</w:t>
      </w:r>
      <w:r w:rsidRPr="001A3FB3">
        <w:rPr>
          <w:color w:val="000000" w:themeColor="text1"/>
        </w:rPr>
        <w:t>mitigating climate change risk reduces systematic risk across a portfolio of diversified investments</w:t>
      </w:r>
      <w:r w:rsidR="00B62085">
        <w:rPr>
          <w:color w:val="000000" w:themeColor="text1"/>
        </w:rPr>
        <w:t>”—</w:t>
      </w:r>
      <w:r w:rsidRPr="001A3FB3">
        <w:rPr>
          <w:color w:val="000000" w:themeColor="text1"/>
        </w:rPr>
        <w:t xml:space="preserve">a finance case that </w:t>
      </w:r>
      <w:r w:rsidR="00B62085">
        <w:rPr>
          <w:color w:val="000000" w:themeColor="text1"/>
        </w:rPr>
        <w:t>“</w:t>
      </w:r>
      <w:r w:rsidRPr="001A3FB3">
        <w:rPr>
          <w:color w:val="000000" w:themeColor="text1"/>
        </w:rPr>
        <w:t>does not generally obtain for other elements of ESG.</w:t>
      </w:r>
      <w:r w:rsidR="00B62085">
        <w:rPr>
          <w:color w:val="000000" w:themeColor="text1"/>
        </w:rPr>
        <w:t>”</w:t>
      </w:r>
      <w:r w:rsidRPr="001A3FB3">
        <w:rPr>
          <w:rStyle w:val="FootnoteReference"/>
          <w:color w:val="000000" w:themeColor="text1"/>
        </w:rPr>
        <w:footnoteReference w:id="10"/>
      </w:r>
      <w:r w:rsidRPr="001A3FB3">
        <w:rPr>
          <w:color w:val="000000" w:themeColor="text1"/>
        </w:rPr>
        <w:t xml:space="preserve"> Basel, IAIS, and U.S. federal-bank-regulator joint principles round out the growing supervisory consensus that climate risk can be or is financially material risk.</w:t>
      </w:r>
      <w:r w:rsidRPr="001A3FB3">
        <w:rPr>
          <w:rStyle w:val="FootnoteReference"/>
          <w:color w:val="000000" w:themeColor="text1"/>
        </w:rPr>
        <w:footnoteReference w:id="11"/>
      </w:r>
      <w:r w:rsidRPr="001A3FB3">
        <w:rPr>
          <w:color w:val="000000" w:themeColor="text1"/>
        </w:rPr>
        <w:t xml:space="preserve"> Second, climate risk has produced the densest empirical literature on the integration of long-horizon systemic considerations into ordinary financial analysis.</w:t>
      </w:r>
      <w:r w:rsidRPr="001A3FB3">
        <w:rPr>
          <w:rStyle w:val="FootnoteReference"/>
          <w:color w:val="000000" w:themeColor="text1"/>
        </w:rPr>
        <w:footnoteReference w:id="12"/>
      </w:r>
    </w:p>
    <w:p w14:paraId="3CDDFD6D" w14:textId="77777777" w:rsidR="005F5ACD" w:rsidRPr="001A3FB3" w:rsidRDefault="00000000">
      <w:pPr>
        <w:pStyle w:val="BodyText"/>
        <w:rPr>
          <w:color w:val="000000" w:themeColor="text1"/>
        </w:rPr>
      </w:pPr>
      <w:r w:rsidRPr="001A3FB3">
        <w:rPr>
          <w:color w:val="000000" w:themeColor="text1"/>
        </w:rPr>
        <w:t>Not every contested ESG topic shares those features. DEI mandates, firearms-only restrictions, foreign-adversary and broader geopolitical screens, energy-policy-only declarations, tobacco, prison-labor, and stand-alone social-and-labor mandates carry different materiality profiles, different fiduciary pedigrees, and different doctrinal exposure. The Article reaches them only as sidecar controls or comparators.</w:t>
      </w:r>
    </w:p>
    <w:p w14:paraId="2B501D3C" w14:textId="4D6BD1BA" w:rsidR="005F5ACD" w:rsidRPr="001A3FB3" w:rsidRDefault="00000000">
      <w:pPr>
        <w:pStyle w:val="BodyText"/>
        <w:rPr>
          <w:color w:val="000000" w:themeColor="text1"/>
        </w:rPr>
      </w:pPr>
      <w:r w:rsidRPr="001A3FB3">
        <w:rPr>
          <w:color w:val="000000" w:themeColor="text1"/>
        </w:rPr>
        <w:t xml:space="preserve">The unbundling matters for three further reasons. </w:t>
      </w:r>
      <w:r w:rsidRPr="001A3FB3">
        <w:rPr>
          <w:i/>
          <w:iCs/>
          <w:color w:val="000000" w:themeColor="text1"/>
        </w:rPr>
        <w:t>First,</w:t>
      </w:r>
      <w:r w:rsidRPr="001A3FB3">
        <w:rPr>
          <w:color w:val="000000" w:themeColor="text1"/>
        </w:rPr>
        <w:t xml:space="preserve"> </w:t>
      </w:r>
      <w:r w:rsidR="00B62085">
        <w:rPr>
          <w:color w:val="000000" w:themeColor="text1"/>
        </w:rPr>
        <w:t>“</w:t>
      </w:r>
      <w:r w:rsidRPr="001A3FB3">
        <w:rPr>
          <w:color w:val="000000" w:themeColor="text1"/>
        </w:rPr>
        <w:t>ESG</w:t>
      </w:r>
      <w:r w:rsidR="00B62085">
        <w:rPr>
          <w:color w:val="000000" w:themeColor="text1"/>
        </w:rPr>
        <w:t>”</w:t>
      </w:r>
      <w:r w:rsidRPr="001A3FB3">
        <w:rPr>
          <w:color w:val="000000" w:themeColor="text1"/>
        </w:rPr>
        <w:t xml:space="preserve"> has been disaggregating across three institutional registers and the wave</w:t>
      </w:r>
      <w:r w:rsidR="00B62085">
        <w:rPr>
          <w:color w:val="000000" w:themeColor="text1"/>
        </w:rPr>
        <w:t>’</w:t>
      </w:r>
      <w:r w:rsidRPr="001A3FB3">
        <w:rPr>
          <w:color w:val="000000" w:themeColor="text1"/>
        </w:rPr>
        <w:t xml:space="preserve">s drafters have been legislating against a moving target. The </w:t>
      </w:r>
      <w:r w:rsidRPr="001A3FB3">
        <w:rPr>
          <w:i/>
          <w:iCs/>
          <w:color w:val="000000" w:themeColor="text1"/>
        </w:rPr>
        <w:t>scholarly register</w:t>
      </w:r>
      <w:r w:rsidRPr="001A3FB3">
        <w:rPr>
          <w:color w:val="000000" w:themeColor="text1"/>
        </w:rPr>
        <w:t xml:space="preserve"> increasingly distinguishes ESG-as-risk-return-input from ESG-as-collateral-purpose; Schanzenbach and </w:t>
      </w:r>
      <w:proofErr w:type="spellStart"/>
      <w:r w:rsidRPr="001A3FB3">
        <w:rPr>
          <w:color w:val="000000" w:themeColor="text1"/>
        </w:rPr>
        <w:t>Sitkoff</w:t>
      </w:r>
      <w:proofErr w:type="spellEnd"/>
      <w:r w:rsidRPr="001A3FB3">
        <w:rPr>
          <w:color w:val="000000" w:themeColor="text1"/>
        </w:rPr>
        <w:t xml:space="preserve"> supply the canonical operationalization.</w:t>
      </w:r>
      <w:r w:rsidRPr="001A3FB3">
        <w:rPr>
          <w:rStyle w:val="FootnoteReference"/>
          <w:color w:val="000000" w:themeColor="text1"/>
        </w:rPr>
        <w:footnoteReference w:id="13"/>
      </w:r>
      <w:r w:rsidRPr="001A3FB3">
        <w:rPr>
          <w:color w:val="000000" w:themeColor="text1"/>
        </w:rPr>
        <w:t xml:space="preserve"> The </w:t>
      </w:r>
      <w:r w:rsidRPr="001A3FB3">
        <w:rPr>
          <w:i/>
          <w:iCs/>
          <w:color w:val="000000" w:themeColor="text1"/>
        </w:rPr>
        <w:t>supervisory register</w:t>
      </w:r>
      <w:r w:rsidRPr="001A3FB3">
        <w:rPr>
          <w:color w:val="000000" w:themeColor="text1"/>
        </w:rPr>
        <w:t xml:space="preserve"> has reframed climate-related risk as a driver of conventional risk categories. The </w:t>
      </w:r>
      <w:r w:rsidRPr="001A3FB3">
        <w:rPr>
          <w:i/>
          <w:iCs/>
          <w:color w:val="000000" w:themeColor="text1"/>
        </w:rPr>
        <w:t>practitioner register</w:t>
      </w:r>
      <w:r w:rsidRPr="001A3FB3">
        <w:rPr>
          <w:color w:val="000000" w:themeColor="text1"/>
        </w:rPr>
        <w:t xml:space="preserve"> has separated ESG-labeled analytical processes from values-driven screening; the CFA Institute distinguishes integration from negative screening, positive screening, thematic investing, and impact investing.</w:t>
      </w:r>
      <w:r w:rsidRPr="001A3FB3">
        <w:rPr>
          <w:rStyle w:val="FootnoteReference"/>
          <w:color w:val="000000" w:themeColor="text1"/>
        </w:rPr>
        <w:footnoteReference w:id="14"/>
      </w:r>
      <w:r w:rsidRPr="001A3FB3">
        <w:rPr>
          <w:color w:val="000000" w:themeColor="text1"/>
        </w:rPr>
        <w:t xml:space="preserve"> Statutes that legislate against </w:t>
      </w:r>
      <w:r w:rsidR="00B62085">
        <w:rPr>
          <w:color w:val="000000" w:themeColor="text1"/>
        </w:rPr>
        <w:t>“</w:t>
      </w:r>
      <w:r w:rsidRPr="001A3FB3">
        <w:rPr>
          <w:color w:val="000000" w:themeColor="text1"/>
        </w:rPr>
        <w:t>ESG</w:t>
      </w:r>
      <w:r w:rsidR="00B62085">
        <w:rPr>
          <w:color w:val="000000" w:themeColor="text1"/>
        </w:rPr>
        <w:t>”</w:t>
      </w:r>
      <w:r w:rsidRPr="001A3FB3">
        <w:rPr>
          <w:color w:val="000000" w:themeColor="text1"/>
        </w:rPr>
        <w:t xml:space="preserve"> without distinguishing among these registers reach activities the registers themselves treat as analytically distinct.</w:t>
      </w:r>
    </w:p>
    <w:p w14:paraId="3B7E4A15" w14:textId="77777777" w:rsidR="005F5ACD" w:rsidRPr="001A3FB3" w:rsidRDefault="00000000">
      <w:pPr>
        <w:pStyle w:val="BodyText"/>
        <w:rPr>
          <w:color w:val="000000" w:themeColor="text1"/>
        </w:rPr>
      </w:pPr>
      <w:r w:rsidRPr="001A3FB3">
        <w:rPr>
          <w:i/>
          <w:iCs/>
          <w:color w:val="000000" w:themeColor="text1"/>
        </w:rPr>
        <w:t>Second,</w:t>
      </w:r>
      <w:r w:rsidRPr="001A3FB3">
        <w:rPr>
          <w:color w:val="000000" w:themeColor="text1"/>
        </w:rPr>
        <w:t xml:space="preserve"> actor, horizon, asset class, method, weighting, and documentation matter. A long-horizon public-pension trustee weighting climate-transition risk against conventional inputs is in a different posture from a retail equity fund applying a categorical exclusion screen. The two activities are subject to different prudent-investor analysis even within fiduciary doctrine and generate different doctrinal exposure under these statutes. The Article therefore excludes statutes whose statutory reach is limited to firearms, foreign-adversary geopolitical, DEI-mandate-only, tobacco, prisons, social-and-labor, and energy-policy-only subjects from the primary Anti-side comparisons—treating these as separately analyzed sidecar controls rather than core ESG legislation.</w:t>
      </w:r>
    </w:p>
    <w:p w14:paraId="76ECE5D0" w14:textId="1EC364DD" w:rsidR="005F5ACD" w:rsidRPr="001A3FB3" w:rsidRDefault="00000000">
      <w:pPr>
        <w:pStyle w:val="BodyText"/>
        <w:rPr>
          <w:color w:val="000000" w:themeColor="text1"/>
        </w:rPr>
      </w:pPr>
      <w:r w:rsidRPr="001A3FB3">
        <w:rPr>
          <w:i/>
          <w:iCs/>
          <w:color w:val="000000" w:themeColor="text1"/>
        </w:rPr>
        <w:t>Third,</w:t>
      </w:r>
      <w:r w:rsidRPr="001A3FB3">
        <w:rPr>
          <w:color w:val="000000" w:themeColor="text1"/>
        </w:rPr>
        <w:t xml:space="preserve"> the unbundling supports the Article</w:t>
      </w:r>
      <w:r w:rsidR="00B62085">
        <w:rPr>
          <w:color w:val="000000" w:themeColor="text1"/>
        </w:rPr>
        <w:t>’</w:t>
      </w:r>
      <w:r w:rsidRPr="001A3FB3">
        <w:rPr>
          <w:color w:val="000000" w:themeColor="text1"/>
        </w:rPr>
        <w:t>s core empirical claim. Within the climate-ESG universe</w:t>
      </w:r>
      <w:r w:rsidR="00B62085">
        <w:rPr>
          <w:color w:val="000000" w:themeColor="text1"/>
        </w:rPr>
        <w:t>—</w:t>
      </w:r>
      <w:r w:rsidRPr="001A3FB3">
        <w:rPr>
          <w:color w:val="000000" w:themeColor="text1"/>
        </w:rPr>
        <w:t>the corpus subset most cleanly tied to climate-related financial risk</w:t>
      </w:r>
      <w:r w:rsidR="00B62085">
        <w:rPr>
          <w:color w:val="000000" w:themeColor="text1"/>
        </w:rPr>
        <w:t>—</w:t>
      </w:r>
      <w:r w:rsidRPr="001A3FB3">
        <w:rPr>
          <w:color w:val="000000" w:themeColor="text1"/>
        </w:rPr>
        <w:t>Anti and Pro enacted rates run close. The Anti-side claim is volume plus statutory breadth: more activity, broader actor reach, deeper financial-sector coverage, and stacking across enforcement, reporting, and liability channels.</w:t>
      </w:r>
      <w:r w:rsidRPr="001A3FB3">
        <w:rPr>
          <w:rStyle w:val="FootnoteReference"/>
          <w:color w:val="000000" w:themeColor="text1"/>
        </w:rPr>
        <w:footnoteReference w:id="15"/>
      </w:r>
      <w:r w:rsidRPr="001A3FB3">
        <w:rPr>
          <w:color w:val="000000" w:themeColor="text1"/>
        </w:rPr>
        <w:t xml:space="preserve"> Annual ESG-climate attempts on the Anti side track a clear wave structure (12 / 62 / 313 / 162 across the four wave cohorts, with 2025–2026 partial and right-censored); Pro-side annual attempts run 14 / 18 / 78 / 64 across the same cohorts.</w:t>
      </w:r>
      <w:r w:rsidRPr="001A3FB3">
        <w:rPr>
          <w:rStyle w:val="FootnoteReference"/>
          <w:color w:val="000000" w:themeColor="text1"/>
        </w:rPr>
        <w:footnoteReference w:id="16"/>
      </w:r>
      <w:r w:rsidRPr="001A3FB3">
        <w:rPr>
          <w:color w:val="000000" w:themeColor="text1"/>
        </w:rPr>
        <w:t xml:space="preserve"> The statutory asymmetry is a configuration of statutory devices</w:t>
      </w:r>
      <w:r w:rsidR="00B62085">
        <w:rPr>
          <w:color w:val="000000" w:themeColor="text1"/>
        </w:rPr>
        <w:t>—</w:t>
      </w:r>
      <w:r w:rsidRPr="001A3FB3">
        <w:rPr>
          <w:color w:val="000000" w:themeColor="text1"/>
        </w:rPr>
        <w:t>substance-axis foreclosure, evidentiary conversion, state-money leverage, banking and insurance access, proxy and stewardship burdens, certification and attestation</w:t>
      </w:r>
      <w:r w:rsidR="00B62085">
        <w:rPr>
          <w:color w:val="000000" w:themeColor="text1"/>
        </w:rPr>
        <w:t>—</w:t>
      </w:r>
      <w:r w:rsidRPr="001A3FB3">
        <w:rPr>
          <w:color w:val="000000" w:themeColor="text1"/>
        </w:rPr>
        <w:t>assembled in stackable combinations the Pro-side wave does not match.</w:t>
      </w:r>
    </w:p>
    <w:p w14:paraId="793942C3" w14:textId="77777777" w:rsidR="005F5ACD" w:rsidRPr="001A3FB3" w:rsidRDefault="00000000" w:rsidP="001A3FB3">
      <w:pPr>
        <w:pStyle w:val="Heading2"/>
      </w:pPr>
      <w:bookmarkStart w:id="11" w:name="X18daeb2cc387bd5c8210972be3736c9547091d9"/>
      <w:bookmarkStart w:id="12" w:name="_Toc229502256"/>
      <w:bookmarkEnd w:id="9"/>
      <w:r w:rsidRPr="001A3FB3">
        <w:t>§I.B Financial Materiality and the Pecuniary Continuum</w:t>
      </w:r>
      <w:bookmarkEnd w:id="12"/>
    </w:p>
    <w:p w14:paraId="24C329C1" w14:textId="77777777" w:rsidR="005F5ACD" w:rsidRPr="001A3FB3" w:rsidRDefault="00000000">
      <w:pPr>
        <w:pStyle w:val="FirstParagraph"/>
        <w:rPr>
          <w:color w:val="000000" w:themeColor="text1"/>
        </w:rPr>
      </w:pPr>
      <w:r w:rsidRPr="001A3FB3">
        <w:rPr>
          <w:color w:val="000000" w:themeColor="text1"/>
        </w:rPr>
        <w:t xml:space="preserve">The Article locates each statute on a </w:t>
      </w:r>
      <w:r w:rsidRPr="001A3FB3">
        <w:rPr>
          <w:i/>
          <w:iCs/>
          <w:color w:val="000000" w:themeColor="text1"/>
        </w:rPr>
        <w:t>pecuniary continuum</w:t>
      </w:r>
      <w:r w:rsidRPr="001A3FB3">
        <w:rPr>
          <w:color w:val="000000" w:themeColor="text1"/>
        </w:rPr>
        <w:t xml:space="preserve"> with two dimensions. The substantive dimension records what the statute reaches: physical and transition climate risk; governance-quality and certain social factors with qualitative financial relevance; softer DEI considerations as analytical inputs; categorical DEI mandates as political commitments; firearms-only and foreign-adversary geopolitics. The regulatory dimension records </w:t>
      </w:r>
      <w:r w:rsidRPr="001A3FB3">
        <w:rPr>
          <w:i/>
          <w:iCs/>
          <w:color w:val="000000" w:themeColor="text1"/>
        </w:rPr>
        <w:t>how</w:t>
      </w:r>
      <w:r w:rsidRPr="001A3FB3">
        <w:rPr>
          <w:color w:val="000000" w:themeColor="text1"/>
        </w:rPr>
        <w:t xml:space="preserve"> the statute operates: open permission; procedural conditioning; categorical exclusion; conclusive presumption.</w:t>
      </w:r>
    </w:p>
    <w:p w14:paraId="6E258EC7" w14:textId="34D8BC64" w:rsidR="005F5ACD" w:rsidRPr="001A3FB3" w:rsidRDefault="00000000">
      <w:pPr>
        <w:pStyle w:val="BodyText"/>
        <w:rPr>
          <w:color w:val="000000" w:themeColor="text1"/>
        </w:rPr>
      </w:pPr>
      <w:r w:rsidRPr="001A3FB3">
        <w:rPr>
          <w:color w:val="000000" w:themeColor="text1"/>
        </w:rPr>
        <w:t>Climate physical and transition risk sits at the substantively pecuniary end. Global prudential supervisors model it as a driver of conventional credit, market, operational, and liquidity risk categories.</w:t>
      </w:r>
      <w:r w:rsidRPr="001A3FB3">
        <w:rPr>
          <w:rStyle w:val="FootnoteReference"/>
          <w:color w:val="000000" w:themeColor="text1"/>
        </w:rPr>
        <w:footnoteReference w:id="17"/>
      </w:r>
      <w:r w:rsidRPr="001A3FB3">
        <w:rPr>
          <w:color w:val="000000" w:themeColor="text1"/>
        </w:rPr>
        <w:t xml:space="preserve"> The U.S. Department of Labor</w:t>
      </w:r>
      <w:r w:rsidR="00B62085">
        <w:rPr>
          <w:color w:val="000000" w:themeColor="text1"/>
        </w:rPr>
        <w:t>’</w:t>
      </w:r>
      <w:r w:rsidRPr="001A3FB3">
        <w:rPr>
          <w:color w:val="000000" w:themeColor="text1"/>
        </w:rPr>
        <w:t xml:space="preserve">s two-generation regulatory trajectory operationalizes the same principle: the 2020 Final Rule defined fiduciary-decision factors narrowly as </w:t>
      </w:r>
      <w:r w:rsidR="00B62085">
        <w:rPr>
          <w:color w:val="000000" w:themeColor="text1"/>
        </w:rPr>
        <w:t>“</w:t>
      </w:r>
      <w:r w:rsidRPr="001A3FB3">
        <w:rPr>
          <w:color w:val="000000" w:themeColor="text1"/>
        </w:rPr>
        <w:t>pecuniary factors</w:t>
      </w:r>
      <w:r w:rsidR="00B62085">
        <w:rPr>
          <w:color w:val="000000" w:themeColor="text1"/>
        </w:rPr>
        <w:t>”</w:t>
      </w:r>
      <w:r w:rsidRPr="001A3FB3">
        <w:rPr>
          <w:color w:val="000000" w:themeColor="text1"/>
        </w:rPr>
        <w:t>; the 2022 revision clarified that ESG-related financial risks</w:t>
      </w:r>
      <w:r w:rsidR="00B62085">
        <w:rPr>
          <w:color w:val="000000" w:themeColor="text1"/>
        </w:rPr>
        <w:t>—</w:t>
      </w:r>
      <w:r w:rsidRPr="001A3FB3">
        <w:rPr>
          <w:color w:val="000000" w:themeColor="text1"/>
        </w:rPr>
        <w:t>including climate transition, regulatory, and physical-hazard impacts</w:t>
      </w:r>
      <w:r w:rsidR="00B62085">
        <w:rPr>
          <w:color w:val="000000" w:themeColor="text1"/>
        </w:rPr>
        <w:t>—</w:t>
      </w:r>
      <w:r w:rsidRPr="001A3FB3">
        <w:rPr>
          <w:color w:val="000000" w:themeColor="text1"/>
        </w:rPr>
        <w:t>fall within permissible fiduciary analysis when reasonably material to returns.</w:t>
      </w:r>
      <w:r w:rsidRPr="001A3FB3">
        <w:rPr>
          <w:rStyle w:val="FootnoteReference"/>
          <w:color w:val="000000" w:themeColor="text1"/>
        </w:rPr>
        <w:footnoteReference w:id="18"/>
      </w:r>
      <w:r w:rsidRPr="001A3FB3">
        <w:rPr>
          <w:color w:val="000000" w:themeColor="text1"/>
        </w:rPr>
        <w:t xml:space="preserve"> The federal environment under which the 2022 rule operates remains politically contested; the underlying structure</w:t>
      </w:r>
      <w:r w:rsidR="00B62085">
        <w:rPr>
          <w:color w:val="000000" w:themeColor="text1"/>
        </w:rPr>
        <w:t>—</w:t>
      </w:r>
      <w:r w:rsidRPr="001A3FB3">
        <w:rPr>
          <w:color w:val="000000" w:themeColor="text1"/>
        </w:rPr>
        <w:t>pecuniary inputs in, collateral-benefits reasoning out</w:t>
      </w:r>
      <w:r w:rsidR="00B62085">
        <w:rPr>
          <w:color w:val="000000" w:themeColor="text1"/>
        </w:rPr>
        <w:t>—</w:t>
      </w:r>
      <w:r w:rsidRPr="001A3FB3">
        <w:rPr>
          <w:color w:val="000000" w:themeColor="text1"/>
        </w:rPr>
        <w:t>is stable across generations.</w:t>
      </w:r>
    </w:p>
    <w:p w14:paraId="31E354F1" w14:textId="74DFB2FF" w:rsidR="005F5ACD" w:rsidRPr="001A3FB3" w:rsidRDefault="00000000">
      <w:pPr>
        <w:pStyle w:val="BodyText"/>
        <w:rPr>
          <w:color w:val="000000" w:themeColor="text1"/>
        </w:rPr>
      </w:pPr>
      <w:r w:rsidRPr="001A3FB3">
        <w:rPr>
          <w:color w:val="000000" w:themeColor="text1"/>
        </w:rPr>
        <w:t>Climate risk is the cleanest test case for the substance-axis story not because scholars say it is material, but because regulators and market practitioners have built measurement infrastructure that ordinary financial analysis already uses. Supervisors model climate scenarios across orderly-transition, disorderly-transition, and hot-house pathways;</w:t>
      </w:r>
      <w:r w:rsidRPr="001A3FB3">
        <w:rPr>
          <w:rStyle w:val="FootnoteReference"/>
          <w:color w:val="000000" w:themeColor="text1"/>
        </w:rPr>
        <w:footnoteReference w:id="19"/>
      </w:r>
      <w:r w:rsidRPr="001A3FB3">
        <w:rPr>
          <w:color w:val="000000" w:themeColor="text1"/>
        </w:rPr>
        <w:t xml:space="preserve"> asset managers and financial-data firms translate scenario outputs into conventional financial metrics</w:t>
      </w:r>
      <w:r w:rsidR="00B62085">
        <w:rPr>
          <w:color w:val="000000" w:themeColor="text1"/>
        </w:rPr>
        <w:t>—</w:t>
      </w:r>
      <w:r w:rsidRPr="001A3FB3">
        <w:rPr>
          <w:color w:val="000000" w:themeColor="text1"/>
        </w:rPr>
        <w:t>value at risk, expected loss, credit-risk migration, collateral-valuation adjustment, cost of capital, portfolio risk decomposition.</w:t>
      </w:r>
      <w:r w:rsidRPr="001A3FB3">
        <w:rPr>
          <w:rStyle w:val="FootnoteReference"/>
          <w:color w:val="000000" w:themeColor="text1"/>
        </w:rPr>
        <w:footnoteReference w:id="20"/>
      </w:r>
      <w:r w:rsidRPr="001A3FB3">
        <w:rPr>
          <w:color w:val="000000" w:themeColor="text1"/>
        </w:rPr>
        <w:t xml:space="preserve"> UNEP Finance Initiative</w:t>
      </w:r>
      <w:r w:rsidR="00B62085">
        <w:rPr>
          <w:color w:val="000000" w:themeColor="text1"/>
        </w:rPr>
        <w:t>’</w:t>
      </w:r>
      <w:r w:rsidRPr="001A3FB3">
        <w:rPr>
          <w:color w:val="000000" w:themeColor="text1"/>
        </w:rPr>
        <w:t>s 2023 climate-risk landscape catalogs fifteen named practitioner methodologies, deployed across a 44-bank-and-investor consortium that includes Bank of America, Goldman Sachs, HSBC, Wells Fargo, UBS, and Citi.</w:t>
      </w:r>
      <w:r w:rsidRPr="001A3FB3">
        <w:rPr>
          <w:rStyle w:val="FootnoteReference"/>
          <w:color w:val="000000" w:themeColor="text1"/>
        </w:rPr>
        <w:footnoteReference w:id="21"/>
      </w:r>
      <w:r w:rsidRPr="001A3FB3">
        <w:rPr>
          <w:color w:val="000000" w:themeColor="text1"/>
        </w:rPr>
        <w:t xml:space="preserve"> The mainstream practitioner concept of material sustainability tracks securities-law materiality directly: the Sustainability Accounting Standards Board, the principal industry standard-setter for sustainability disclosure, adopts the Supreme Court</w:t>
      </w:r>
      <w:r w:rsidR="00B62085">
        <w:rPr>
          <w:color w:val="000000" w:themeColor="text1"/>
        </w:rPr>
        <w:t>’</w:t>
      </w:r>
      <w:r w:rsidRPr="001A3FB3">
        <w:rPr>
          <w:color w:val="000000" w:themeColor="text1"/>
        </w:rPr>
        <w:t xml:space="preserve">s definition of materiality under </w:t>
      </w:r>
      <w:r w:rsidRPr="001A3FB3">
        <w:rPr>
          <w:i/>
          <w:iCs/>
          <w:color w:val="000000" w:themeColor="text1"/>
        </w:rPr>
        <w:t>TSC Industries, Inc. v. Northway, Inc.</w:t>
      </w:r>
      <w:r w:rsidRPr="001A3FB3">
        <w:rPr>
          <w:color w:val="000000" w:themeColor="text1"/>
        </w:rPr>
        <w:t xml:space="preserve">, 426 U.S. 438, 449 (1976), and </w:t>
      </w:r>
      <w:r w:rsidRPr="001A3FB3">
        <w:rPr>
          <w:i/>
          <w:iCs/>
          <w:color w:val="000000" w:themeColor="text1"/>
        </w:rPr>
        <w:t>Basic Inc. v. Levinson</w:t>
      </w:r>
      <w:r w:rsidRPr="001A3FB3">
        <w:rPr>
          <w:color w:val="000000" w:themeColor="text1"/>
        </w:rPr>
        <w:t>, 485 U.S. 224 (1988).</w:t>
      </w:r>
      <w:r w:rsidRPr="001A3FB3">
        <w:rPr>
          <w:rStyle w:val="FootnoteReference"/>
          <w:color w:val="000000" w:themeColor="text1"/>
        </w:rPr>
        <w:footnoteReference w:id="22"/>
      </w:r>
      <w:r w:rsidRPr="001A3FB3">
        <w:rPr>
          <w:color w:val="000000" w:themeColor="text1"/>
        </w:rPr>
        <w:t xml:space="preserve"> None of this proves that climate risk is financially material to every fiduciary</w:t>
      </w:r>
      <w:r w:rsidR="00B62085">
        <w:rPr>
          <w:color w:val="000000" w:themeColor="text1"/>
        </w:rPr>
        <w:t>’</w:t>
      </w:r>
      <w:r w:rsidRPr="001A3FB3">
        <w:rPr>
          <w:color w:val="000000" w:themeColor="text1"/>
        </w:rPr>
        <w:t>s portfolio in every context, and none of it makes any particular climate-related decision prudent. A categorical exclusion of climate-coded systemic risk—from fiduciary, banking, or insurance analysis—without a particularized materiality finding does more than enforce ordinary financial rigor; it removes an input that mainstream financial and supervisory frameworks treat as potentially material.</w:t>
      </w:r>
      <w:r w:rsidRPr="001A3FB3">
        <w:rPr>
          <w:rStyle w:val="FootnoteReference"/>
          <w:color w:val="000000" w:themeColor="text1"/>
        </w:rPr>
        <w:footnoteReference w:id="23"/>
      </w:r>
    </w:p>
    <w:p w14:paraId="793E638F" w14:textId="11FC5C3D" w:rsidR="005F5ACD" w:rsidRPr="001A3FB3" w:rsidRDefault="00000000">
      <w:pPr>
        <w:pStyle w:val="BodyText"/>
        <w:rPr>
          <w:color w:val="000000" w:themeColor="text1"/>
        </w:rPr>
      </w:pPr>
      <w:r w:rsidRPr="001A3FB3">
        <w:rPr>
          <w:color w:val="000000" w:themeColor="text1"/>
        </w:rPr>
        <w:t xml:space="preserve">Fiduciary doctrine makes weighting discretion the legal heart of the prudent-investor rule. ERISA prudence </w:t>
      </w:r>
      <w:r w:rsidR="00B62085">
        <w:rPr>
          <w:color w:val="000000" w:themeColor="text1"/>
        </w:rPr>
        <w:t>“</w:t>
      </w:r>
      <w:r w:rsidRPr="001A3FB3">
        <w:rPr>
          <w:color w:val="000000" w:themeColor="text1"/>
        </w:rPr>
        <w:t>is not concerned with results</w:t>
      </w:r>
      <w:r w:rsidR="00B62085">
        <w:rPr>
          <w:color w:val="000000" w:themeColor="text1"/>
        </w:rPr>
        <w:t>”</w:t>
      </w:r>
      <w:r w:rsidRPr="001A3FB3">
        <w:rPr>
          <w:color w:val="000000" w:themeColor="text1"/>
        </w:rPr>
        <w:t xml:space="preserve"> but with </w:t>
      </w:r>
      <w:r w:rsidR="00B62085">
        <w:rPr>
          <w:color w:val="000000" w:themeColor="text1"/>
        </w:rPr>
        <w:t>“</w:t>
      </w:r>
      <w:r w:rsidRPr="001A3FB3">
        <w:rPr>
          <w:color w:val="000000" w:themeColor="text1"/>
        </w:rPr>
        <w:t>how the fiduciary acted viewed from the perspective of the time of the challenged decision</w:t>
      </w:r>
      <w:r w:rsidR="00B62085">
        <w:rPr>
          <w:color w:val="000000" w:themeColor="text1"/>
        </w:rPr>
        <w:t>”</w:t>
      </w:r>
      <w:r w:rsidRPr="001A3FB3">
        <w:rPr>
          <w:color w:val="000000" w:themeColor="text1"/>
        </w:rPr>
        <w:t>;</w:t>
      </w:r>
      <w:r w:rsidRPr="001A3FB3">
        <w:rPr>
          <w:rStyle w:val="FootnoteReference"/>
          <w:color w:val="000000" w:themeColor="text1"/>
        </w:rPr>
        <w:footnoteReference w:id="24"/>
      </w:r>
      <w:r w:rsidRPr="001A3FB3">
        <w:rPr>
          <w:color w:val="000000" w:themeColor="text1"/>
        </w:rPr>
        <w:t xml:space="preserve"> the Restatement (Third) of Trusts § 90 and the Uniform Prudent Investor Act codify the same anti-hindsight discipline.</w:t>
      </w:r>
      <w:r w:rsidRPr="001A3FB3">
        <w:rPr>
          <w:rStyle w:val="FootnoteReference"/>
          <w:color w:val="000000" w:themeColor="text1"/>
        </w:rPr>
        <w:footnoteReference w:id="25"/>
      </w:r>
      <w:r w:rsidRPr="001A3FB3">
        <w:rPr>
          <w:color w:val="000000" w:themeColor="text1"/>
        </w:rPr>
        <w:t xml:space="preserve"> Schanzenbach and </w:t>
      </w:r>
      <w:proofErr w:type="spellStart"/>
      <w:r w:rsidRPr="001A3FB3">
        <w:rPr>
          <w:color w:val="000000" w:themeColor="text1"/>
        </w:rPr>
        <w:t>Sitkoff</w:t>
      </w:r>
      <w:proofErr w:type="spellEnd"/>
      <w:r w:rsidRPr="001A3FB3">
        <w:rPr>
          <w:color w:val="000000" w:themeColor="text1"/>
        </w:rPr>
        <w:t xml:space="preserve"> distinguish materiality-based </w:t>
      </w:r>
      <w:r w:rsidRPr="001A3FB3">
        <w:rPr>
          <w:i/>
          <w:iCs/>
          <w:color w:val="000000" w:themeColor="text1"/>
        </w:rPr>
        <w:t>weighting</w:t>
      </w:r>
      <w:r w:rsidRPr="001A3FB3">
        <w:rPr>
          <w:color w:val="000000" w:themeColor="text1"/>
        </w:rPr>
        <w:t xml:space="preserve"> of a financially material factor from negative </w:t>
      </w:r>
      <w:r w:rsidRPr="001A3FB3">
        <w:rPr>
          <w:i/>
          <w:iCs/>
          <w:color w:val="000000" w:themeColor="text1"/>
        </w:rPr>
        <w:t>screening</w:t>
      </w:r>
      <w:r w:rsidRPr="001A3FB3">
        <w:rPr>
          <w:color w:val="000000" w:themeColor="text1"/>
        </w:rPr>
        <w:t xml:space="preserve"> (categorical exclusion) and </w:t>
      </w:r>
      <w:r w:rsidRPr="001A3FB3">
        <w:rPr>
          <w:i/>
          <w:iCs/>
          <w:color w:val="000000" w:themeColor="text1"/>
        </w:rPr>
        <w:t>driving</w:t>
      </w:r>
      <w:r w:rsidRPr="001A3FB3">
        <w:rPr>
          <w:color w:val="000000" w:themeColor="text1"/>
        </w:rPr>
        <w:t xml:space="preserve"> of non-financial goals; weighting is integration, screening and driving are different activities subject to different scrutiny.</w:t>
      </w:r>
      <w:r w:rsidRPr="001A3FB3">
        <w:rPr>
          <w:rStyle w:val="FootnoteReference"/>
          <w:color w:val="000000" w:themeColor="text1"/>
        </w:rPr>
        <w:footnoteReference w:id="26"/>
      </w:r>
      <w:r w:rsidRPr="001A3FB3">
        <w:rPr>
          <w:color w:val="000000" w:themeColor="text1"/>
        </w:rPr>
        <w:t xml:space="preserve"> CFA professional standards adopt the same distinction.</w:t>
      </w:r>
      <w:r w:rsidRPr="001A3FB3">
        <w:rPr>
          <w:rStyle w:val="FootnoteReference"/>
          <w:color w:val="000000" w:themeColor="text1"/>
        </w:rPr>
        <w:footnoteReference w:id="27"/>
      </w:r>
      <w:r w:rsidRPr="001A3FB3">
        <w:rPr>
          <w:color w:val="000000" w:themeColor="text1"/>
        </w:rPr>
        <w:t xml:space="preserve"> Institutional fiduciaries treat regulatory, technological, and physical climate risks as financially material.</w:t>
      </w:r>
      <w:r w:rsidRPr="001A3FB3">
        <w:rPr>
          <w:rStyle w:val="FootnoteReference"/>
          <w:color w:val="000000" w:themeColor="text1"/>
        </w:rPr>
        <w:footnoteReference w:id="28"/>
      </w:r>
      <w:r w:rsidRPr="001A3FB3">
        <w:rPr>
          <w:color w:val="000000" w:themeColor="text1"/>
        </w:rPr>
        <w:t xml:space="preserve"> Long-horizon trustees have stronger doctrinal authority to weight long-horizon systemic factors because the strategy must be reasonably suited to the trust</w:t>
      </w:r>
      <w:r w:rsidR="00B62085">
        <w:rPr>
          <w:color w:val="000000" w:themeColor="text1"/>
        </w:rPr>
        <w:t>’</w:t>
      </w:r>
      <w:r w:rsidRPr="001A3FB3">
        <w:rPr>
          <w:color w:val="000000" w:themeColor="text1"/>
        </w:rPr>
        <w:t>s duration.</w:t>
      </w:r>
      <w:r w:rsidRPr="001A3FB3">
        <w:rPr>
          <w:rStyle w:val="FootnoteReference"/>
          <w:color w:val="000000" w:themeColor="text1"/>
        </w:rPr>
        <w:footnoteReference w:id="29"/>
      </w:r>
    </w:p>
    <w:p w14:paraId="697E6620" w14:textId="439CDC79" w:rsidR="005F5ACD" w:rsidRPr="001A3FB3" w:rsidRDefault="00000000">
      <w:pPr>
        <w:pStyle w:val="BodyText"/>
        <w:rPr>
          <w:color w:val="000000" w:themeColor="text1"/>
        </w:rPr>
      </w:pPr>
      <w:r w:rsidRPr="001A3FB3">
        <w:rPr>
          <w:color w:val="000000" w:themeColor="text1"/>
        </w:rPr>
        <w:t>Duration-matching sharpens the point. Public-pension trusts carry liabilities measured in decades; their fiduciaries match long-duration assets to long-duration liabilities. Climate physical and transition risk operates over precisely those horizons. The economic-theory backstop is well established. Weitzman</w:t>
      </w:r>
      <w:r w:rsidR="00B62085">
        <w:rPr>
          <w:color w:val="000000" w:themeColor="text1"/>
        </w:rPr>
        <w:t>’</w:t>
      </w:r>
      <w:r w:rsidRPr="001A3FB3">
        <w:rPr>
          <w:color w:val="000000" w:themeColor="text1"/>
        </w:rPr>
        <w:t>s analysis of catastrophic climate uncertainty showed that fat-tailed structural uncertainty about climate-damage parameters can dominate ordinary discounting in cost-benefit analysis; Pindyck</w:t>
      </w:r>
      <w:r w:rsidR="00B62085">
        <w:rPr>
          <w:color w:val="000000" w:themeColor="text1"/>
        </w:rPr>
        <w:t>’</w:t>
      </w:r>
      <w:r w:rsidRPr="001A3FB3">
        <w:rPr>
          <w:color w:val="000000" w:themeColor="text1"/>
        </w:rPr>
        <w:t xml:space="preserve">s climate-policy work and the Dixit-Pindyck real-options framework show that irreversibility and persistent uncertainty about long-horizon environmental outcomes generate option-value premiums that ordinary present-value analysis </w:t>
      </w:r>
      <w:proofErr w:type="spellStart"/>
      <w:r w:rsidRPr="001A3FB3">
        <w:rPr>
          <w:color w:val="000000" w:themeColor="text1"/>
        </w:rPr>
        <w:t>under-prices</w:t>
      </w:r>
      <w:proofErr w:type="spellEnd"/>
      <w:r w:rsidRPr="001A3FB3">
        <w:rPr>
          <w:color w:val="000000" w:themeColor="text1"/>
        </w:rPr>
        <w:t>. A statute that categorically excludes those risks from the trustee</w:t>
      </w:r>
      <w:r w:rsidR="00B62085">
        <w:rPr>
          <w:color w:val="000000" w:themeColor="text1"/>
        </w:rPr>
        <w:t>’</w:t>
      </w:r>
      <w:r w:rsidRPr="001A3FB3">
        <w:rPr>
          <w:color w:val="000000" w:themeColor="text1"/>
        </w:rPr>
        <w:t>s permissible analytical universe can create a prudence problem by forcing a mismatch between the liability horizon and the inputs the trustee may consider in matching it.</w:t>
      </w:r>
      <w:r w:rsidRPr="001A3FB3">
        <w:rPr>
          <w:rStyle w:val="FootnoteReference"/>
          <w:color w:val="000000" w:themeColor="text1"/>
        </w:rPr>
        <w:footnoteReference w:id="30"/>
      </w:r>
      <w:r w:rsidRPr="001A3FB3">
        <w:rPr>
          <w:color w:val="000000" w:themeColor="text1"/>
        </w:rPr>
        <w:t xml:space="preserve"> Diversified investors cannot diversify away systemic risk, and climate physical and transition risk is, by the supervisory consensus, </w:t>
      </w:r>
      <w:proofErr w:type="gramStart"/>
      <w:r w:rsidRPr="001A3FB3">
        <w:rPr>
          <w:color w:val="000000" w:themeColor="text1"/>
        </w:rPr>
        <w:t>portfolio-wide</w:t>
      </w:r>
      <w:proofErr w:type="gramEnd"/>
      <w:r w:rsidRPr="001A3FB3">
        <w:rPr>
          <w:color w:val="000000" w:themeColor="text1"/>
        </w:rPr>
        <w:t>. Hard statutory exclusions of climate-coded systemic risk from the eligible analytical universe can conflict with the diversified portfolio-risk management responsibilities long-horizon trustees carry, regardless of any individual fiduciary</w:t>
      </w:r>
      <w:r w:rsidR="00B62085">
        <w:rPr>
          <w:color w:val="000000" w:themeColor="text1"/>
        </w:rPr>
        <w:t>’</w:t>
      </w:r>
      <w:r w:rsidRPr="001A3FB3">
        <w:rPr>
          <w:color w:val="000000" w:themeColor="text1"/>
        </w:rPr>
        <w:t>s views on collateral political objectives.</w:t>
      </w:r>
      <w:r w:rsidRPr="001A3FB3">
        <w:rPr>
          <w:rStyle w:val="FootnoteReference"/>
          <w:color w:val="000000" w:themeColor="text1"/>
        </w:rPr>
        <w:footnoteReference w:id="31"/>
      </w:r>
    </w:p>
    <w:p w14:paraId="3120B929" w14:textId="098DA690" w:rsidR="005F5ACD" w:rsidRPr="001A3FB3" w:rsidRDefault="00000000">
      <w:pPr>
        <w:pStyle w:val="BodyText"/>
        <w:rPr>
          <w:color w:val="000000" w:themeColor="text1"/>
        </w:rPr>
      </w:pPr>
      <w:r w:rsidRPr="001A3FB3">
        <w:rPr>
          <w:color w:val="000000" w:themeColor="text1"/>
        </w:rPr>
        <w:t xml:space="preserve">Schanzenbach and </w:t>
      </w:r>
      <w:proofErr w:type="spellStart"/>
      <w:r w:rsidRPr="001A3FB3">
        <w:rPr>
          <w:color w:val="000000" w:themeColor="text1"/>
        </w:rPr>
        <w:t>Sitkoff</w:t>
      </w:r>
      <w:proofErr w:type="spellEnd"/>
      <w:r w:rsidRPr="001A3FB3">
        <w:rPr>
          <w:color w:val="000000" w:themeColor="text1"/>
        </w:rPr>
        <w:t xml:space="preserve"> established the risk-return / collateral-benefits distinction within fiduciary doctrine, now canonical; the continuum applies that distinction rather than extending it. The European Union</w:t>
      </w:r>
      <w:r w:rsidR="00B62085">
        <w:rPr>
          <w:color w:val="000000" w:themeColor="text1"/>
        </w:rPr>
        <w:t>’</w:t>
      </w:r>
      <w:r w:rsidRPr="001A3FB3">
        <w:rPr>
          <w:color w:val="000000" w:themeColor="text1"/>
        </w:rPr>
        <w:t xml:space="preserve">s corporate-disclosure regime has a parallel structure under </w:t>
      </w:r>
      <w:r w:rsidR="00B62085">
        <w:rPr>
          <w:color w:val="000000" w:themeColor="text1"/>
        </w:rPr>
        <w:t>“</w:t>
      </w:r>
      <w:r w:rsidRPr="001A3FB3">
        <w:rPr>
          <w:color w:val="000000" w:themeColor="text1"/>
        </w:rPr>
        <w:t>double materiality</w:t>
      </w:r>
      <w:r w:rsidR="00B62085">
        <w:rPr>
          <w:color w:val="000000" w:themeColor="text1"/>
        </w:rPr>
        <w:t>”—</w:t>
      </w:r>
      <w:r w:rsidRPr="001A3FB3">
        <w:rPr>
          <w:color w:val="000000" w:themeColor="text1"/>
        </w:rPr>
        <w:t>financial materiality (whether ESG factors affect the company</w:t>
      </w:r>
      <w:r w:rsidR="00B62085">
        <w:rPr>
          <w:color w:val="000000" w:themeColor="text1"/>
        </w:rPr>
        <w:t>’</w:t>
      </w:r>
      <w:r w:rsidRPr="001A3FB3">
        <w:rPr>
          <w:color w:val="000000" w:themeColor="text1"/>
        </w:rPr>
        <w:t>s financial performance and risk profile) and impact materiality (whether the company</w:t>
      </w:r>
      <w:r w:rsidR="00B62085">
        <w:rPr>
          <w:color w:val="000000" w:themeColor="text1"/>
        </w:rPr>
        <w:t>’</w:t>
      </w:r>
      <w:r w:rsidRPr="001A3FB3">
        <w:rPr>
          <w:color w:val="000000" w:themeColor="text1"/>
        </w:rPr>
        <w:t>s activities affect environmental or social systems).</w:t>
      </w:r>
      <w:r w:rsidRPr="001A3FB3">
        <w:rPr>
          <w:rStyle w:val="FootnoteReference"/>
          <w:color w:val="000000" w:themeColor="text1"/>
        </w:rPr>
        <w:footnoteReference w:id="32"/>
      </w:r>
      <w:r w:rsidRPr="001A3FB3">
        <w:rPr>
          <w:color w:val="000000" w:themeColor="text1"/>
        </w:rPr>
        <w:t xml:space="preserve"> American fiduciary doctrine does not use the EU terminology, but the structural distinction is analogous: financial-materiality factors enter the analytical universe; impact-only considerations remain a separate governance question.</w:t>
      </w:r>
      <w:r w:rsidRPr="001A3FB3">
        <w:rPr>
          <w:rStyle w:val="FootnoteReference"/>
          <w:color w:val="000000" w:themeColor="text1"/>
        </w:rPr>
        <w:footnoteReference w:id="33"/>
      </w:r>
    </w:p>
    <w:p w14:paraId="4F6C2413" w14:textId="366A9037" w:rsidR="005F5ACD" w:rsidRPr="001A3FB3" w:rsidRDefault="00000000">
      <w:pPr>
        <w:pStyle w:val="BodyText"/>
        <w:rPr>
          <w:color w:val="000000" w:themeColor="text1"/>
        </w:rPr>
      </w:pPr>
      <w:r w:rsidRPr="001A3FB3">
        <w:rPr>
          <w:color w:val="000000" w:themeColor="text1"/>
        </w:rPr>
        <w:t>The substance-axis design conflicts with that doctrinal baseline. A statute that removes climate-coded systemic risk from the permissible analytical universe by definition withdraws inputs rather than testing motive against a settled background. A statute that imposes asymmetric written-analysis duties taxes the work of weighting. A statute that converts coalition memberships into evidence of nonpecuniary motive operates against the documentation orientation prudent-investor doctrine preserves as protection against hindsight challenge. Each move works on the inputs those doctrines assume fiduciaries may use—not on any individual fiduciary</w:t>
      </w:r>
      <w:r w:rsidR="00B62085">
        <w:rPr>
          <w:color w:val="000000" w:themeColor="text1"/>
        </w:rPr>
        <w:t>’</w:t>
      </w:r>
      <w:r w:rsidRPr="001A3FB3">
        <w:rPr>
          <w:color w:val="000000" w:themeColor="text1"/>
        </w:rPr>
        <w:t>s motive or act.</w:t>
      </w:r>
    </w:p>
    <w:p w14:paraId="02B0C000" w14:textId="77777777" w:rsidR="005F5ACD" w:rsidRPr="001A3FB3" w:rsidRDefault="00000000" w:rsidP="001A3FB3">
      <w:pPr>
        <w:pStyle w:val="Heading2"/>
      </w:pPr>
      <w:bookmarkStart w:id="13" w:name="i.c-corpus-and-denominator-method"/>
      <w:bookmarkStart w:id="14" w:name="_Toc229502257"/>
      <w:bookmarkEnd w:id="11"/>
      <w:r w:rsidRPr="001A3FB3">
        <w:t>§I.C Corpus and Denominator Method</w:t>
      </w:r>
      <w:bookmarkEnd w:id="14"/>
    </w:p>
    <w:p w14:paraId="51C28455" w14:textId="6A03EBE8" w:rsidR="005F5ACD" w:rsidRPr="001A3FB3" w:rsidRDefault="00000000">
      <w:pPr>
        <w:pStyle w:val="FirstParagraph"/>
        <w:rPr>
          <w:color w:val="000000" w:themeColor="text1"/>
        </w:rPr>
      </w:pPr>
      <w:r w:rsidRPr="001A3FB3">
        <w:rPr>
          <w:color w:val="000000" w:themeColor="text1"/>
        </w:rPr>
        <w:t>Clause-level analysis grounds the empirical contribution; bill-label-level analysis does not capture the statutory moves the legislation performs. The Article</w:t>
      </w:r>
      <w:r w:rsidR="00B62085">
        <w:rPr>
          <w:color w:val="000000" w:themeColor="text1"/>
        </w:rPr>
        <w:t>’</w:t>
      </w:r>
      <w:r w:rsidRPr="001A3FB3">
        <w:rPr>
          <w:color w:val="000000" w:themeColor="text1"/>
        </w:rPr>
        <w:t>s substantive analysis begins with filtered ESG universes, not the unfiltered collection surface. The broad ESG universe contains 1,329 annual attempts and 911 companion-collapsed statutes. The corporate/financial ESG universe narrows to 1,125 annual attempts and 769 companion-collapsed statutes with a corporate, fiduciary, investor, financial-sector, contractor, or market-conduct nexus. The core corporate/fiduciary universe narrows further to 909 annual attempts and 604 companion-collapsed statutes after removing energy-program-only rows and the most purely political sidecar lanes. The climate-facing ESG universe contains 739 annual attempts and 492 companion-collapsed statutes covering climate-explicit, climate-implicit, and broad-ESG provisions that can plausibly affect climate-related fiduciary, investment, governance, disclosure, proxy, contracting, or market-conduct analysis.</w:t>
      </w:r>
      <w:r w:rsidRPr="001A3FB3">
        <w:rPr>
          <w:rStyle w:val="FootnoteReference"/>
          <w:color w:val="000000" w:themeColor="text1"/>
        </w:rPr>
        <w:footnoteReference w:id="34"/>
      </w:r>
    </w:p>
    <w:p w14:paraId="2E5BA3E6" w14:textId="77777777" w:rsidR="005F5ACD" w:rsidRPr="001A3FB3" w:rsidRDefault="00000000">
      <w:pPr>
        <w:pStyle w:val="BodyText"/>
        <w:rPr>
          <w:color w:val="000000" w:themeColor="text1"/>
        </w:rPr>
      </w:pPr>
      <w:r w:rsidRPr="001A3FB3">
        <w:rPr>
          <w:color w:val="000000" w:themeColor="text1"/>
        </w:rPr>
        <w:t>Pro-side enacted measures are best stated predicate by predicate rather than aggregated wholesale. Twenty-five Pro-side measures are enacted across the full publication universe; twenty-three within the broad ESG filter; twenty-one within the corporate and financial ESG universe; twenty-one within the core corporate/fiduciary universe; and thirteen within the climate-facing ESG universe.</w:t>
      </w:r>
      <w:r w:rsidRPr="001A3FB3">
        <w:rPr>
          <w:rStyle w:val="FootnoteReference"/>
          <w:color w:val="000000" w:themeColor="text1"/>
        </w:rPr>
        <w:footnoteReference w:id="35"/>
      </w:r>
      <w:r w:rsidRPr="001A3FB3">
        <w:rPr>
          <w:color w:val="000000" w:themeColor="text1"/>
        </w:rPr>
        <w:t xml:space="preserve"> Aggregation across predicates would be methodologically unsound—the Article instead reports comparators at the predicate level corresponding to each architectural claim it evaluates.</w:t>
      </w:r>
    </w:p>
    <w:p w14:paraId="0CAB7212" w14:textId="77777777" w:rsidR="005F5ACD" w:rsidRPr="001A3FB3" w:rsidRDefault="00000000">
      <w:pPr>
        <w:pStyle w:val="BodyText"/>
        <w:rPr>
          <w:color w:val="000000" w:themeColor="text1"/>
        </w:rPr>
      </w:pPr>
      <w:r w:rsidRPr="001A3FB3">
        <w:rPr>
          <w:color w:val="000000" w:themeColor="text1"/>
        </w:rPr>
        <w:t>The count grain changes with the claim. Annual attempts measure legislative pressure over time. Enacted statutes are counted at the companion-collapsed grain: when chamber-paired bills or close same-session variants would produce a single statute, they are counted as one law.</w:t>
      </w:r>
      <w:r w:rsidRPr="001A3FB3">
        <w:rPr>
          <w:rStyle w:val="FootnoteReference"/>
          <w:color w:val="000000" w:themeColor="text1"/>
        </w:rPr>
        <w:footnoteReference w:id="36"/>
      </w:r>
      <w:r w:rsidRPr="001A3FB3">
        <w:rPr>
          <w:color w:val="000000" w:themeColor="text1"/>
        </w:rPr>
        <w:t xml:space="preserve"> Filed bill records preserve source coverage and are reported in the Methodology Appendix, but they are not used as enactment-rate denominators.</w:t>
      </w:r>
      <w:r w:rsidRPr="001A3FB3">
        <w:rPr>
          <w:rStyle w:val="FootnoteReference"/>
          <w:color w:val="000000" w:themeColor="text1"/>
        </w:rPr>
        <w:footnoteReference w:id="37"/>
      </w:r>
    </w:p>
    <w:p w14:paraId="2843C2E7" w14:textId="77777777" w:rsidR="005F5ACD" w:rsidRPr="001A3FB3" w:rsidRDefault="00000000">
      <w:pPr>
        <w:pStyle w:val="BodyText"/>
        <w:rPr>
          <w:color w:val="000000" w:themeColor="text1"/>
        </w:rPr>
      </w:pPr>
      <w:r w:rsidRPr="001A3FB3">
        <w:rPr>
          <w:color w:val="000000" w:themeColor="text1"/>
        </w:rPr>
        <w:t xml:space="preserve">For enacted Anti-side structural claims, the curated enacted Anti-ESG corpus is the curated enacted Anti-ESG </w:t>
      </w:r>
      <w:proofErr w:type="gramStart"/>
      <w:r w:rsidRPr="001A3FB3">
        <w:rPr>
          <w:color w:val="000000" w:themeColor="text1"/>
        </w:rPr>
        <w:t>set:</w:t>
      </w:r>
      <w:proofErr w:type="gramEnd"/>
      <w:r w:rsidRPr="001A3FB3">
        <w:rPr>
          <w:color w:val="000000" w:themeColor="text1"/>
        </w:rPr>
        <w:t xml:space="preserve"> more than fifty enacted Anti-side measures across twenty-one states. Where the analysis narrows to the Prescribed Non-Consideration tier, it identifies the hardest foreclosure subset: provisions that narrow fiduciary-decision factors by definition or treat them as conclusively nonpecuniary. Pro-side comparators are predicate-defined rather than aggregated wholesale because Pro-side statutes span pension divestment, climate-risk analysis, emissions disclosure, proxy reporting, and corporate-board mandates.</w:t>
      </w:r>
      <w:r w:rsidRPr="001A3FB3">
        <w:rPr>
          <w:rStyle w:val="FootnoteReference"/>
          <w:color w:val="000000" w:themeColor="text1"/>
        </w:rPr>
        <w:footnoteReference w:id="38"/>
      </w:r>
      <w:r w:rsidRPr="001A3FB3">
        <w:rPr>
          <w:rStyle w:val="FootnoteReference"/>
          <w:color w:val="000000" w:themeColor="text1"/>
        </w:rPr>
        <w:footnoteReference w:id="39"/>
      </w:r>
      <w:r w:rsidRPr="001A3FB3">
        <w:rPr>
          <w:rStyle w:val="FootnoteReference"/>
          <w:color w:val="000000" w:themeColor="text1"/>
        </w:rPr>
        <w:footnoteReference w:id="40"/>
      </w:r>
    </w:p>
    <w:p w14:paraId="4A98F1C2" w14:textId="061640E6" w:rsidR="005F5ACD" w:rsidRPr="001A3FB3" w:rsidRDefault="00000000">
      <w:pPr>
        <w:pStyle w:val="BodyText"/>
        <w:rPr>
          <w:color w:val="000000" w:themeColor="text1"/>
        </w:rPr>
      </w:pPr>
      <w:r w:rsidRPr="001A3FB3">
        <w:rPr>
          <w:color w:val="000000" w:themeColor="text1"/>
        </w:rPr>
        <w:t>Classification combined official-source normalization, structured first-pass coding, clause-level evidence extraction, cross-model disagreement review, and human/legal validation of enacted and high-conflict rows. Automated tools assisted with first-pass labels, duplicate and companion detection, template matching, and disagreement queues; final counts and structural labels rest on operative text, source records, and human legal review.</w:t>
      </w:r>
      <w:r w:rsidRPr="001A3FB3">
        <w:rPr>
          <w:rStyle w:val="FootnoteReference"/>
          <w:color w:val="000000" w:themeColor="text1"/>
        </w:rPr>
        <w:footnoteReference w:id="41"/>
      </w:r>
      <w:r w:rsidRPr="001A3FB3">
        <w:rPr>
          <w:color w:val="000000" w:themeColor="text1"/>
        </w:rPr>
        <w:t xml:space="preserve"> Where externally corroborated (e.g., Pleiades Strategy 2024 state legislation tracker), counts align within reasonable tolerance; remaining figures derive from the author</w:t>
      </w:r>
      <w:r w:rsidR="00B62085">
        <w:rPr>
          <w:color w:val="000000" w:themeColor="text1"/>
        </w:rPr>
        <w:t>’</w:t>
      </w:r>
      <w:r w:rsidRPr="001A3FB3">
        <w:rPr>
          <w:color w:val="000000" w:themeColor="text1"/>
        </w:rPr>
        <w:t>s analysis on file.</w:t>
      </w:r>
    </w:p>
    <w:p w14:paraId="687F7125" w14:textId="77777777" w:rsidR="005F5ACD" w:rsidRPr="001A3FB3" w:rsidRDefault="00000000" w:rsidP="001A3FB3">
      <w:pPr>
        <w:pStyle w:val="Heading2"/>
      </w:pPr>
      <w:bookmarkStart w:id="15" w:name="X17c24bbaa44cd515414ceaf20e844c08aa9857a"/>
      <w:bookmarkStart w:id="16" w:name="_Toc229502258"/>
      <w:bookmarkEnd w:id="13"/>
      <w:r w:rsidRPr="001A3FB3">
        <w:t>§I.D Implementation Methods and Sidecar Controls</w:t>
      </w:r>
      <w:bookmarkEnd w:id="16"/>
    </w:p>
    <w:p w14:paraId="7C249831" w14:textId="77777777" w:rsidR="005F5ACD" w:rsidRPr="001A3FB3" w:rsidRDefault="00000000">
      <w:pPr>
        <w:pStyle w:val="FirstParagraph"/>
        <w:rPr>
          <w:color w:val="000000" w:themeColor="text1"/>
        </w:rPr>
      </w:pPr>
      <w:r w:rsidRPr="001A3FB3">
        <w:rPr>
          <w:i/>
          <w:iCs/>
          <w:color w:val="000000" w:themeColor="text1"/>
        </w:rPr>
        <w:t>Implementation methods.</w:t>
      </w:r>
      <w:r w:rsidRPr="001A3FB3">
        <w:rPr>
          <w:color w:val="000000" w:themeColor="text1"/>
        </w:rPr>
        <w:t xml:space="preserve"> Asset managers, insurers, and pension funds operationalize ESG and climate analysis through five strategy families: ESG integration (weighting one input among many bearing on risk-adjusted return); negative screening (categorical exclusion from the eligible universe); positive screening (selecting on ESG criteria); thematic investing (allocating to climate or social solutions); and impact investing (seeking measurable environmental or social outcomes alongside financial return).</w:t>
      </w:r>
      <w:r w:rsidRPr="001A3FB3">
        <w:rPr>
          <w:rStyle w:val="FootnoteReference"/>
          <w:color w:val="000000" w:themeColor="text1"/>
        </w:rPr>
        <w:footnoteReference w:id="42"/>
      </w:r>
      <w:r w:rsidRPr="001A3FB3">
        <w:rPr>
          <w:color w:val="000000" w:themeColor="text1"/>
        </w:rPr>
        <w:t xml:space="preserve"> The families map onto the pecuniary continuum: integration occupies the substantive core; screening and impact range from financial (transition-risk focused) to collateral-benefit (values-driven); thematic investing depends on the underlying allocation rationale.</w:t>
      </w:r>
      <w:r w:rsidRPr="001A3FB3">
        <w:rPr>
          <w:rStyle w:val="FootnoteReference"/>
          <w:color w:val="000000" w:themeColor="text1"/>
        </w:rPr>
        <w:footnoteReference w:id="43"/>
      </w:r>
    </w:p>
    <w:p w14:paraId="22EF8464" w14:textId="1073EF6C" w:rsidR="005F5ACD" w:rsidRPr="001A3FB3" w:rsidRDefault="00000000">
      <w:pPr>
        <w:pStyle w:val="BodyText"/>
        <w:rPr>
          <w:color w:val="000000" w:themeColor="text1"/>
        </w:rPr>
      </w:pPr>
      <w:r w:rsidRPr="001A3FB3">
        <w:rPr>
          <w:color w:val="000000" w:themeColor="text1"/>
        </w:rPr>
        <w:t xml:space="preserve">These statutes do not engage these distinctions cleanly. Many operative provisions police </w:t>
      </w:r>
      <w:r w:rsidR="00B62085">
        <w:rPr>
          <w:color w:val="000000" w:themeColor="text1"/>
        </w:rPr>
        <w:t>“</w:t>
      </w:r>
      <w:r w:rsidRPr="001A3FB3">
        <w:rPr>
          <w:color w:val="000000" w:themeColor="text1"/>
        </w:rPr>
        <w:t>decisions … based on</w:t>
      </w:r>
      <w:r w:rsidR="00B62085">
        <w:rPr>
          <w:color w:val="000000" w:themeColor="text1"/>
        </w:rPr>
        <w:t>”</w:t>
      </w:r>
      <w:r w:rsidRPr="001A3FB3">
        <w:rPr>
          <w:color w:val="000000" w:themeColor="text1"/>
        </w:rPr>
        <w:t xml:space="preserve"> or </w:t>
      </w:r>
      <w:r w:rsidR="00B62085">
        <w:rPr>
          <w:color w:val="000000" w:themeColor="text1"/>
        </w:rPr>
        <w:t>“</w:t>
      </w:r>
      <w:r w:rsidRPr="001A3FB3">
        <w:rPr>
          <w:color w:val="000000" w:themeColor="text1"/>
        </w:rPr>
        <w:t>for the purpose of</w:t>
      </w:r>
      <w:r w:rsidR="00B62085">
        <w:rPr>
          <w:color w:val="000000" w:themeColor="text1"/>
        </w:rPr>
        <w:t>”</w:t>
      </w:r>
      <w:r w:rsidRPr="001A3FB3">
        <w:rPr>
          <w:color w:val="000000" w:themeColor="text1"/>
        </w:rPr>
        <w:t xml:space="preserve"> ESG-coded factors, language that collapses integration-as-input cases into collateral-pursuit cases even where the integration was financially reasoned.</w:t>
      </w:r>
      <w:r w:rsidRPr="001A3FB3">
        <w:rPr>
          <w:rStyle w:val="FootnoteReference"/>
          <w:color w:val="000000" w:themeColor="text1"/>
        </w:rPr>
        <w:footnoteReference w:id="44"/>
      </w:r>
      <w:r w:rsidRPr="001A3FB3">
        <w:rPr>
          <w:color w:val="000000" w:themeColor="text1"/>
        </w:rPr>
        <w:t xml:space="preserve"> The recharacterization conflicts with the rationale of prudent-investor doctrine, which treats weighting discretion as ordinary fiduciary practice.</w:t>
      </w:r>
    </w:p>
    <w:p w14:paraId="59B6BC14" w14:textId="717B95DE" w:rsidR="005F5ACD" w:rsidRPr="001A3FB3" w:rsidRDefault="00000000">
      <w:pPr>
        <w:pStyle w:val="BodyText"/>
        <w:rPr>
          <w:color w:val="000000" w:themeColor="text1"/>
        </w:rPr>
      </w:pPr>
      <w:r w:rsidRPr="001A3FB3">
        <w:rPr>
          <w:i/>
          <w:iCs/>
          <w:color w:val="000000" w:themeColor="text1"/>
        </w:rPr>
        <w:t>Sidecar controls.</w:t>
      </w:r>
      <w:r w:rsidRPr="001A3FB3">
        <w:rPr>
          <w:color w:val="000000" w:themeColor="text1"/>
        </w:rPr>
        <w:t xml:space="preserve"> The sidecars separate the paper</w:t>
      </w:r>
      <w:r w:rsidR="00B62085">
        <w:rPr>
          <w:color w:val="000000" w:themeColor="text1"/>
        </w:rPr>
        <w:t>’</w:t>
      </w:r>
      <w:r w:rsidRPr="001A3FB3">
        <w:rPr>
          <w:color w:val="000000" w:themeColor="text1"/>
        </w:rPr>
        <w:t>s climate-facing corporate/fiduciary analysis from adjacent political-control lanes. Firearms-only and foreign-adversary measures show that states use ESG-style legal tools for sectoral or geopolitical control. DEI/NCS measures occupy a closer non-climate social-policy lane. Energy-policy-only rows are treated separately because many are renewable-energy, energy-program, or omnibus energy measures rather than corporate/fiduciary ESG regulation. The sidecars are therefore boundary checks on the analysis, not a body denominator.</w:t>
      </w:r>
      <w:r w:rsidRPr="001A3FB3">
        <w:rPr>
          <w:rStyle w:val="FootnoteReference"/>
          <w:color w:val="000000" w:themeColor="text1"/>
        </w:rPr>
        <w:footnoteReference w:id="45"/>
      </w:r>
    </w:p>
    <w:p w14:paraId="525A3D9B" w14:textId="58D2C853" w:rsidR="005F5ACD" w:rsidRPr="001A3FB3" w:rsidRDefault="00000000">
      <w:pPr>
        <w:pStyle w:val="BodyText"/>
        <w:rPr>
          <w:color w:val="000000" w:themeColor="text1"/>
        </w:rPr>
      </w:pPr>
      <w:r w:rsidRPr="001A3FB3">
        <w:rPr>
          <w:color w:val="000000" w:themeColor="text1"/>
        </w:rPr>
        <w:t xml:space="preserve">One sidecar comparison is useful in the body. Firearms-only Anti measures enact at a higher resolved rate than climate-facing Anti measures, underscoring that the Anti-side wave is not simply a climate story. The point is not that sidecar rates dominate ESG rates; it is that the same architectural devices migrate across politically charged subject matters. Firearms-only Anti </w:t>
      </w:r>
      <w:proofErr w:type="gramStart"/>
      <w:r w:rsidRPr="001A3FB3">
        <w:rPr>
          <w:color w:val="000000" w:themeColor="text1"/>
        </w:rPr>
        <w:t>measures</w:t>
      </w:r>
      <w:r w:rsidR="00B62085">
        <w:rPr>
          <w:color w:val="000000" w:themeColor="text1"/>
        </w:rPr>
        <w:t>’</w:t>
      </w:r>
      <w:proofErr w:type="gramEnd"/>
      <w:r w:rsidRPr="001A3FB3">
        <w:rPr>
          <w:color w:val="000000" w:themeColor="text1"/>
        </w:rPr>
        <w:t xml:space="preserve"> resolved enactment rate (20.37%) exceeds the climate-facing Anti rate (15.45%), but the statutory design—designation lists, contracting restrictions, governance interventions—recurs across both lanes. Volume plus design in the climate-facing and core corporate/fiduciary universes remains the central finding, not a sidecar rate ranking.</w:t>
      </w:r>
      <w:r w:rsidRPr="001A3FB3">
        <w:rPr>
          <w:rStyle w:val="FootnoteReference"/>
          <w:color w:val="000000" w:themeColor="text1"/>
        </w:rPr>
        <w:footnoteReference w:id="46"/>
      </w:r>
    </w:p>
    <w:p w14:paraId="6AFA4430" w14:textId="77777777" w:rsidR="005F5ACD" w:rsidRPr="001A3FB3" w:rsidRDefault="00000000">
      <w:pPr>
        <w:pStyle w:val="BodyText"/>
        <w:rPr>
          <w:color w:val="000000" w:themeColor="text1"/>
        </w:rPr>
      </w:pPr>
      <w:r w:rsidRPr="001A3FB3">
        <w:rPr>
          <w:color w:val="000000" w:themeColor="text1"/>
        </w:rPr>
        <w:t>Fine-grained structural claims rely on enacted or high-conflict rows reviewed against operative text and source records; lower-confidence dead rows are used only for aggregate temporal and agenda-setting patterns.</w:t>
      </w:r>
    </w:p>
    <w:p w14:paraId="1E16E053" w14:textId="77777777" w:rsidR="005F5ACD" w:rsidRPr="001A3FB3" w:rsidRDefault="00000000" w:rsidP="001A3FB3">
      <w:pPr>
        <w:pStyle w:val="Heading2"/>
      </w:pPr>
      <w:bookmarkStart w:id="17" w:name="footnote-bank-for-part-i"/>
      <w:bookmarkStart w:id="18" w:name="_Toc229502259"/>
      <w:bookmarkEnd w:id="15"/>
      <w:r w:rsidRPr="001A3FB3">
        <w:t>Footnote Bank for Part I</w:t>
      </w:r>
      <w:bookmarkEnd w:id="18"/>
    </w:p>
    <w:p w14:paraId="6EA87F6E" w14:textId="788B27CE" w:rsidR="005F5ACD" w:rsidRPr="001A3FB3" w:rsidRDefault="00000000" w:rsidP="001A3FB3">
      <w:pPr>
        <w:pStyle w:val="Heading1"/>
      </w:pPr>
      <w:bookmarkStart w:id="19" w:name="part-ii-the-anti-esg-state-toolkit"/>
      <w:bookmarkStart w:id="20" w:name="_Toc229502260"/>
      <w:bookmarkEnd w:id="7"/>
      <w:bookmarkEnd w:id="17"/>
      <w:r w:rsidRPr="001A3FB3">
        <w:t>PART II</w:t>
      </w:r>
      <w:r w:rsidR="00B62085">
        <w:t>—</w:t>
      </w:r>
      <w:r w:rsidRPr="001A3FB3">
        <w:t>THE ANTI-ESG STATE TOOLKIT</w:t>
      </w:r>
      <w:bookmarkEnd w:id="20"/>
    </w:p>
    <w:p w14:paraId="512D9067" w14:textId="77777777" w:rsidR="005F5ACD" w:rsidRPr="001A3FB3" w:rsidRDefault="00000000" w:rsidP="001A3FB3">
      <w:pPr>
        <w:pStyle w:val="Heading2"/>
      </w:pPr>
      <w:bookmarkStart w:id="21" w:name="X818d53a363850661d4f7b8214cc376c440bd3de"/>
      <w:bookmarkStart w:id="22" w:name="_Toc229502261"/>
      <w:r w:rsidRPr="001A3FB3">
        <w:t>§II.A Toolkit logic: hard core and broader perimeter</w:t>
      </w:r>
      <w:bookmarkEnd w:id="22"/>
    </w:p>
    <w:p w14:paraId="5C099968" w14:textId="41E6D1CA" w:rsidR="005F5ACD" w:rsidRPr="001A3FB3" w:rsidRDefault="00000000">
      <w:pPr>
        <w:pStyle w:val="FirstParagraph"/>
        <w:rPr>
          <w:color w:val="000000" w:themeColor="text1"/>
        </w:rPr>
      </w:pPr>
      <w:r w:rsidRPr="001A3FB3">
        <w:rPr>
          <w:color w:val="000000" w:themeColor="text1"/>
        </w:rPr>
        <w:t xml:space="preserve">The analysis separates channel, tool, and reach. The </w:t>
      </w:r>
      <w:r w:rsidRPr="001A3FB3">
        <w:rPr>
          <w:i/>
          <w:iCs/>
          <w:color w:val="000000" w:themeColor="text1"/>
        </w:rPr>
        <w:t>channel</w:t>
      </w:r>
      <w:r w:rsidRPr="001A3FB3">
        <w:rPr>
          <w:color w:val="000000" w:themeColor="text1"/>
        </w:rPr>
        <w:t xml:space="preserve"> is the state-conferred legal capacity that lets the statute reach a private actor at all. The </w:t>
      </w:r>
      <w:r w:rsidRPr="001A3FB3">
        <w:rPr>
          <w:i/>
          <w:iCs/>
          <w:color w:val="000000" w:themeColor="text1"/>
        </w:rPr>
        <w:t>tool</w:t>
      </w:r>
      <w:r w:rsidRPr="001A3FB3">
        <w:rPr>
          <w:color w:val="000000" w:themeColor="text1"/>
        </w:rPr>
        <w:t xml:space="preserve"> is the legal mechanism the statute deploys within that channel. The </w:t>
      </w:r>
      <w:r w:rsidRPr="001A3FB3">
        <w:rPr>
          <w:i/>
          <w:iCs/>
          <w:color w:val="000000" w:themeColor="text1"/>
        </w:rPr>
        <w:t>reach</w:t>
      </w:r>
      <w:r w:rsidRPr="001A3FB3">
        <w:rPr>
          <w:color w:val="000000" w:themeColor="text1"/>
        </w:rPr>
        <w:t xml:space="preserve"> is the population of private actors whose conduct is regulated. A fourth element</w:t>
      </w:r>
      <w:r w:rsidR="00B62085">
        <w:rPr>
          <w:color w:val="000000" w:themeColor="text1"/>
        </w:rPr>
        <w:t>—</w:t>
      </w:r>
      <w:r w:rsidRPr="001A3FB3">
        <w:rPr>
          <w:color w:val="000000" w:themeColor="text1"/>
        </w:rPr>
        <w:t xml:space="preserve">the </w:t>
      </w:r>
      <w:r w:rsidRPr="001A3FB3">
        <w:rPr>
          <w:i/>
          <w:iCs/>
          <w:color w:val="000000" w:themeColor="text1"/>
        </w:rPr>
        <w:t>pressure apparatus</w:t>
      </w:r>
      <w:r w:rsidRPr="001A3FB3">
        <w:rPr>
          <w:color w:val="000000" w:themeColor="text1"/>
        </w:rPr>
        <w:t xml:space="preserve"> of investigations, settlements, attestations, list-maintenance, civil investigative demands, and informal communication</w:t>
      </w:r>
      <w:r w:rsidR="00B62085">
        <w:rPr>
          <w:color w:val="000000" w:themeColor="text1"/>
        </w:rPr>
        <w:t>—</w:t>
      </w:r>
      <w:r w:rsidRPr="001A3FB3">
        <w:rPr>
          <w:color w:val="000000" w:themeColor="text1"/>
        </w:rPr>
        <w:t>overlays the toolkit; Part IV takes it up in detail.</w:t>
      </w:r>
    </w:p>
    <w:p w14:paraId="774F0A63" w14:textId="6432DE47" w:rsidR="005F5ACD" w:rsidRPr="001A3FB3" w:rsidRDefault="00000000">
      <w:pPr>
        <w:pStyle w:val="BodyText"/>
        <w:rPr>
          <w:color w:val="000000" w:themeColor="text1"/>
        </w:rPr>
      </w:pPr>
      <w:r w:rsidRPr="001A3FB3">
        <w:rPr>
          <w:color w:val="000000" w:themeColor="text1"/>
        </w:rPr>
        <w:t xml:space="preserve">The toolkit has a </w:t>
      </w:r>
      <w:r w:rsidRPr="001A3FB3">
        <w:rPr>
          <w:i/>
          <w:iCs/>
          <w:color w:val="000000" w:themeColor="text1"/>
        </w:rPr>
        <w:t>hard core and a broader perimeter</w:t>
      </w:r>
      <w:r w:rsidRPr="001A3FB3">
        <w:rPr>
          <w:color w:val="000000" w:themeColor="text1"/>
        </w:rPr>
        <w:t xml:space="preserve">. The distinction matters because the two families raise different doctrinal questions and warrant different analytical frames. The hard core is </w:t>
      </w:r>
      <w:r w:rsidRPr="001A3FB3">
        <w:rPr>
          <w:i/>
          <w:iCs/>
          <w:color w:val="000000" w:themeColor="text1"/>
        </w:rPr>
        <w:t>Substance-Axis Foreclosure</w:t>
      </w:r>
      <w:r w:rsidRPr="001A3FB3">
        <w:rPr>
          <w:color w:val="000000" w:themeColor="text1"/>
        </w:rPr>
        <w:t xml:space="preserve">: definitional, materiality, or pecuniary-redefinition provisions that legislate which categories of climate- or ESG-coded financial analysis are eligible for fiduciary, banking, insurance, proxy, or disclosure consideration in the first instance. SAF operates upstream of motive review by withdrawing inputs from the analytical universe; it is empirically narrow and structurally distinctive. Around that hard core, the broader perimeter assembles tools that do not foreclose the input but </w:t>
      </w:r>
      <w:r w:rsidRPr="001A3FB3">
        <w:rPr>
          <w:i/>
          <w:iCs/>
          <w:color w:val="000000" w:themeColor="text1"/>
        </w:rPr>
        <w:t>burden</w:t>
      </w:r>
      <w:r w:rsidRPr="001A3FB3">
        <w:rPr>
          <w:color w:val="000000" w:themeColor="text1"/>
        </w:rPr>
        <w:t xml:space="preserve"> the methods, documentation, association, pricing, advice, and certifications through which climate-coded financial judgment is produced and used. State-money leverage conditions access to state contracting, depository, and pension-management business on the regulated firm</w:t>
      </w:r>
      <w:r w:rsidR="00B62085">
        <w:rPr>
          <w:color w:val="000000" w:themeColor="text1"/>
        </w:rPr>
        <w:t>’</w:t>
      </w:r>
      <w:r w:rsidRPr="001A3FB3">
        <w:rPr>
          <w:color w:val="000000" w:themeColor="text1"/>
        </w:rPr>
        <w:t>s nationwide expressive conduct. Banking and insurance access rules constrain the use of risk inputs in pricing and customer treatment. Proxy / disclosure / certification burdens impose asymmetric written-analysis duties, scripted disclaimers, ideological certifications, and per-recommendation production-of-content obligations. Enforcement stacking layers private rights of action, treble damages, perjury attestation, and fee shifting in ways that compound across channels. The broader perimeter is a different category of state legal command. Its doctrinal review and pressure profile differ from SAF</w:t>
      </w:r>
      <w:r w:rsidR="00B62085">
        <w:rPr>
          <w:color w:val="000000" w:themeColor="text1"/>
        </w:rPr>
        <w:t>’</w:t>
      </w:r>
      <w:r w:rsidRPr="001A3FB3">
        <w:rPr>
          <w:color w:val="000000" w:themeColor="text1"/>
        </w:rPr>
        <w:t>s, and collapsing the two into a single foreclosure claim misdirects the analysis. Around both layers, a second structural move</w:t>
      </w:r>
      <w:r w:rsidR="00B62085">
        <w:rPr>
          <w:color w:val="000000" w:themeColor="text1"/>
        </w:rPr>
        <w:t>—</w:t>
      </w:r>
      <w:r w:rsidRPr="001A3FB3">
        <w:rPr>
          <w:i/>
          <w:iCs/>
          <w:color w:val="000000" w:themeColor="text1"/>
        </w:rPr>
        <w:t>Evidentiary Conversion</w:t>
      </w:r>
      <w:r w:rsidR="00B62085">
        <w:rPr>
          <w:color w:val="000000" w:themeColor="text1"/>
        </w:rPr>
        <w:t>—</w:t>
      </w:r>
      <w:r w:rsidRPr="001A3FB3">
        <w:rPr>
          <w:color w:val="000000" w:themeColor="text1"/>
        </w:rPr>
        <w:t>operates cross-channel; §II.C develops it.</w:t>
      </w:r>
    </w:p>
    <w:p w14:paraId="2E4E6F7A" w14:textId="4F02C221" w:rsidR="005F5ACD" w:rsidRPr="001A3FB3" w:rsidRDefault="00000000">
      <w:pPr>
        <w:pStyle w:val="BodyText"/>
        <w:rPr>
          <w:color w:val="000000" w:themeColor="text1"/>
        </w:rPr>
      </w:pPr>
      <w:r w:rsidRPr="001A3FB3">
        <w:rPr>
          <w:color w:val="000000" w:themeColor="text1"/>
        </w:rPr>
        <w:t>Pecuniary-factor statutes regulate the analytical inputs available within the fiduciary relationship; restricted-list statutes regulate the counterparties eligible for it. The latter are structurally more aggressive because they let state officials convert a firm</w:t>
      </w:r>
      <w:r w:rsidR="00B62085">
        <w:rPr>
          <w:color w:val="000000" w:themeColor="text1"/>
        </w:rPr>
        <w:t>’</w:t>
      </w:r>
      <w:r w:rsidRPr="001A3FB3">
        <w:rPr>
          <w:color w:val="000000" w:themeColor="text1"/>
        </w:rPr>
        <w:t>s climate-related expressive conduct into ineligibility for state contracting, pension management, and depository relationships—a consequence that persists across transactions and cannot be cured within any single contracting decision.</w:t>
      </w:r>
    </w:p>
    <w:p w14:paraId="12176A5F" w14:textId="66CA74EF" w:rsidR="005F5ACD" w:rsidRPr="001A3FB3" w:rsidRDefault="00000000">
      <w:pPr>
        <w:pStyle w:val="BodyText"/>
        <w:rPr>
          <w:color w:val="000000" w:themeColor="text1"/>
        </w:rPr>
      </w:pPr>
      <w:r w:rsidRPr="001A3FB3">
        <w:rPr>
          <w:color w:val="000000" w:themeColor="text1"/>
        </w:rPr>
        <w:t>Five channels carry the bulk of the wave</w:t>
      </w:r>
      <w:r w:rsidR="00B62085">
        <w:rPr>
          <w:color w:val="000000" w:themeColor="text1"/>
        </w:rPr>
        <w:t>’</w:t>
      </w:r>
      <w:r w:rsidRPr="001A3FB3">
        <w:rPr>
          <w:color w:val="000000" w:themeColor="text1"/>
        </w:rPr>
        <w:t xml:space="preserve">s architecture across both the hard core and the broader perimeter. The State acts as </w:t>
      </w:r>
      <w:r w:rsidRPr="001A3FB3">
        <w:rPr>
          <w:i/>
          <w:iCs/>
          <w:color w:val="000000" w:themeColor="text1"/>
        </w:rPr>
        <w:t>pension sponsor</w:t>
      </w:r>
      <w:r w:rsidRPr="001A3FB3">
        <w:rPr>
          <w:color w:val="000000" w:themeColor="text1"/>
        </w:rPr>
        <w:t xml:space="preserve">, regulating the investment conduct of public-fund trustees through fiduciary statutes, definitional codifications, and exclusive-purpose constitutional provisions. The State acts as </w:t>
      </w:r>
      <w:r w:rsidRPr="001A3FB3">
        <w:rPr>
          <w:i/>
          <w:iCs/>
          <w:color w:val="000000" w:themeColor="text1"/>
        </w:rPr>
        <w:t>buyer, contractor, and depositor</w:t>
      </w:r>
      <w:r w:rsidRPr="001A3FB3">
        <w:rPr>
          <w:color w:val="000000" w:themeColor="text1"/>
        </w:rPr>
        <w:t xml:space="preserve">, conditioning access to public business and public funds on certifications, attestations, or non-listed status. The State acts as </w:t>
      </w:r>
      <w:r w:rsidRPr="001A3FB3">
        <w:rPr>
          <w:i/>
          <w:iCs/>
          <w:color w:val="000000" w:themeColor="text1"/>
        </w:rPr>
        <w:t>bank and insurance regulator</w:t>
      </w:r>
      <w:r w:rsidRPr="001A3FB3">
        <w:rPr>
          <w:color w:val="000000" w:themeColor="text1"/>
        </w:rPr>
        <w:t xml:space="preserve">, prescribing what risk inputs state-licensed financial firms may use in pricing, underwriting, and customer treatment. The State acts as </w:t>
      </w:r>
      <w:r w:rsidRPr="001A3FB3">
        <w:rPr>
          <w:i/>
          <w:iCs/>
          <w:color w:val="000000" w:themeColor="text1"/>
        </w:rPr>
        <w:t>proxy-adviser and stewardship regulator</w:t>
      </w:r>
      <w:r w:rsidRPr="001A3FB3">
        <w:rPr>
          <w:color w:val="000000" w:themeColor="text1"/>
        </w:rPr>
        <w:t xml:space="preserve">, imposing process duties on the advice and voting infrastructure used by institutional investors. And the State acts as </w:t>
      </w:r>
      <w:r w:rsidRPr="001A3FB3">
        <w:rPr>
          <w:i/>
          <w:iCs/>
          <w:color w:val="000000" w:themeColor="text1"/>
        </w:rPr>
        <w:t>issuer-disclosure regulator</w:t>
      </w:r>
      <w:r w:rsidRPr="001A3FB3">
        <w:rPr>
          <w:color w:val="000000" w:themeColor="text1"/>
        </w:rPr>
        <w:t>, requiring covered firms to publish information about emissions, climate-related financial risk, or governance posture. These five capacities are not interchangeable. Each carries a distinct constitutional and preemption profile, and each supports a different family of tools.</w:t>
      </w:r>
      <w:r w:rsidRPr="001A3FB3">
        <w:rPr>
          <w:rStyle w:val="FootnoteReference"/>
          <w:color w:val="000000" w:themeColor="text1"/>
        </w:rPr>
        <w:footnoteReference w:id="47"/>
      </w:r>
    </w:p>
    <w:p w14:paraId="27588A31" w14:textId="77777777" w:rsidR="005F5ACD" w:rsidRPr="001A3FB3" w:rsidRDefault="00000000">
      <w:pPr>
        <w:pStyle w:val="BodyText"/>
        <w:rPr>
          <w:color w:val="000000" w:themeColor="text1"/>
        </w:rPr>
      </w:pPr>
      <w:r w:rsidRPr="001A3FB3">
        <w:rPr>
          <w:color w:val="000000" w:themeColor="text1"/>
        </w:rPr>
        <w:t xml:space="preserve">SAF, the broader perimeter, Evidentiary Conversion, and the pressure apparatus produce the compliance cost dynamic Part IV calls </w:t>
      </w:r>
      <w:r w:rsidRPr="001A3FB3">
        <w:rPr>
          <w:i/>
          <w:iCs/>
          <w:color w:val="000000" w:themeColor="text1"/>
        </w:rPr>
        <w:t>Compliance Overhang</w:t>
      </w:r>
      <w:r w:rsidRPr="001A3FB3">
        <w:rPr>
          <w:color w:val="000000" w:themeColor="text1"/>
        </w:rPr>
        <w:t>. More than fifty enacted Anti-side measures across twenty-one states share a recognizable structure; Part II maps it.</w:t>
      </w:r>
      <w:r w:rsidRPr="001A3FB3">
        <w:rPr>
          <w:rStyle w:val="FootnoteReference"/>
          <w:color w:val="000000" w:themeColor="text1"/>
        </w:rPr>
        <w:footnoteReference w:id="48"/>
      </w:r>
      <w:r w:rsidRPr="001A3FB3">
        <w:rPr>
          <w:color w:val="000000" w:themeColor="text1"/>
        </w:rPr>
        <w:t xml:space="preserve"> Part II proceeds through substance-axis foreclosure (§II.B), Evidentiary Conversion (§II.C), state-money leverage (§II.D), risk-pricing, proxy, disclosure, and certification burdens (§II.E), and enforcement design, carveouts, and Pro-side comparators (§II.F).</w:t>
      </w:r>
    </w:p>
    <w:p w14:paraId="0ABA3ED0" w14:textId="77777777" w:rsidR="005F5ACD" w:rsidRPr="001A3FB3" w:rsidRDefault="00000000" w:rsidP="001A3FB3">
      <w:pPr>
        <w:pStyle w:val="Heading2"/>
      </w:pPr>
      <w:bookmarkStart w:id="23" w:name="ii.b-substance-axis-foreclosure"/>
      <w:bookmarkStart w:id="24" w:name="_Toc229502262"/>
      <w:bookmarkEnd w:id="21"/>
      <w:r w:rsidRPr="001A3FB3">
        <w:t>§II.B Substance-Axis Foreclosure</w:t>
      </w:r>
      <w:bookmarkEnd w:id="24"/>
    </w:p>
    <w:p w14:paraId="26087034" w14:textId="58314FF3" w:rsidR="005F5ACD" w:rsidRPr="001A3FB3" w:rsidRDefault="00000000">
      <w:pPr>
        <w:pStyle w:val="FirstParagraph"/>
        <w:rPr>
          <w:color w:val="000000" w:themeColor="text1"/>
        </w:rPr>
      </w:pPr>
      <w:r w:rsidRPr="001A3FB3">
        <w:rPr>
          <w:i/>
          <w:iCs/>
          <w:color w:val="000000" w:themeColor="text1"/>
        </w:rPr>
        <w:t>Strict Substance-Axis Foreclosure</w:t>
      </w:r>
      <w:r w:rsidRPr="001A3FB3">
        <w:rPr>
          <w:color w:val="000000" w:themeColor="text1"/>
        </w:rPr>
        <w:t xml:space="preserve"> is the most structurally distinctive tool family in the corpus: its mechanism is definitional rather than evidentiary or procedural. Rather than testing whether a fiduciary</w:t>
      </w:r>
      <w:r w:rsidR="00B62085">
        <w:rPr>
          <w:color w:val="000000" w:themeColor="text1"/>
        </w:rPr>
        <w:t>’</w:t>
      </w:r>
      <w:r w:rsidRPr="001A3FB3">
        <w:rPr>
          <w:color w:val="000000" w:themeColor="text1"/>
        </w:rPr>
        <w:t>s motive in considering an ESG-coded factor was permissible</w:t>
      </w:r>
      <w:r w:rsidR="00B62085">
        <w:rPr>
          <w:color w:val="000000" w:themeColor="text1"/>
        </w:rPr>
        <w:t>—</w:t>
      </w:r>
      <w:r w:rsidRPr="001A3FB3">
        <w:rPr>
          <w:color w:val="000000" w:themeColor="text1"/>
        </w:rPr>
        <w:t>the move conventional fiduciary doctrine, and the influential Schanzenbach-</w:t>
      </w:r>
      <w:proofErr w:type="spellStart"/>
      <w:r w:rsidRPr="001A3FB3">
        <w:rPr>
          <w:color w:val="000000" w:themeColor="text1"/>
        </w:rPr>
        <w:t>Sitkoff</w:t>
      </w:r>
      <w:proofErr w:type="spellEnd"/>
      <w:r w:rsidRPr="001A3FB3">
        <w:rPr>
          <w:color w:val="000000" w:themeColor="text1"/>
        </w:rPr>
        <w:t xml:space="preserve"> synthesis, makes available</w:t>
      </w:r>
      <w:r w:rsidRPr="001A3FB3">
        <w:rPr>
          <w:rStyle w:val="FootnoteReference"/>
          <w:color w:val="000000" w:themeColor="text1"/>
        </w:rPr>
        <w:footnoteReference w:id="49"/>
      </w:r>
      <w:r w:rsidR="00B62085">
        <w:rPr>
          <w:color w:val="000000" w:themeColor="text1"/>
        </w:rPr>
        <w:t>—</w:t>
      </w:r>
      <w:r w:rsidRPr="001A3FB3">
        <w:rPr>
          <w:color w:val="000000" w:themeColor="text1"/>
        </w:rPr>
        <w:t xml:space="preserve">Substance-Axis Foreclosure rewrites the statutory concept of </w:t>
      </w:r>
      <w:r w:rsidR="00B62085">
        <w:rPr>
          <w:color w:val="000000" w:themeColor="text1"/>
        </w:rPr>
        <w:t>“</w:t>
      </w:r>
      <w:r w:rsidRPr="001A3FB3">
        <w:rPr>
          <w:color w:val="000000" w:themeColor="text1"/>
        </w:rPr>
        <w:t>material,</w:t>
      </w:r>
      <w:r w:rsidR="00B62085">
        <w:rPr>
          <w:color w:val="000000" w:themeColor="text1"/>
        </w:rPr>
        <w:t>”</w:t>
      </w:r>
      <w:r w:rsidRPr="001A3FB3">
        <w:rPr>
          <w:color w:val="000000" w:themeColor="text1"/>
        </w:rPr>
        <w:t xml:space="preserve"> </w:t>
      </w:r>
      <w:r w:rsidR="00B62085">
        <w:rPr>
          <w:color w:val="000000" w:themeColor="text1"/>
        </w:rPr>
        <w:t>“</w:t>
      </w:r>
      <w:r w:rsidRPr="001A3FB3">
        <w:rPr>
          <w:color w:val="000000" w:themeColor="text1"/>
        </w:rPr>
        <w:t>pecuniary,</w:t>
      </w:r>
      <w:r w:rsidR="00B62085">
        <w:rPr>
          <w:color w:val="000000" w:themeColor="text1"/>
        </w:rPr>
        <w:t>”</w:t>
      </w:r>
      <w:r w:rsidRPr="001A3FB3">
        <w:rPr>
          <w:color w:val="000000" w:themeColor="text1"/>
        </w:rPr>
        <w:t xml:space="preserve"> or </w:t>
      </w:r>
      <w:r w:rsidR="00B62085">
        <w:rPr>
          <w:color w:val="000000" w:themeColor="text1"/>
        </w:rPr>
        <w:t>“</w:t>
      </w:r>
      <w:r w:rsidRPr="001A3FB3">
        <w:rPr>
          <w:color w:val="000000" w:themeColor="text1"/>
        </w:rPr>
        <w:t>financial</w:t>
      </w:r>
      <w:r w:rsidR="00B62085">
        <w:rPr>
          <w:color w:val="000000" w:themeColor="text1"/>
        </w:rPr>
        <w:t>”</w:t>
      </w:r>
      <w:r w:rsidRPr="001A3FB3">
        <w:rPr>
          <w:color w:val="000000" w:themeColor="text1"/>
        </w:rPr>
        <w:t xml:space="preserve"> so that climate-coded systemic risk is excluded from the analytical universe upstream of any motive inquiry. A trustee who considers long-horizon climate-transition risk because she has prudently determined that the risk affects expected returns</w:t>
      </w:r>
      <w:r w:rsidR="00B62085">
        <w:rPr>
          <w:color w:val="000000" w:themeColor="text1"/>
        </w:rPr>
        <w:t>—</w:t>
      </w:r>
      <w:r w:rsidRPr="001A3FB3">
        <w:rPr>
          <w:color w:val="000000" w:themeColor="text1"/>
        </w:rPr>
        <w:t>pure return-seeking motive, on any orthodox view</w:t>
      </w:r>
      <w:r w:rsidR="00B62085">
        <w:rPr>
          <w:color w:val="000000" w:themeColor="text1"/>
        </w:rPr>
        <w:t>—</w:t>
      </w:r>
      <w:r w:rsidRPr="001A3FB3">
        <w:rPr>
          <w:color w:val="000000" w:themeColor="text1"/>
        </w:rPr>
        <w:t>does not encounter a motive test under these statutes. She encounters a definitional bar. Five binding-enacted statutes compose the hard core.</w:t>
      </w:r>
    </w:p>
    <w:p w14:paraId="2CC54F09" w14:textId="5C8B288E" w:rsidR="005F5ACD" w:rsidRPr="001A3FB3" w:rsidRDefault="00000000">
      <w:pPr>
        <w:pStyle w:val="BodyText"/>
        <w:rPr>
          <w:color w:val="000000" w:themeColor="text1"/>
        </w:rPr>
      </w:pPr>
      <w:r w:rsidRPr="001A3FB3">
        <w:rPr>
          <w:color w:val="000000" w:themeColor="text1"/>
        </w:rPr>
        <w:t>The selectivity of the carveouts reveals the statutory choice: what is excluded is not all systemic risk but a precisely characterized subset. The hardest-core substance-axis statutes do not exclude all uncertain or systemic risk from materiality. They exclude a specifically characterized subset</w:t>
      </w:r>
      <w:r w:rsidR="00B62085">
        <w:rPr>
          <w:color w:val="000000" w:themeColor="text1"/>
        </w:rPr>
        <w:t>—</w:t>
      </w:r>
      <w:r w:rsidRPr="001A3FB3">
        <w:rPr>
          <w:color w:val="000000" w:themeColor="text1"/>
        </w:rPr>
        <w:t xml:space="preserve">typically risk that is </w:t>
      </w:r>
      <w:r w:rsidR="00B62085">
        <w:rPr>
          <w:color w:val="000000" w:themeColor="text1"/>
        </w:rPr>
        <w:t>“</w:t>
      </w:r>
      <w:r w:rsidRPr="001A3FB3">
        <w:rPr>
          <w:color w:val="000000" w:themeColor="text1"/>
        </w:rPr>
        <w:t>systemic, general, or not investment-specific</w:t>
      </w:r>
      <w:r w:rsidR="00B62085">
        <w:rPr>
          <w:color w:val="000000" w:themeColor="text1"/>
        </w:rPr>
        <w:t>”</w:t>
      </w:r>
      <w:r w:rsidRPr="001A3FB3">
        <w:rPr>
          <w:color w:val="000000" w:themeColor="text1"/>
        </w:rPr>
        <w:t xml:space="preserve"> and that </w:t>
      </w:r>
      <w:r w:rsidR="00B62085">
        <w:rPr>
          <w:color w:val="000000" w:themeColor="text1"/>
        </w:rPr>
        <w:t>“</w:t>
      </w:r>
      <w:r w:rsidRPr="001A3FB3">
        <w:rPr>
          <w:color w:val="000000" w:themeColor="text1"/>
        </w:rPr>
        <w:t>involves a high degree of uncertainty regarding what may occur in the long-term future.</w:t>
      </w:r>
      <w:r w:rsidR="00B62085">
        <w:rPr>
          <w:color w:val="000000" w:themeColor="text1"/>
        </w:rPr>
        <w:t>”</w:t>
      </w:r>
      <w:r w:rsidRPr="001A3FB3">
        <w:rPr>
          <w:rStyle w:val="FootnoteReference"/>
          <w:color w:val="000000" w:themeColor="text1"/>
        </w:rPr>
        <w:footnoteReference w:id="50"/>
      </w:r>
      <w:r w:rsidRPr="001A3FB3">
        <w:rPr>
          <w:color w:val="000000" w:themeColor="text1"/>
        </w:rPr>
        <w:t xml:space="preserve"> That description fits climate-transition risk with unusual precision. It does not fit interest-rate risk, sovereign-default risk, commodity risk, foreign-exchange risk, or demographic risk, each of which is at least as systemic and at least as long-horizon, and each of which the same statutes leave entirely undisturbed. It is the textual signature of a substantive choice about which long-horizon systemic risks the codified concept of materiality may absorb.</w:t>
      </w:r>
    </w:p>
    <w:p w14:paraId="2875E570" w14:textId="5A2EDF9C" w:rsidR="005F5ACD" w:rsidRPr="001A3FB3" w:rsidRDefault="00000000">
      <w:pPr>
        <w:pStyle w:val="BodyText"/>
        <w:rPr>
          <w:color w:val="000000" w:themeColor="text1"/>
        </w:rPr>
      </w:pPr>
      <w:r w:rsidRPr="001A3FB3">
        <w:rPr>
          <w:color w:val="000000" w:themeColor="text1"/>
        </w:rPr>
        <w:t>Substance-Axis Foreclosure is doctrinally distinctive but empirically narrow. The hard core comprises five of the 54 enacted Anti-side bill records—approximately nine percent of the enacted Anti corpus. The Article treats SAF as the wave</w:t>
      </w:r>
      <w:r w:rsidR="00B62085">
        <w:rPr>
          <w:color w:val="000000" w:themeColor="text1"/>
        </w:rPr>
        <w:t>’</w:t>
      </w:r>
      <w:r w:rsidRPr="001A3FB3">
        <w:rPr>
          <w:color w:val="000000" w:themeColor="text1"/>
        </w:rPr>
        <w:t>s leading doctrinal frontier, not as its center of gravity; this statutory movement</w:t>
      </w:r>
      <w:r w:rsidR="00B62085">
        <w:rPr>
          <w:color w:val="000000" w:themeColor="text1"/>
        </w:rPr>
        <w:t>’</w:t>
      </w:r>
      <w:r w:rsidRPr="001A3FB3">
        <w:rPr>
          <w:color w:val="000000" w:themeColor="text1"/>
        </w:rPr>
        <w:t>s significance is volumetric and statutory variety, of which SAF is a discrete and high-pressure subset.</w:t>
      </w:r>
    </w:p>
    <w:p w14:paraId="4DEFB302" w14:textId="443F567B" w:rsidR="005F5ACD" w:rsidRPr="001A3FB3" w:rsidRDefault="00000000">
      <w:pPr>
        <w:pStyle w:val="BodyText"/>
        <w:rPr>
          <w:color w:val="000000" w:themeColor="text1"/>
        </w:rPr>
      </w:pPr>
      <w:r w:rsidRPr="001A3FB3">
        <w:rPr>
          <w:color w:val="000000" w:themeColor="text1"/>
        </w:rPr>
        <w:t xml:space="preserve">Five enacted statutes compose the hard-core family, though they do not use a single drafting device. Arkansas HB 1253 is the clearest example. It defines </w:t>
      </w:r>
      <w:r w:rsidR="00B62085">
        <w:rPr>
          <w:color w:val="000000" w:themeColor="text1"/>
        </w:rPr>
        <w:t>“</w:t>
      </w:r>
      <w:r w:rsidRPr="001A3FB3">
        <w:rPr>
          <w:color w:val="000000" w:themeColor="text1"/>
        </w:rPr>
        <w:t>Material</w:t>
      </w:r>
      <w:r w:rsidR="00B62085">
        <w:rPr>
          <w:color w:val="000000" w:themeColor="text1"/>
        </w:rPr>
        <w:t>”</w:t>
      </w:r>
      <w:r w:rsidRPr="001A3FB3">
        <w:rPr>
          <w:color w:val="000000" w:themeColor="text1"/>
        </w:rPr>
        <w:t xml:space="preserve"> to exclude </w:t>
      </w:r>
      <w:r w:rsidR="00B62085">
        <w:rPr>
          <w:color w:val="000000" w:themeColor="text1"/>
        </w:rPr>
        <w:t>“</w:t>
      </w:r>
      <w:r w:rsidRPr="001A3FB3">
        <w:rPr>
          <w:color w:val="000000" w:themeColor="text1"/>
        </w:rPr>
        <w:t>any portion of a financial risk or financial return</w:t>
      </w:r>
      <w:r w:rsidR="00B62085">
        <w:rPr>
          <w:color w:val="000000" w:themeColor="text1"/>
        </w:rPr>
        <w:t>”</w:t>
      </w:r>
      <w:r w:rsidRPr="001A3FB3">
        <w:rPr>
          <w:color w:val="000000" w:themeColor="text1"/>
        </w:rPr>
        <w:t xml:space="preserve"> that </w:t>
      </w:r>
      <w:r w:rsidR="00B62085">
        <w:rPr>
          <w:color w:val="000000" w:themeColor="text1"/>
        </w:rPr>
        <w:t>“</w:t>
      </w:r>
      <w:r w:rsidRPr="001A3FB3">
        <w:rPr>
          <w:color w:val="000000" w:themeColor="text1"/>
        </w:rPr>
        <w:t>involve[s] a high degree of uncertainty regarding what may occur in the long-term future</w:t>
      </w:r>
      <w:r w:rsidR="00B62085">
        <w:rPr>
          <w:color w:val="000000" w:themeColor="text1"/>
        </w:rPr>
        <w:t>”</w:t>
      </w:r>
      <w:r w:rsidRPr="001A3FB3">
        <w:rPr>
          <w:color w:val="000000" w:themeColor="text1"/>
        </w:rPr>
        <w:t xml:space="preserve"> and is </w:t>
      </w:r>
      <w:r w:rsidR="00B62085">
        <w:rPr>
          <w:color w:val="000000" w:themeColor="text1"/>
        </w:rPr>
        <w:t>“</w:t>
      </w:r>
      <w:r w:rsidRPr="001A3FB3">
        <w:rPr>
          <w:color w:val="000000" w:themeColor="text1"/>
        </w:rPr>
        <w:t>systemic, general, or not investment-specific in nature.</w:t>
      </w:r>
      <w:r w:rsidR="00B62085">
        <w:rPr>
          <w:color w:val="000000" w:themeColor="text1"/>
        </w:rPr>
        <w:t>”</w:t>
      </w:r>
      <w:r w:rsidRPr="001A3FB3">
        <w:rPr>
          <w:rStyle w:val="FootnoteReference"/>
          <w:color w:val="000000" w:themeColor="text1"/>
        </w:rPr>
        <w:footnoteReference w:id="51"/>
      </w:r>
      <w:r w:rsidRPr="001A3FB3">
        <w:rPr>
          <w:color w:val="000000" w:themeColor="text1"/>
        </w:rPr>
        <w:t xml:space="preserve"> Montana HB 228 uses the parallel </w:t>
      </w:r>
      <w:r w:rsidR="00B62085">
        <w:rPr>
          <w:color w:val="000000" w:themeColor="text1"/>
        </w:rPr>
        <w:t>“</w:t>
      </w:r>
      <w:r w:rsidRPr="001A3FB3">
        <w:rPr>
          <w:color w:val="000000" w:themeColor="text1"/>
        </w:rPr>
        <w:t>distant future</w:t>
      </w:r>
      <w:r w:rsidR="00B62085">
        <w:rPr>
          <w:color w:val="000000" w:themeColor="text1"/>
        </w:rPr>
        <w:t>”</w:t>
      </w:r>
      <w:r w:rsidRPr="001A3FB3">
        <w:rPr>
          <w:color w:val="000000" w:themeColor="text1"/>
        </w:rPr>
        <w:t xml:space="preserve"> formulation.</w:t>
      </w:r>
      <w:r w:rsidRPr="001A3FB3">
        <w:rPr>
          <w:rStyle w:val="FootnoteReference"/>
          <w:color w:val="000000" w:themeColor="text1"/>
        </w:rPr>
        <w:footnoteReference w:id="52"/>
      </w:r>
      <w:r w:rsidRPr="001A3FB3">
        <w:rPr>
          <w:color w:val="000000" w:themeColor="text1"/>
        </w:rPr>
        <w:t xml:space="preserve"> Kansas HB 2100, Wyoming SF 0191, and Arkansas HB 1307 reach the threshold through exclusionary pecuniary-factor definitions: instead of naming climate, they specify the inputs that count as pecuniary and leave climate-coded systemic-risk analysis outside the permitted list.</w:t>
      </w:r>
      <w:r w:rsidRPr="001A3FB3">
        <w:rPr>
          <w:rStyle w:val="FootnoteReference"/>
          <w:color w:val="000000" w:themeColor="text1"/>
        </w:rPr>
        <w:footnoteReference w:id="53"/>
      </w:r>
      <w:r w:rsidRPr="001A3FB3">
        <w:rPr>
          <w:color w:val="000000" w:themeColor="text1"/>
        </w:rPr>
        <w:t xml:space="preserve"> </w:t>
      </w:r>
      <w:r w:rsidRPr="001A3FB3">
        <w:rPr>
          <w:rStyle w:val="FootnoteReference"/>
          <w:color w:val="000000" w:themeColor="text1"/>
        </w:rPr>
        <w:footnoteReference w:id="54"/>
      </w:r>
    </w:p>
    <w:p w14:paraId="7FB32BD7" w14:textId="01374005" w:rsidR="005F5ACD" w:rsidRPr="001A3FB3" w:rsidRDefault="00000000">
      <w:pPr>
        <w:pStyle w:val="BodyText"/>
        <w:rPr>
          <w:color w:val="000000" w:themeColor="text1"/>
        </w:rPr>
      </w:pPr>
      <w:r w:rsidRPr="001A3FB3">
        <w:rPr>
          <w:color w:val="000000" w:themeColor="text1"/>
        </w:rPr>
        <w:t>The operational reach of the Arkansas materiality exclusion is not merely theoretical. In May 2024, the Arkansas ESG Oversight Committee determined by a 3-2 administrative vote that Goldman Sachs</w:t>
      </w:r>
      <w:r w:rsidR="00B62085">
        <w:rPr>
          <w:color w:val="000000" w:themeColor="text1"/>
        </w:rPr>
        <w:t>’</w:t>
      </w:r>
      <w:r w:rsidRPr="001A3FB3">
        <w:rPr>
          <w:color w:val="000000" w:themeColor="text1"/>
        </w:rPr>
        <w:t>s policy declining to finance new coal-fired power generation, new thermal coal mining, and new upstream Arctic oil and gas exploration did not satisfy the statutory ordinary-business-purpose exception under Ark. Code Ann. § 25-1-1006, bringing standard climate-finance screens within the statute</w:t>
      </w:r>
      <w:r w:rsidR="00B62085">
        <w:rPr>
          <w:color w:val="000000" w:themeColor="text1"/>
        </w:rPr>
        <w:t>’</w:t>
      </w:r>
      <w:r w:rsidRPr="001A3FB3">
        <w:rPr>
          <w:color w:val="000000" w:themeColor="text1"/>
        </w:rPr>
        <w:t>s restricted-list scheme.</w:t>
      </w:r>
      <w:r w:rsidRPr="001A3FB3">
        <w:rPr>
          <w:rStyle w:val="FootnoteReference"/>
          <w:color w:val="000000" w:themeColor="text1"/>
        </w:rPr>
        <w:footnoteReference w:id="55"/>
      </w:r>
      <w:r w:rsidRPr="001A3FB3">
        <w:rPr>
          <w:color w:val="000000" w:themeColor="text1"/>
        </w:rPr>
        <w:t xml:space="preserve"> Committee Chairman David Scott explained: </w:t>
      </w:r>
      <w:r w:rsidR="00B62085">
        <w:rPr>
          <w:color w:val="000000" w:themeColor="text1"/>
        </w:rPr>
        <w:t>“</w:t>
      </w:r>
      <w:r w:rsidRPr="001A3FB3">
        <w:rPr>
          <w:color w:val="000000" w:themeColor="text1"/>
        </w:rPr>
        <w:t>I think it is logical to believe that some of these decisions that we are seeing that are couched as policies based on ordinary business practices are actually based on environmental policy decisions.</w:t>
      </w:r>
      <w:r w:rsidR="00B62085">
        <w:rPr>
          <w:color w:val="000000" w:themeColor="text1"/>
        </w:rPr>
        <w:t>”</w:t>
      </w:r>
      <w:r w:rsidRPr="001A3FB3">
        <w:rPr>
          <w:color w:val="000000" w:themeColor="text1"/>
        </w:rPr>
        <w:t xml:space="preserve"> Two members dissented, viewing Goldman</w:t>
      </w:r>
      <w:r w:rsidR="00B62085">
        <w:rPr>
          <w:color w:val="000000" w:themeColor="text1"/>
        </w:rPr>
        <w:t>’</w:t>
      </w:r>
      <w:r w:rsidRPr="001A3FB3">
        <w:rPr>
          <w:color w:val="000000" w:themeColor="text1"/>
        </w:rPr>
        <w:t>s policy as a legitimate risk-based business decision. The determination shows how a statutory materiality exclusion operates in administrative practice: the committee-level question was not trustee motive but whether the bank</w:t>
      </w:r>
      <w:r w:rsidR="00B62085">
        <w:rPr>
          <w:color w:val="000000" w:themeColor="text1"/>
        </w:rPr>
        <w:t>’</w:t>
      </w:r>
      <w:r w:rsidRPr="001A3FB3">
        <w:rPr>
          <w:color w:val="000000" w:themeColor="text1"/>
        </w:rPr>
        <w:t>s firmwide credit policy satisfied the threshold ordinary-business-purpose criterion—structurally the same input-availability question SAF raises for pension fiduciaries.</w:t>
      </w:r>
    </w:p>
    <w:p w14:paraId="17A5C853" w14:textId="1F5DD942" w:rsidR="005F5ACD" w:rsidRPr="001A3FB3" w:rsidRDefault="00000000">
      <w:pPr>
        <w:pStyle w:val="BodyText"/>
        <w:rPr>
          <w:color w:val="000000" w:themeColor="text1"/>
        </w:rPr>
      </w:pPr>
      <w:r w:rsidRPr="001A3FB3">
        <w:rPr>
          <w:color w:val="000000" w:themeColor="text1"/>
        </w:rPr>
        <w:t>The distinction is clearest when two statutes enact the same formal move but with opposite substantive content. Tennessee HB 1286 and Arkansas HB 1253 supply the contrast. Both statutes codify a pecuniary-only baseline for state pension fiduciaries; both adopt the legislative move definitional codification of materiality makes available. They diverge on which substantive inputs the codified baseline includes. Tennessee</w:t>
      </w:r>
      <w:r w:rsidR="00B62085">
        <w:rPr>
          <w:color w:val="000000" w:themeColor="text1"/>
        </w:rPr>
        <w:t>’</w:t>
      </w:r>
      <w:r w:rsidRPr="001A3FB3">
        <w:rPr>
          <w:color w:val="000000" w:themeColor="text1"/>
        </w:rPr>
        <w:t xml:space="preserve">s defined term </w:t>
      </w:r>
      <w:r w:rsidR="00B62085">
        <w:rPr>
          <w:color w:val="000000" w:themeColor="text1"/>
        </w:rPr>
        <w:t>“</w:t>
      </w:r>
      <w:r w:rsidRPr="001A3FB3">
        <w:rPr>
          <w:color w:val="000000" w:themeColor="text1"/>
        </w:rPr>
        <w:t>Financial,</w:t>
      </w:r>
      <w:r w:rsidR="00B62085">
        <w:rPr>
          <w:color w:val="000000" w:themeColor="text1"/>
        </w:rPr>
        <w:t>”</w:t>
      </w:r>
      <w:r w:rsidRPr="001A3FB3">
        <w:rPr>
          <w:color w:val="000000" w:themeColor="text1"/>
        </w:rPr>
        <w:t xml:space="preserve"> at Tennessee Code Annotated § 9-4-1401(2)(B), requires that a consideration </w:t>
      </w:r>
      <w:r w:rsidR="00B62085">
        <w:rPr>
          <w:color w:val="000000" w:themeColor="text1"/>
        </w:rPr>
        <w:t>“</w:t>
      </w:r>
      <w:r w:rsidRPr="001A3FB3">
        <w:rPr>
          <w:color w:val="000000" w:themeColor="text1"/>
        </w:rPr>
        <w:t>have been prudently determined to have a material effect on the financial risk or the financial return</w:t>
      </w:r>
      <w:r w:rsidR="00B62085">
        <w:rPr>
          <w:color w:val="000000" w:themeColor="text1"/>
        </w:rPr>
        <w:t>”</w:t>
      </w:r>
      <w:r w:rsidRPr="001A3FB3">
        <w:rPr>
          <w:color w:val="000000" w:themeColor="text1"/>
        </w:rPr>
        <w:t xml:space="preserve"> of the investment, and the statute then expressly </w:t>
      </w:r>
      <w:r w:rsidRPr="001A3FB3">
        <w:rPr>
          <w:i/>
          <w:iCs/>
          <w:color w:val="000000" w:themeColor="text1"/>
        </w:rPr>
        <w:t>includes</w:t>
      </w:r>
      <w:r w:rsidRPr="001A3FB3">
        <w:rPr>
          <w:color w:val="000000" w:themeColor="text1"/>
        </w:rPr>
        <w:t xml:space="preserve"> within that scope </w:t>
      </w:r>
      <w:r w:rsidR="00B62085">
        <w:rPr>
          <w:color w:val="000000" w:themeColor="text1"/>
        </w:rPr>
        <w:t>“</w:t>
      </w:r>
      <w:r w:rsidRPr="001A3FB3">
        <w:rPr>
          <w:color w:val="000000" w:themeColor="text1"/>
        </w:rPr>
        <w:t>data-based economic decisions and forecasting based on financial trends or themes.</w:t>
      </w:r>
      <w:r w:rsidR="00B62085">
        <w:rPr>
          <w:color w:val="000000" w:themeColor="text1"/>
        </w:rPr>
        <w:t>”</w:t>
      </w:r>
      <w:r w:rsidRPr="001A3FB3">
        <w:rPr>
          <w:rStyle w:val="FootnoteReference"/>
          <w:color w:val="000000" w:themeColor="text1"/>
        </w:rPr>
        <w:footnoteReference w:id="56"/>
      </w:r>
      <w:r w:rsidRPr="001A3FB3">
        <w:rPr>
          <w:color w:val="000000" w:themeColor="text1"/>
        </w:rPr>
        <w:t xml:space="preserve"> A Tennessee trustee analyzing long-horizon climate-transition risk under HB 1286 because she has prudently determined that the risk affects expected returns remains within the statute</w:t>
      </w:r>
      <w:r w:rsidR="00B62085">
        <w:rPr>
          <w:color w:val="000000" w:themeColor="text1"/>
        </w:rPr>
        <w:t>’</w:t>
      </w:r>
      <w:r w:rsidRPr="001A3FB3">
        <w:rPr>
          <w:color w:val="000000" w:themeColor="text1"/>
        </w:rPr>
        <w:t>s pecuniary-only authority: the consideration is data-based economic forecasting based on financial themes, statutorily included. Arkansas reaches the opposite substantive choice through the same definitional move. Long-horizon, systemic, not-firm-specific</w:t>
      </w:r>
      <w:r w:rsidR="00B62085">
        <w:rPr>
          <w:color w:val="000000" w:themeColor="text1"/>
        </w:rPr>
        <w:t>—</w:t>
      </w:r>
      <w:r w:rsidRPr="001A3FB3">
        <w:rPr>
          <w:color w:val="000000" w:themeColor="text1"/>
        </w:rPr>
        <w:t>those are precisely the features of climate-transition risk that prudential-supervision sources treat as worth modeling at long-horizon pension scale.</w:t>
      </w:r>
      <w:r w:rsidRPr="001A3FB3">
        <w:rPr>
          <w:rStyle w:val="FootnoteReference"/>
          <w:color w:val="000000" w:themeColor="text1"/>
        </w:rPr>
        <w:footnoteReference w:id="57"/>
      </w:r>
      <w:r w:rsidRPr="001A3FB3">
        <w:rPr>
          <w:color w:val="000000" w:themeColor="text1"/>
        </w:rPr>
        <w:t xml:space="preserve"> The Arkansas trustee considering the same risk for the same return-maximizing reason as the Tennessee trustee cannot establish that the risk is </w:t>
      </w:r>
      <w:r w:rsidR="00B62085">
        <w:rPr>
          <w:color w:val="000000" w:themeColor="text1"/>
        </w:rPr>
        <w:t>“</w:t>
      </w:r>
      <w:r w:rsidRPr="001A3FB3">
        <w:rPr>
          <w:color w:val="000000" w:themeColor="text1"/>
        </w:rPr>
        <w:t>material</w:t>
      </w:r>
      <w:r w:rsidR="00B62085">
        <w:rPr>
          <w:color w:val="000000" w:themeColor="text1"/>
        </w:rPr>
        <w:t>”</w:t>
      </w:r>
      <w:r w:rsidRPr="001A3FB3">
        <w:rPr>
          <w:color w:val="000000" w:themeColor="text1"/>
        </w:rPr>
        <w:t xml:space="preserve"> within the chapter</w:t>
      </w:r>
      <w:r w:rsidR="00B62085">
        <w:rPr>
          <w:color w:val="000000" w:themeColor="text1"/>
        </w:rPr>
        <w:t>’</w:t>
      </w:r>
      <w:r w:rsidRPr="001A3FB3">
        <w:rPr>
          <w:color w:val="000000" w:themeColor="text1"/>
        </w:rPr>
        <w:t>s defined sense.</w:t>
      </w:r>
    </w:p>
    <w:p w14:paraId="4E02DD50" w14:textId="04DB11DF" w:rsidR="005F5ACD" w:rsidRPr="001A3FB3" w:rsidRDefault="00000000">
      <w:pPr>
        <w:pStyle w:val="BodyText"/>
        <w:rPr>
          <w:color w:val="000000" w:themeColor="text1"/>
        </w:rPr>
      </w:pPr>
      <w:r w:rsidRPr="001A3FB3">
        <w:rPr>
          <w:color w:val="000000" w:themeColor="text1"/>
        </w:rPr>
        <w:t>The contrast makes the mechanism concrete. With motive and analytical input held constant, the legal command differs because one statute writes the materiality concept inclusively and the other writes it exclusively. The orthodox fiduciary toolkit, built to police trustee motive against a settled background of permitted inputs, is not designed to address a state legislature that legislates the background by fiat. That mismatch</w:t>
      </w:r>
      <w:r w:rsidR="00B62085">
        <w:rPr>
          <w:color w:val="000000" w:themeColor="text1"/>
        </w:rPr>
        <w:t>—</w:t>
      </w:r>
      <w:r w:rsidRPr="001A3FB3">
        <w:rPr>
          <w:color w:val="000000" w:themeColor="text1"/>
        </w:rPr>
        <w:t>input-content regulation in a doctrinal frame built for motive review</w:t>
      </w:r>
      <w:r w:rsidR="00B62085">
        <w:rPr>
          <w:color w:val="000000" w:themeColor="text1"/>
        </w:rPr>
        <w:t>—</w:t>
      </w:r>
      <w:r w:rsidRPr="001A3FB3">
        <w:rPr>
          <w:color w:val="000000" w:themeColor="text1"/>
        </w:rPr>
        <w:t>is what places substance-axis foreclosure in a category apart from ordinary fiduciary codification.</w:t>
      </w:r>
    </w:p>
    <w:p w14:paraId="5EF112A3" w14:textId="77777777" w:rsidR="005F5ACD" w:rsidRPr="001A3FB3" w:rsidRDefault="00000000" w:rsidP="001A3FB3">
      <w:pPr>
        <w:pStyle w:val="Heading2"/>
      </w:pPr>
      <w:bookmarkStart w:id="25" w:name="ii.c-evidentiary-conversion"/>
      <w:bookmarkStart w:id="26" w:name="_Toc229502263"/>
      <w:bookmarkEnd w:id="23"/>
      <w:r w:rsidRPr="001A3FB3">
        <w:t>§II.C Evidentiary Conversion</w:t>
      </w:r>
      <w:bookmarkEnd w:id="26"/>
    </w:p>
    <w:p w14:paraId="6164E97B" w14:textId="361E36F1" w:rsidR="005F5ACD" w:rsidRPr="001A3FB3" w:rsidRDefault="00000000">
      <w:pPr>
        <w:pStyle w:val="FirstParagraph"/>
        <w:rPr>
          <w:color w:val="000000" w:themeColor="text1"/>
        </w:rPr>
      </w:pPr>
      <w:r w:rsidRPr="001A3FB3">
        <w:rPr>
          <w:i/>
          <w:iCs/>
          <w:color w:val="000000" w:themeColor="text1"/>
        </w:rPr>
        <w:t>Evidentiary Conversion</w:t>
      </w:r>
      <w:r w:rsidRPr="001A3FB3">
        <w:rPr>
          <w:color w:val="000000" w:themeColor="text1"/>
        </w:rPr>
        <w:t xml:space="preserve"> is the second major statutory device in the corpus, doctrinally distinct from Substance-Axis Foreclosure. Where SAF operates upstream of motive by withdrawing inputs from the analytical universe, Evidentiary Conversion operates </w:t>
      </w:r>
      <w:r w:rsidRPr="001A3FB3">
        <w:rPr>
          <w:i/>
          <w:iCs/>
          <w:color w:val="000000" w:themeColor="text1"/>
        </w:rPr>
        <w:t>on motive itself</w:t>
      </w:r>
      <w:r w:rsidRPr="001A3FB3">
        <w:rPr>
          <w:color w:val="000000" w:themeColor="text1"/>
        </w:rPr>
        <w:t xml:space="preserve"> by recoding the public artifacts of ordinary professional analysis</w:t>
      </w:r>
      <w:r w:rsidR="00B62085">
        <w:rPr>
          <w:color w:val="000000" w:themeColor="text1"/>
        </w:rPr>
        <w:t>—</w:t>
      </w:r>
      <w:r w:rsidRPr="001A3FB3">
        <w:rPr>
          <w:color w:val="000000" w:themeColor="text1"/>
        </w:rPr>
        <w:t>coalition memberships, public stewardship statements, and proxy-vote rationales</w:t>
      </w:r>
      <w:r w:rsidR="00B62085">
        <w:rPr>
          <w:color w:val="000000" w:themeColor="text1"/>
        </w:rPr>
        <w:t>—</w:t>
      </w:r>
      <w:r w:rsidRPr="001A3FB3">
        <w:rPr>
          <w:color w:val="000000" w:themeColor="text1"/>
        </w:rPr>
        <w:t>into statutory evidence of forbidden purpose. The statute does not prohibit fiduciary consideration of climate risk directly; it makes the documentary residue of such consideration into statutory evidence that the trustee acted for a prohibited reason. Evidentiary Conversion is not channel-specific: the same evidence-enumeration pattern can attach to a pension-fiduciary statute, a procurement designation methodology, or a banking anti-discrimination prohibition.</w:t>
      </w:r>
    </w:p>
    <w:p w14:paraId="775DED98" w14:textId="566B5C75" w:rsidR="005F5ACD" w:rsidRPr="001A3FB3" w:rsidRDefault="00000000">
      <w:pPr>
        <w:pStyle w:val="BodyText"/>
        <w:rPr>
          <w:color w:val="000000" w:themeColor="text1"/>
        </w:rPr>
      </w:pPr>
      <w:r w:rsidRPr="001A3FB3">
        <w:rPr>
          <w:color w:val="000000" w:themeColor="text1"/>
        </w:rPr>
        <w:t>Kentucky HB 236 supplies the cleanest example. The statute</w:t>
      </w:r>
      <w:r w:rsidR="00B62085">
        <w:rPr>
          <w:color w:val="000000" w:themeColor="text1"/>
        </w:rPr>
        <w:t>’</w:t>
      </w:r>
      <w:r w:rsidRPr="001A3FB3">
        <w:rPr>
          <w:color w:val="000000" w:themeColor="text1"/>
        </w:rPr>
        <w:t xml:space="preserve">s evidence-enumeration clause, at Kentucky Revised Statutes Annotated § 21.450(2)(c)1–5, provides that evidence a fiduciary has </w:t>
      </w:r>
      <w:r w:rsidR="00B62085">
        <w:rPr>
          <w:color w:val="000000" w:themeColor="text1"/>
        </w:rPr>
        <w:t>“</w:t>
      </w:r>
      <w:r w:rsidRPr="001A3FB3">
        <w:rPr>
          <w:color w:val="000000" w:themeColor="text1"/>
        </w:rPr>
        <w:t>considered or acted on a nonpecuniary interest</w:t>
      </w:r>
      <w:r w:rsidR="00B62085">
        <w:rPr>
          <w:color w:val="000000" w:themeColor="text1"/>
        </w:rPr>
        <w:t>”</w:t>
      </w:r>
      <w:r w:rsidRPr="001A3FB3">
        <w:rPr>
          <w:color w:val="000000" w:themeColor="text1"/>
        </w:rPr>
        <w:t xml:space="preserve"> includes</w:t>
      </w:r>
      <w:r w:rsidR="00B62085">
        <w:rPr>
          <w:color w:val="000000" w:themeColor="text1"/>
        </w:rPr>
        <w:t>—</w:t>
      </w:r>
      <w:r w:rsidRPr="001A3FB3">
        <w:rPr>
          <w:color w:val="000000" w:themeColor="text1"/>
        </w:rPr>
        <w:t>without limitation</w:t>
      </w:r>
      <w:r w:rsidR="00B62085">
        <w:rPr>
          <w:color w:val="000000" w:themeColor="text1"/>
        </w:rPr>
        <w:t>—</w:t>
      </w:r>
      <w:r w:rsidRPr="001A3FB3">
        <w:rPr>
          <w:color w:val="000000" w:themeColor="text1"/>
        </w:rPr>
        <w:t xml:space="preserve">statements, explanations, reports, or correspondence; communications with portfolio companies; statements of principles or policies, individually or jointly made; votes of shares or proxies; and </w:t>
      </w:r>
      <w:r w:rsidR="00B62085">
        <w:rPr>
          <w:color w:val="000000" w:themeColor="text1"/>
        </w:rPr>
        <w:t>“</w:t>
      </w:r>
      <w:r w:rsidRPr="001A3FB3">
        <w:rPr>
          <w:color w:val="000000" w:themeColor="text1"/>
        </w:rPr>
        <w:t>coalitions, initiatives, agreements, or commitments to which the fiduciary is a participant, affiliate, or signatory.</w:t>
      </w:r>
      <w:r w:rsidR="00B62085">
        <w:rPr>
          <w:color w:val="000000" w:themeColor="text1"/>
        </w:rPr>
        <w:t>”</w:t>
      </w:r>
      <w:r w:rsidRPr="001A3FB3">
        <w:rPr>
          <w:rStyle w:val="FootnoteReference"/>
          <w:color w:val="000000" w:themeColor="text1"/>
        </w:rPr>
        <w:footnoteReference w:id="58"/>
      </w:r>
      <w:r w:rsidRPr="001A3FB3">
        <w:rPr>
          <w:color w:val="000000" w:themeColor="text1"/>
        </w:rPr>
        <w:t xml:space="preserve"> The textual move is the conversion of public-domain artifacts of ordinary institutional-investor practice into enumerated statutory evidence of fiduciary-purpose breach. Net Zero Asset Managers Initiative membership, Climate Action 100+ participation, Glasgow Financial Alliance for Net Zero signatory status, public stewardship reports, and even routine inter-fiduciary communications are recharacterized as inculpatory documents. The trustee</w:t>
      </w:r>
      <w:r w:rsidR="00B62085">
        <w:rPr>
          <w:color w:val="000000" w:themeColor="text1"/>
        </w:rPr>
        <w:t>’</w:t>
      </w:r>
      <w:r w:rsidRPr="001A3FB3">
        <w:rPr>
          <w:color w:val="000000" w:themeColor="text1"/>
        </w:rPr>
        <w:t>s ordinary documentary record becomes, by statutory operation, the trail of breach evidence.</w:t>
      </w:r>
    </w:p>
    <w:p w14:paraId="6970DF38" w14:textId="6289A497" w:rsidR="005F5ACD" w:rsidRPr="001A3FB3" w:rsidRDefault="00000000">
      <w:pPr>
        <w:pStyle w:val="BodyText"/>
        <w:rPr>
          <w:color w:val="000000" w:themeColor="text1"/>
        </w:rPr>
      </w:pPr>
      <w:r w:rsidRPr="001A3FB3">
        <w:rPr>
          <w:color w:val="000000" w:themeColor="text1"/>
        </w:rPr>
        <w:t>Indiana HB 1008 is the closest second example: it pairs a purpose test with an enumerated-evidence list that includes coalition membership and public commitments.</w:t>
      </w:r>
      <w:r w:rsidRPr="001A3FB3">
        <w:rPr>
          <w:rStyle w:val="FootnoteReference"/>
          <w:color w:val="000000" w:themeColor="text1"/>
        </w:rPr>
        <w:footnoteReference w:id="59"/>
      </w:r>
      <w:r w:rsidRPr="001A3FB3">
        <w:rPr>
          <w:color w:val="000000" w:themeColor="text1"/>
        </w:rPr>
        <w:t xml:space="preserve"> Kentucky SB 183 imposes parallel mandatory-quantifiable-economic-analysis duties when covered proxy-adviser votes or recommendations diverge from issuer-board recommendations or from a pecuniary-only baseline; the asymmetry of the burden is itself the mechanism, since divergence requires written justification while alignment does not.</w:t>
      </w:r>
      <w:r w:rsidRPr="001A3FB3">
        <w:rPr>
          <w:rStyle w:val="FootnoteReference"/>
          <w:color w:val="000000" w:themeColor="text1"/>
        </w:rPr>
        <w:footnoteReference w:id="60"/>
      </w:r>
      <w:r w:rsidRPr="001A3FB3">
        <w:rPr>
          <w:color w:val="000000" w:themeColor="text1"/>
        </w:rPr>
        <w:t xml:space="preserve"> South Carolina H 3690 adds a per-investment CEO-certification regime with a manager-cascade through which non-certifying advisers face public listing.</w:t>
      </w:r>
      <w:r w:rsidRPr="001A3FB3">
        <w:rPr>
          <w:rStyle w:val="FootnoteReference"/>
          <w:color w:val="000000" w:themeColor="text1"/>
        </w:rPr>
        <w:footnoteReference w:id="61"/>
      </w:r>
      <w:r w:rsidRPr="001A3FB3">
        <w:rPr>
          <w:color w:val="000000" w:themeColor="text1"/>
        </w:rPr>
        <w:t xml:space="preserve"> West Virginia HB 2862 adds an advance-notice and opportunity-to-instruct requirement before certain shareholder votes concerning nonpecuniary interests.</w:t>
      </w:r>
      <w:r w:rsidRPr="001A3FB3">
        <w:rPr>
          <w:rStyle w:val="FootnoteReference"/>
          <w:color w:val="000000" w:themeColor="text1"/>
        </w:rPr>
        <w:footnoteReference w:id="62"/>
      </w:r>
      <w:r w:rsidRPr="001A3FB3">
        <w:rPr>
          <w:color w:val="000000" w:themeColor="text1"/>
        </w:rPr>
        <w:t xml:space="preserve"> These statutes are adjacent documentation, certification, and notice burdens, intensifying evidentiary pressure but not all containing Kentucky HB 236</w:t>
      </w:r>
      <w:r w:rsidR="00B62085">
        <w:rPr>
          <w:color w:val="000000" w:themeColor="text1"/>
        </w:rPr>
        <w:t>’</w:t>
      </w:r>
      <w:r w:rsidRPr="001A3FB3">
        <w:rPr>
          <w:color w:val="000000" w:themeColor="text1"/>
        </w:rPr>
        <w:t>s artifact-to-evidence enumeration.</w:t>
      </w:r>
    </w:p>
    <w:p w14:paraId="2A30630D" w14:textId="12C20C80" w:rsidR="005F5ACD" w:rsidRPr="001A3FB3" w:rsidRDefault="00000000">
      <w:pPr>
        <w:pStyle w:val="BodyText"/>
        <w:rPr>
          <w:color w:val="000000" w:themeColor="text1"/>
        </w:rPr>
      </w:pPr>
      <w:r w:rsidRPr="001A3FB3">
        <w:rPr>
          <w:color w:val="000000" w:themeColor="text1"/>
        </w:rPr>
        <w:t>The literature on expressive law and on documentation regimes anticipates the strategic effect. Cass Sunstein</w:t>
      </w:r>
      <w:r w:rsidR="00B62085">
        <w:rPr>
          <w:color w:val="000000" w:themeColor="text1"/>
        </w:rPr>
        <w:t>’</w:t>
      </w:r>
      <w:r w:rsidRPr="001A3FB3">
        <w:rPr>
          <w:color w:val="000000" w:themeColor="text1"/>
        </w:rPr>
        <w:t>s expressive-law analysis describes how the labeling function of legal commands shapes private behavior even where direct enforcement is rare;</w:t>
      </w:r>
      <w:r w:rsidRPr="001A3FB3">
        <w:rPr>
          <w:rStyle w:val="FootnoteReference"/>
          <w:color w:val="000000" w:themeColor="text1"/>
        </w:rPr>
        <w:footnoteReference w:id="63"/>
      </w:r>
      <w:r w:rsidRPr="001A3FB3">
        <w:rPr>
          <w:color w:val="000000" w:themeColor="text1"/>
        </w:rPr>
        <w:t xml:space="preserve"> Bernard Black</w:t>
      </w:r>
      <w:r w:rsidR="00B62085">
        <w:rPr>
          <w:color w:val="000000" w:themeColor="text1"/>
        </w:rPr>
        <w:t>’</w:t>
      </w:r>
      <w:r w:rsidRPr="001A3FB3">
        <w:rPr>
          <w:color w:val="000000" w:themeColor="text1"/>
        </w:rPr>
        <w:t>s institutional-investor work shows that documentation regimes premised on inferences from procedural records change firm behavior asymmetrically, since documented retreat is cheaper than documented persistence.</w:t>
      </w:r>
      <w:r w:rsidRPr="001A3FB3">
        <w:rPr>
          <w:rStyle w:val="FootnoteReference"/>
          <w:color w:val="000000" w:themeColor="text1"/>
        </w:rPr>
        <w:footnoteReference w:id="64"/>
      </w:r>
      <w:r w:rsidRPr="001A3FB3">
        <w:rPr>
          <w:color w:val="000000" w:themeColor="text1"/>
        </w:rPr>
        <w:t xml:space="preserve"> Evidentiary Conversion fits that pattern. A coalition membership terminated in 2023 is a contemporaneous datum the statute can point to; a coalition membership maintained through 2026 generates a continuing trail of inculpatory documents under the statute</w:t>
      </w:r>
      <w:r w:rsidR="00B62085">
        <w:rPr>
          <w:color w:val="000000" w:themeColor="text1"/>
        </w:rPr>
        <w:t>’</w:t>
      </w:r>
      <w:r w:rsidRPr="001A3FB3">
        <w:rPr>
          <w:color w:val="000000" w:themeColor="text1"/>
        </w:rPr>
        <w:t>s enumeration.</w:t>
      </w:r>
    </w:p>
    <w:p w14:paraId="1D54BF4B" w14:textId="265E03B6" w:rsidR="005F5ACD" w:rsidRPr="001A3FB3" w:rsidRDefault="00000000">
      <w:pPr>
        <w:pStyle w:val="BodyText"/>
        <w:rPr>
          <w:color w:val="000000" w:themeColor="text1"/>
        </w:rPr>
      </w:pPr>
      <w:r w:rsidRPr="001A3FB3">
        <w:rPr>
          <w:color w:val="000000" w:themeColor="text1"/>
        </w:rPr>
        <w:t xml:space="preserve">Because Evidentiary Conversion operates similarly across pension, procurement, and banking channels, ordinary preemption analysis cannot confine it to </w:t>
      </w:r>
      <w:proofErr w:type="gramStart"/>
      <w:r w:rsidRPr="001A3FB3">
        <w:rPr>
          <w:color w:val="000000" w:themeColor="text1"/>
        </w:rPr>
        <w:t>any one</w:t>
      </w:r>
      <w:proofErr w:type="gramEnd"/>
      <w:r w:rsidRPr="001A3FB3">
        <w:rPr>
          <w:color w:val="000000" w:themeColor="text1"/>
        </w:rPr>
        <w:t>: a court reviewing a pension-fiduciary statute that uses evidence-enumeration structure must still address the statute</w:t>
      </w:r>
      <w:r w:rsidR="00B62085">
        <w:rPr>
          <w:color w:val="000000" w:themeColor="text1"/>
        </w:rPr>
        <w:t>’</w:t>
      </w:r>
      <w:r w:rsidRPr="001A3FB3">
        <w:rPr>
          <w:color w:val="000000" w:themeColor="text1"/>
        </w:rPr>
        <w:t>s effect on protected-association and motive-inquiry doctrine, even if the underlying fiduciary command would survive standalone review.</w:t>
      </w:r>
    </w:p>
    <w:p w14:paraId="573B645B" w14:textId="77777777" w:rsidR="005F5ACD" w:rsidRPr="001A3FB3" w:rsidRDefault="00000000" w:rsidP="001A3FB3">
      <w:pPr>
        <w:pStyle w:val="Heading2"/>
      </w:pPr>
      <w:bookmarkStart w:id="27" w:name="ii.d-state-money-leverage"/>
      <w:bookmarkStart w:id="28" w:name="_Toc229502264"/>
      <w:bookmarkEnd w:id="25"/>
      <w:r w:rsidRPr="001A3FB3">
        <w:t>§II.D State-Money Leverage</w:t>
      </w:r>
      <w:bookmarkEnd w:id="28"/>
    </w:p>
    <w:p w14:paraId="1C85D52C" w14:textId="322CA943" w:rsidR="005F5ACD" w:rsidRPr="001A3FB3" w:rsidRDefault="00000000">
      <w:pPr>
        <w:pStyle w:val="FirstParagraph"/>
        <w:rPr>
          <w:color w:val="000000" w:themeColor="text1"/>
        </w:rPr>
      </w:pPr>
      <w:r w:rsidRPr="001A3FB3">
        <w:rPr>
          <w:color w:val="000000" w:themeColor="text1"/>
        </w:rPr>
        <w:t>State-money leverage extends the Sudan and Iran divestment statutes of the early 2000s (the oldest tool family in this corpus), adapting their blacklist-and-certification design to cover firms whose climate-related conduct or coalition memberships run afoul of the State</w:t>
      </w:r>
      <w:r w:rsidR="00B62085">
        <w:rPr>
          <w:color w:val="000000" w:themeColor="text1"/>
        </w:rPr>
        <w:t>’</w:t>
      </w:r>
      <w:r w:rsidRPr="001A3FB3">
        <w:rPr>
          <w:color w:val="000000" w:themeColor="text1"/>
        </w:rPr>
        <w:t>s posture. The legal devices the early Anti-ESG wave deployed (blacklists, restricted lists, certification requirements, attestations) are recognizable adaptations of that earlier model; what distinguishes the present wave is not the device but the substantive coverage.</w:t>
      </w:r>
    </w:p>
    <w:p w14:paraId="554FB1DB" w14:textId="71926CFB" w:rsidR="005F5ACD" w:rsidRPr="001A3FB3" w:rsidRDefault="00000000">
      <w:pPr>
        <w:pStyle w:val="BodyText"/>
        <w:rPr>
          <w:color w:val="000000" w:themeColor="text1"/>
        </w:rPr>
      </w:pPr>
      <w:r w:rsidRPr="001A3FB3">
        <w:rPr>
          <w:color w:val="000000" w:themeColor="text1"/>
        </w:rPr>
        <w:t xml:space="preserve">Texas SB 13 is the principal. Codified principally at Texas Government Code chapter 809, with contracting consequences also tracked through chapter 2276, the statute directs the Texas Comptroller to designate financial companies that </w:t>
      </w:r>
      <w:r w:rsidR="00B62085">
        <w:rPr>
          <w:color w:val="000000" w:themeColor="text1"/>
        </w:rPr>
        <w:t>“</w:t>
      </w:r>
      <w:r w:rsidRPr="001A3FB3">
        <w:rPr>
          <w:color w:val="000000" w:themeColor="text1"/>
        </w:rPr>
        <w:t>boycott energy companies,</w:t>
      </w:r>
      <w:r w:rsidR="00B62085">
        <w:rPr>
          <w:color w:val="000000" w:themeColor="text1"/>
        </w:rPr>
        <w:t>”</w:t>
      </w:r>
      <w:r w:rsidRPr="001A3FB3">
        <w:rPr>
          <w:color w:val="000000" w:themeColor="text1"/>
        </w:rPr>
        <w:t xml:space="preserve"> to publish a list of designated companies, and to require state-government entities (including pension funds, depository relationships, and contracting agencies) to divest from or refuse to contract with listed firms.</w:t>
      </w:r>
      <w:r w:rsidRPr="001A3FB3">
        <w:rPr>
          <w:rStyle w:val="FootnoteReference"/>
          <w:color w:val="000000" w:themeColor="text1"/>
        </w:rPr>
        <w:footnoteReference w:id="65"/>
      </w:r>
      <w:r w:rsidRPr="001A3FB3">
        <w:rPr>
          <w:color w:val="000000" w:themeColor="text1"/>
        </w:rPr>
        <w:t xml:space="preserve"> The statutory term </w:t>
      </w:r>
      <w:r w:rsidR="00B62085">
        <w:rPr>
          <w:color w:val="000000" w:themeColor="text1"/>
        </w:rPr>
        <w:t>“</w:t>
      </w:r>
      <w:r w:rsidRPr="001A3FB3">
        <w:rPr>
          <w:color w:val="000000" w:themeColor="text1"/>
        </w:rPr>
        <w:t>boycott</w:t>
      </w:r>
      <w:r w:rsidR="00B62085">
        <w:rPr>
          <w:color w:val="000000" w:themeColor="text1"/>
        </w:rPr>
        <w:t>”</w:t>
      </w:r>
      <w:r w:rsidRPr="001A3FB3">
        <w:rPr>
          <w:color w:val="000000" w:themeColor="text1"/>
        </w:rPr>
        <w:t xml:space="preserve"> is defined to include refusing to deal, terminating business activities, or taking action intended to </w:t>
      </w:r>
      <w:r w:rsidR="00B62085">
        <w:rPr>
          <w:color w:val="000000" w:themeColor="text1"/>
        </w:rPr>
        <w:t>“</w:t>
      </w:r>
      <w:r w:rsidRPr="001A3FB3">
        <w:rPr>
          <w:color w:val="000000" w:themeColor="text1"/>
        </w:rPr>
        <w:t>penalize, inflict economic harm on, or limit commercial relations with</w:t>
      </w:r>
      <w:r w:rsidR="00B62085">
        <w:rPr>
          <w:color w:val="000000" w:themeColor="text1"/>
        </w:rPr>
        <w:t>”</w:t>
      </w:r>
      <w:r w:rsidRPr="001A3FB3">
        <w:rPr>
          <w:color w:val="000000" w:themeColor="text1"/>
        </w:rPr>
        <w:t xml:space="preserve"> energy companies for reasons other than ordinary business purposes.</w:t>
      </w:r>
      <w:r w:rsidRPr="001A3FB3">
        <w:rPr>
          <w:rStyle w:val="FootnoteReference"/>
          <w:color w:val="000000" w:themeColor="text1"/>
        </w:rPr>
        <w:footnoteReference w:id="66"/>
      </w:r>
      <w:r w:rsidRPr="001A3FB3">
        <w:rPr>
          <w:color w:val="000000" w:themeColor="text1"/>
        </w:rPr>
        <w:t xml:space="preserve"> Texas Government Code § 809.001(1) supplies the ordinary-business-purpose qualifier; § 809.005 supplies a separate fiduciary-inconsistency override. The analytic significance of both clauses is developed in §II.F. Designation is upstream of the contracting consequence: firms appear on the Comptroller</w:t>
      </w:r>
      <w:r w:rsidR="00B62085">
        <w:rPr>
          <w:color w:val="000000" w:themeColor="text1"/>
        </w:rPr>
        <w:t>’</w:t>
      </w:r>
      <w:r w:rsidRPr="001A3FB3">
        <w:rPr>
          <w:color w:val="000000" w:themeColor="text1"/>
        </w:rPr>
        <w:t>s list before any individual contracting decision, and the list-maintenance methodology is itself the principal point of regulatory exposure.</w:t>
      </w:r>
      <w:r w:rsidRPr="001A3FB3">
        <w:rPr>
          <w:rStyle w:val="FootnoteReference"/>
          <w:color w:val="000000" w:themeColor="text1"/>
        </w:rPr>
        <w:footnoteReference w:id="67"/>
      </w:r>
    </w:p>
    <w:p w14:paraId="6D66F33A" w14:textId="6F2087B1" w:rsidR="005F5ACD" w:rsidRPr="001A3FB3" w:rsidRDefault="00000000">
      <w:pPr>
        <w:pStyle w:val="BodyText"/>
        <w:rPr>
          <w:color w:val="000000" w:themeColor="text1"/>
        </w:rPr>
      </w:pPr>
      <w:r w:rsidRPr="001A3FB3">
        <w:rPr>
          <w:color w:val="000000" w:themeColor="text1"/>
        </w:rPr>
        <w:t>Oklahoma</w:t>
      </w:r>
      <w:r w:rsidR="00B62085">
        <w:rPr>
          <w:color w:val="000000" w:themeColor="text1"/>
        </w:rPr>
        <w:t>’</w:t>
      </w:r>
      <w:r w:rsidRPr="001A3FB3">
        <w:rPr>
          <w:color w:val="000000" w:themeColor="text1"/>
        </w:rPr>
        <w:t>s Energy Discrimination Elimination Act follows the same template. Codified at Oklahoma Statutes title 74, sections 12001–12006, the EDEA authorizes the State Treasurer to maintain a designated-financial-companies list, mandates divestment by state pension and investment systems, and imposes contracting restrictions on listed firms.</w:t>
      </w:r>
      <w:r w:rsidRPr="001A3FB3">
        <w:rPr>
          <w:rStyle w:val="FootnoteReference"/>
          <w:color w:val="000000" w:themeColor="text1"/>
        </w:rPr>
        <w:footnoteReference w:id="68"/>
      </w:r>
      <w:r w:rsidRPr="001A3FB3">
        <w:rPr>
          <w:color w:val="000000" w:themeColor="text1"/>
        </w:rPr>
        <w:t xml:space="preserve"> The ordinary-business-purpose definition at § 12002(A)(1) and the fiduciary-responsibility exception at § 12002(D)(3) operate as record-based fiduciary carveouts in the savings-clause typology §II.F develops; the latter supplied the operative ground on which Oklahoma trustees declined to divest in the litigation that produced </w:t>
      </w:r>
      <w:r w:rsidRPr="001A3FB3">
        <w:rPr>
          <w:i/>
          <w:iCs/>
          <w:color w:val="000000" w:themeColor="text1"/>
        </w:rPr>
        <w:t>Keenan v. Russ</w:t>
      </w:r>
      <w:r w:rsidRPr="001A3FB3">
        <w:rPr>
          <w:color w:val="000000" w:themeColor="text1"/>
        </w:rPr>
        <w:t>.</w:t>
      </w:r>
      <w:r w:rsidRPr="001A3FB3">
        <w:rPr>
          <w:rStyle w:val="FootnoteReference"/>
          <w:color w:val="000000" w:themeColor="text1"/>
        </w:rPr>
        <w:footnoteReference w:id="69"/>
      </w:r>
      <w:r w:rsidRPr="001A3FB3">
        <w:rPr>
          <w:color w:val="000000" w:themeColor="text1"/>
        </w:rPr>
        <w:t xml:space="preserve"> Kentucky SB 205 and West Virginia SB 262 follow related procurement-and-public-fund templates with comparable savings structure; West Virginia SB 262 is narrower banking-contract statute and exempts the Investment Management Board.</w:t>
      </w:r>
      <w:r w:rsidRPr="001A3FB3">
        <w:rPr>
          <w:rStyle w:val="FootnoteReference"/>
          <w:color w:val="000000" w:themeColor="text1"/>
        </w:rPr>
        <w:footnoteReference w:id="70"/>
      </w:r>
    </w:p>
    <w:p w14:paraId="218DDBA7" w14:textId="5653ADC0" w:rsidR="005F5ACD" w:rsidRPr="001A3FB3" w:rsidRDefault="00000000">
      <w:pPr>
        <w:pStyle w:val="BodyText"/>
        <w:rPr>
          <w:color w:val="000000" w:themeColor="text1"/>
        </w:rPr>
      </w:pPr>
      <w:r w:rsidRPr="001A3FB3">
        <w:rPr>
          <w:color w:val="000000" w:themeColor="text1"/>
        </w:rPr>
        <w:t>Two doctrinal observations bear on state-money leverage at this stage. First, the dormant Commerce Clause</w:t>
      </w:r>
      <w:r w:rsidR="00B62085">
        <w:rPr>
          <w:color w:val="000000" w:themeColor="text1"/>
        </w:rPr>
        <w:t>’</w:t>
      </w:r>
      <w:r w:rsidRPr="001A3FB3">
        <w:rPr>
          <w:color w:val="000000" w:themeColor="text1"/>
        </w:rPr>
        <w:t>s market-participant exception ordinarily lets a State condition its own purchases on whatever criteria it chooses, but the exception does not extend to downstream restrictions that reach beyond the State</w:t>
      </w:r>
      <w:r w:rsidR="00B62085">
        <w:rPr>
          <w:color w:val="000000" w:themeColor="text1"/>
        </w:rPr>
        <w:t>’</w:t>
      </w:r>
      <w:r w:rsidRPr="001A3FB3">
        <w:rPr>
          <w:color w:val="000000" w:themeColor="text1"/>
        </w:rPr>
        <w:t>s own market role.</w:t>
      </w:r>
      <w:r w:rsidRPr="001A3FB3">
        <w:rPr>
          <w:rStyle w:val="FootnoteReference"/>
          <w:color w:val="000000" w:themeColor="text1"/>
        </w:rPr>
        <w:footnoteReference w:id="71"/>
      </w:r>
      <w:r w:rsidRPr="001A3FB3">
        <w:rPr>
          <w:color w:val="000000" w:themeColor="text1"/>
        </w:rPr>
        <w:t xml:space="preserve"> The Texas and Oklahoma schemes, with their list-maintenance methodologies and contracting consequences that reach firmwide conduct, sit closer to the limit than the Kentucky and West Virginia variants whose footprint is more closely confined to the State</w:t>
      </w:r>
      <w:r w:rsidR="00B62085">
        <w:rPr>
          <w:color w:val="000000" w:themeColor="text1"/>
        </w:rPr>
        <w:t>’</w:t>
      </w:r>
      <w:r w:rsidRPr="001A3FB3">
        <w:rPr>
          <w:color w:val="000000" w:themeColor="text1"/>
        </w:rPr>
        <w:t>s own depository, contracting, and pension relationships. Second, designation methodology operates as the practical regulator of firm conduct: a firm that appears on the Comptroller</w:t>
      </w:r>
      <w:r w:rsidR="00B62085">
        <w:rPr>
          <w:color w:val="000000" w:themeColor="text1"/>
        </w:rPr>
        <w:t>’</w:t>
      </w:r>
      <w:r w:rsidRPr="001A3FB3">
        <w:rPr>
          <w:color w:val="000000" w:themeColor="text1"/>
        </w:rPr>
        <w:t>s list because of its coalition memberships or its ratings posture cannot cure the consequence by altering its conduct in any single contracting transaction. The cure runs through the public artifacts the methodology examines, which is the point at which state-money leverage interlocks with the evidentiary-conversion mechanism §II.C describes. The June 3, 2025 removal of BlackRock from the Texas energy-boycott list shows the mechanism: the Comptroller cited BlackRock</w:t>
      </w:r>
      <w:r w:rsidR="00B62085">
        <w:rPr>
          <w:color w:val="000000" w:themeColor="text1"/>
        </w:rPr>
        <w:t>’</w:t>
      </w:r>
      <w:r w:rsidRPr="001A3FB3">
        <w:rPr>
          <w:color w:val="000000" w:themeColor="text1"/>
        </w:rPr>
        <w:t xml:space="preserve">s withdrawal from Climate Action 100+, exit from the Net Zero Asset Managers initiative, reduction of fossil-fuel-excluding fund offerings, and shift </w:t>
      </w:r>
      <w:r w:rsidR="00B62085">
        <w:rPr>
          <w:color w:val="000000" w:themeColor="text1"/>
        </w:rPr>
        <w:t>“</w:t>
      </w:r>
      <w:r w:rsidRPr="001A3FB3">
        <w:rPr>
          <w:color w:val="000000" w:themeColor="text1"/>
        </w:rPr>
        <w:t>away from blanket policies that ignore fossil-fuel generation needs</w:t>
      </w:r>
      <w:r w:rsidR="00B62085">
        <w:rPr>
          <w:color w:val="000000" w:themeColor="text1"/>
        </w:rPr>
        <w:t>”</w:t>
      </w:r>
      <w:r w:rsidRPr="001A3FB3">
        <w:rPr>
          <w:color w:val="000000" w:themeColor="text1"/>
        </w:rPr>
        <w:t xml:space="preserve"> as evidence of altered conduct supporting removal—firmwide conduct change across coalition membership, product design, and stewardship policy, not alteration of any specific state transaction.</w:t>
      </w:r>
      <w:r w:rsidRPr="001A3FB3">
        <w:rPr>
          <w:rStyle w:val="FootnoteReference"/>
          <w:color w:val="000000" w:themeColor="text1"/>
        </w:rPr>
        <w:footnoteReference w:id="72"/>
      </w:r>
    </w:p>
    <w:p w14:paraId="5A305894" w14:textId="77777777" w:rsidR="005F5ACD" w:rsidRPr="001A3FB3" w:rsidRDefault="00000000">
      <w:pPr>
        <w:pStyle w:val="BodyText"/>
        <w:rPr>
          <w:color w:val="000000" w:themeColor="text1"/>
        </w:rPr>
      </w:pPr>
      <w:r w:rsidRPr="001A3FB3">
        <w:rPr>
          <w:color w:val="000000" w:themeColor="text1"/>
        </w:rPr>
        <w:t>The list design shifts the structural default: designation converts the firm into a presumptive non-eligible counterparty, placing the demonstration burden on the listed firm rather than on the designating official—a posture that makes the ordinary-business-purpose carveout nominal in practice.</w:t>
      </w:r>
    </w:p>
    <w:p w14:paraId="0BC3077A" w14:textId="77777777" w:rsidR="005F5ACD" w:rsidRPr="001A3FB3" w:rsidRDefault="00000000">
      <w:pPr>
        <w:pStyle w:val="BodyText"/>
        <w:rPr>
          <w:color w:val="000000" w:themeColor="text1"/>
        </w:rPr>
      </w:pPr>
      <w:r w:rsidRPr="001A3FB3">
        <w:rPr>
          <w:color w:val="000000" w:themeColor="text1"/>
        </w:rPr>
        <w:t>The state-money channel is the most administratively visible enforcement form, and the one through which the political economy of compliance operates most directly (Part IV).</w:t>
      </w:r>
    </w:p>
    <w:p w14:paraId="54028166" w14:textId="77777777" w:rsidR="005F5ACD" w:rsidRPr="001A3FB3" w:rsidRDefault="00000000" w:rsidP="001A3FB3">
      <w:pPr>
        <w:pStyle w:val="Heading2"/>
      </w:pPr>
      <w:bookmarkStart w:id="29" w:name="Xaddfeb0f187bcb8761fda5e9f24e0081b207487"/>
      <w:bookmarkStart w:id="30" w:name="_Toc229502265"/>
      <w:bookmarkEnd w:id="27"/>
      <w:r w:rsidRPr="001A3FB3">
        <w:t>§II.E Risk-Pricing, Proxy, Disclosure, and Certification Burdens</w:t>
      </w:r>
      <w:bookmarkEnd w:id="30"/>
    </w:p>
    <w:p w14:paraId="7F2B1B17" w14:textId="77777777" w:rsidR="005F5ACD" w:rsidRPr="001A3FB3" w:rsidRDefault="00000000">
      <w:pPr>
        <w:pStyle w:val="FirstParagraph"/>
        <w:rPr>
          <w:color w:val="000000" w:themeColor="text1"/>
        </w:rPr>
      </w:pPr>
      <w:r w:rsidRPr="001A3FB3">
        <w:rPr>
          <w:color w:val="000000" w:themeColor="text1"/>
        </w:rPr>
        <w:t>The remaining process tools fall into banking and insurance risk-pricing rules, proxy-adviser and stewardship burdens, and the disclosure spectrum. These families impose process and production costs on private firms without reaching inputs, motive, or contracting eligibility.</w:t>
      </w:r>
    </w:p>
    <w:p w14:paraId="33BB36EB" w14:textId="51E18560" w:rsidR="005F5ACD" w:rsidRPr="001A3FB3" w:rsidRDefault="00000000">
      <w:pPr>
        <w:pStyle w:val="BodyText"/>
        <w:rPr>
          <w:color w:val="000000" w:themeColor="text1"/>
        </w:rPr>
      </w:pPr>
      <w:r w:rsidRPr="001A3FB3">
        <w:rPr>
          <w:i/>
          <w:iCs/>
          <w:color w:val="000000" w:themeColor="text1"/>
        </w:rPr>
        <w:t>Banking and insurance risk-pricing rules.</w:t>
      </w:r>
      <w:r w:rsidRPr="001A3FB3">
        <w:rPr>
          <w:color w:val="000000" w:themeColor="text1"/>
        </w:rPr>
        <w:t xml:space="preserve"> Florida House Bill 3, codified at Florida Statutes § 655.0323, prohibits state-chartered banks from engaging in financial-services discrimination </w:t>
      </w:r>
      <w:r w:rsidR="00B62085">
        <w:rPr>
          <w:color w:val="000000" w:themeColor="text1"/>
        </w:rPr>
        <w:t>“</w:t>
      </w:r>
      <w:r w:rsidRPr="001A3FB3">
        <w:rPr>
          <w:color w:val="000000" w:themeColor="text1"/>
        </w:rPr>
        <w:t>based on the customer</w:t>
      </w:r>
      <w:r w:rsidR="00B62085">
        <w:rPr>
          <w:color w:val="000000" w:themeColor="text1"/>
        </w:rPr>
        <w:t>’</w:t>
      </w:r>
      <w:r w:rsidRPr="001A3FB3">
        <w:rPr>
          <w:color w:val="000000" w:themeColor="text1"/>
        </w:rPr>
        <w:t>s social, political, or ideological views or activity,</w:t>
      </w:r>
      <w:r w:rsidR="00B62085">
        <w:rPr>
          <w:color w:val="000000" w:themeColor="text1"/>
        </w:rPr>
        <w:t>”</w:t>
      </w:r>
      <w:r w:rsidRPr="001A3FB3">
        <w:rPr>
          <w:color w:val="000000" w:themeColor="text1"/>
        </w:rPr>
        <w:t xml:space="preserve"> and supplies the family</w:t>
      </w:r>
      <w:r w:rsidR="00B62085">
        <w:rPr>
          <w:color w:val="000000" w:themeColor="text1"/>
        </w:rPr>
        <w:t>’</w:t>
      </w:r>
      <w:r w:rsidRPr="001A3FB3">
        <w:rPr>
          <w:color w:val="000000" w:themeColor="text1"/>
        </w:rPr>
        <w:t>s principal.</w:t>
      </w:r>
      <w:r w:rsidRPr="001A3FB3">
        <w:rPr>
          <w:rStyle w:val="FootnoteReference"/>
          <w:color w:val="000000" w:themeColor="text1"/>
        </w:rPr>
        <w:footnoteReference w:id="73"/>
      </w:r>
      <w:r w:rsidRPr="001A3FB3">
        <w:rPr>
          <w:color w:val="000000" w:themeColor="text1"/>
        </w:rPr>
        <w:t xml:space="preserve"> Three architectural features distinguish the Florida statute. The prohibition list reaches enumerated factors that include </w:t>
      </w:r>
      <w:r w:rsidR="00B62085">
        <w:rPr>
          <w:color w:val="000000" w:themeColor="text1"/>
        </w:rPr>
        <w:t>“</w:t>
      </w:r>
      <w:r w:rsidRPr="001A3FB3">
        <w:rPr>
          <w:color w:val="000000" w:themeColor="text1"/>
        </w:rPr>
        <w:t>social credit score</w:t>
      </w:r>
      <w:r w:rsidR="00B62085">
        <w:rPr>
          <w:color w:val="000000" w:themeColor="text1"/>
        </w:rPr>
        <w:t>”</w:t>
      </w:r>
      <w:r w:rsidRPr="001A3FB3">
        <w:rPr>
          <w:color w:val="000000" w:themeColor="text1"/>
        </w:rPr>
        <w:t xml:space="preserve"> and related categories. The risk-based-individualization language at § 655.0323(1), (2)(c), and (3) preserves the bank</w:t>
      </w:r>
      <w:r w:rsidR="00B62085">
        <w:rPr>
          <w:color w:val="000000" w:themeColor="text1"/>
        </w:rPr>
        <w:t>’</w:t>
      </w:r>
      <w:r w:rsidRPr="001A3FB3">
        <w:rPr>
          <w:color w:val="000000" w:themeColor="text1"/>
        </w:rPr>
        <w:t xml:space="preserve">s authority to act on risk factors unique to each customer or member and to apply </w:t>
      </w:r>
      <w:r w:rsidR="00B62085">
        <w:rPr>
          <w:color w:val="000000" w:themeColor="text1"/>
        </w:rPr>
        <w:t>“</w:t>
      </w:r>
      <w:r w:rsidRPr="001A3FB3">
        <w:rPr>
          <w:color w:val="000000" w:themeColor="text1"/>
        </w:rPr>
        <w:t>quantitative, impartial, and risk-based</w:t>
      </w:r>
      <w:r w:rsidR="00B62085">
        <w:rPr>
          <w:color w:val="000000" w:themeColor="text1"/>
        </w:rPr>
        <w:t>”</w:t>
      </w:r>
      <w:r w:rsidRPr="001A3FB3">
        <w:rPr>
          <w:color w:val="000000" w:themeColor="text1"/>
        </w:rPr>
        <w:t xml:space="preserve"> standards, requiring customer-by-customer analytical articulation rather than categorical refusal. An annual senior-officer attestation under § 655.0323(3), supported by perjury exposure, makes compliance brittle against recurring review. Comparable banking and insurance variants in Tennessee, Idaho, and Utah deploy narrower or sharper versions of the same design, with Utah SB 298 (enacted, effective May 5, 2027) raising serious preemption questions under the National Bank Act and Dodd-Frank § 25b; Utah SB 298 is better treated as a payment-access and programmable-money variant than as a conventional banking-underwriting statute, and its preemption implications should be stated conditionally.</w:t>
      </w:r>
      <w:r w:rsidRPr="001A3FB3">
        <w:rPr>
          <w:rStyle w:val="FootnoteReference"/>
          <w:color w:val="000000" w:themeColor="text1"/>
        </w:rPr>
        <w:footnoteReference w:id="74"/>
      </w:r>
      <w:r w:rsidRPr="001A3FB3">
        <w:rPr>
          <w:color w:val="000000" w:themeColor="text1"/>
        </w:rPr>
        <w:t xml:space="preserve"> The doctrinal frame is risk-pricing and underwriting, not fiduciary materiality: a bank</w:t>
      </w:r>
      <w:r w:rsidR="00B62085">
        <w:rPr>
          <w:color w:val="000000" w:themeColor="text1"/>
        </w:rPr>
        <w:t>’</w:t>
      </w:r>
      <w:r w:rsidRPr="001A3FB3">
        <w:rPr>
          <w:color w:val="000000" w:themeColor="text1"/>
        </w:rPr>
        <w:t>s analytical authority over its own loan portfolio is a different doctrinal object than a pension trustee</w:t>
      </w:r>
      <w:r w:rsidR="00B62085">
        <w:rPr>
          <w:color w:val="000000" w:themeColor="text1"/>
        </w:rPr>
        <w:t>’</w:t>
      </w:r>
      <w:r w:rsidRPr="001A3FB3">
        <w:rPr>
          <w:color w:val="000000" w:themeColor="text1"/>
        </w:rPr>
        <w:t>s authority over a beneficiary portfolio, and conflating the two has produced some of the early commentary</w:t>
      </w:r>
      <w:r w:rsidR="00B62085">
        <w:rPr>
          <w:color w:val="000000" w:themeColor="text1"/>
        </w:rPr>
        <w:t>’</w:t>
      </w:r>
      <w:r w:rsidRPr="001A3FB3">
        <w:rPr>
          <w:color w:val="000000" w:themeColor="text1"/>
        </w:rPr>
        <w:t>s sharpest analytic mistakes.</w:t>
      </w:r>
    </w:p>
    <w:p w14:paraId="3036AF10" w14:textId="24164775" w:rsidR="005F5ACD" w:rsidRPr="001A3FB3" w:rsidRDefault="00000000">
      <w:pPr>
        <w:pStyle w:val="BodyText"/>
        <w:rPr>
          <w:color w:val="000000" w:themeColor="text1"/>
        </w:rPr>
      </w:pPr>
      <w:r w:rsidRPr="001A3FB3">
        <w:rPr>
          <w:color w:val="000000" w:themeColor="text1"/>
        </w:rPr>
        <w:t>The outer edge is broader than named climate policy. Idaho</w:t>
      </w:r>
      <w:r w:rsidR="00B62085">
        <w:rPr>
          <w:color w:val="000000" w:themeColor="text1"/>
        </w:rPr>
        <w:t>’</w:t>
      </w:r>
      <w:r w:rsidRPr="001A3FB3">
        <w:rPr>
          <w:color w:val="000000" w:themeColor="text1"/>
        </w:rPr>
        <w:t xml:space="preserve">s enacted sector formulation turns on whether a person or firm </w:t>
      </w:r>
      <w:r w:rsidR="00B62085">
        <w:rPr>
          <w:color w:val="000000" w:themeColor="text1"/>
        </w:rPr>
        <w:t>“</w:t>
      </w:r>
      <w:r w:rsidRPr="001A3FB3">
        <w:rPr>
          <w:color w:val="000000" w:themeColor="text1"/>
        </w:rPr>
        <w:t>[e]</w:t>
      </w:r>
      <w:proofErr w:type="spellStart"/>
      <w:r w:rsidRPr="001A3FB3">
        <w:rPr>
          <w:color w:val="000000" w:themeColor="text1"/>
        </w:rPr>
        <w:t>ngages</w:t>
      </w:r>
      <w:proofErr w:type="spellEnd"/>
      <w:r w:rsidRPr="001A3FB3">
        <w:rPr>
          <w:color w:val="000000" w:themeColor="text1"/>
        </w:rPr>
        <w:t xml:space="preserve"> in a particular business sector</w:t>
      </w:r>
      <w:r w:rsidR="00B62085">
        <w:rPr>
          <w:color w:val="000000" w:themeColor="text1"/>
        </w:rPr>
        <w:t>”</w:t>
      </w:r>
      <w:r w:rsidRPr="001A3FB3">
        <w:rPr>
          <w:color w:val="000000" w:themeColor="text1"/>
        </w:rPr>
        <w:t xml:space="preserve"> or does business with one.</w:t>
      </w:r>
      <w:r w:rsidRPr="001A3FB3">
        <w:rPr>
          <w:rStyle w:val="FootnoteReference"/>
          <w:color w:val="000000" w:themeColor="text1"/>
        </w:rPr>
        <w:footnoteReference w:id="75"/>
      </w:r>
      <w:r w:rsidRPr="001A3FB3">
        <w:rPr>
          <w:color w:val="000000" w:themeColor="text1"/>
        </w:rPr>
        <w:t xml:space="preserve"> Florida and Tennessee use the same family of financial-services language, preserving decisions based on </w:t>
      </w:r>
      <w:r w:rsidR="00B62085">
        <w:rPr>
          <w:color w:val="000000" w:themeColor="text1"/>
        </w:rPr>
        <w:t>“</w:t>
      </w:r>
      <w:r w:rsidRPr="001A3FB3">
        <w:rPr>
          <w:color w:val="000000" w:themeColor="text1"/>
        </w:rPr>
        <w:t>quantitative, impartial, and risk-based</w:t>
      </w:r>
      <w:r w:rsidR="00B62085">
        <w:rPr>
          <w:color w:val="000000" w:themeColor="text1"/>
        </w:rPr>
        <w:t>”</w:t>
      </w:r>
      <w:r w:rsidRPr="001A3FB3">
        <w:rPr>
          <w:color w:val="000000" w:themeColor="text1"/>
        </w:rPr>
        <w:t xml:space="preserve"> standards while treating non-risk factors tied to a customer</w:t>
      </w:r>
      <w:r w:rsidR="00B62085">
        <w:rPr>
          <w:color w:val="000000" w:themeColor="text1"/>
        </w:rPr>
        <w:t>’</w:t>
      </w:r>
      <w:r w:rsidRPr="001A3FB3">
        <w:rPr>
          <w:color w:val="000000" w:themeColor="text1"/>
        </w:rPr>
        <w:t xml:space="preserve">s </w:t>
      </w:r>
      <w:r w:rsidR="00B62085">
        <w:rPr>
          <w:color w:val="000000" w:themeColor="text1"/>
        </w:rPr>
        <w:t>“</w:t>
      </w:r>
      <w:r w:rsidRPr="001A3FB3">
        <w:rPr>
          <w:color w:val="000000" w:themeColor="text1"/>
        </w:rPr>
        <w:t>business sector</w:t>
      </w:r>
      <w:r w:rsidR="00B62085">
        <w:rPr>
          <w:color w:val="000000" w:themeColor="text1"/>
        </w:rPr>
        <w:t>”</w:t>
      </w:r>
      <w:r w:rsidRPr="001A3FB3">
        <w:rPr>
          <w:color w:val="000000" w:themeColor="text1"/>
        </w:rPr>
        <w:t xml:space="preserve"> as suspect. Utah</w:t>
      </w:r>
      <w:r w:rsidR="00B62085">
        <w:rPr>
          <w:color w:val="000000" w:themeColor="text1"/>
        </w:rPr>
        <w:t>’</w:t>
      </w:r>
      <w:r w:rsidRPr="001A3FB3">
        <w:rPr>
          <w:color w:val="000000" w:themeColor="text1"/>
        </w:rPr>
        <w:t xml:space="preserve">s programmable-money statute pushes the form into transaction design, reaching denial or failure of transactions through </w:t>
      </w:r>
      <w:r w:rsidR="00B62085">
        <w:rPr>
          <w:color w:val="000000" w:themeColor="text1"/>
        </w:rPr>
        <w:t>“</w:t>
      </w:r>
      <w:r w:rsidRPr="001A3FB3">
        <w:rPr>
          <w:color w:val="000000" w:themeColor="text1"/>
        </w:rPr>
        <w:t>direct action, automation, or programming</w:t>
      </w:r>
      <w:r w:rsidR="00B62085">
        <w:rPr>
          <w:color w:val="000000" w:themeColor="text1"/>
        </w:rPr>
        <w:t>”</w:t>
      </w:r>
      <w:r w:rsidRPr="001A3FB3">
        <w:rPr>
          <w:color w:val="000000" w:themeColor="text1"/>
        </w:rPr>
        <w:t xml:space="preserve"> based on a person</w:t>
      </w:r>
      <w:r w:rsidR="00B62085">
        <w:rPr>
          <w:color w:val="000000" w:themeColor="text1"/>
        </w:rPr>
        <w:t>’</w:t>
      </w:r>
      <w:r w:rsidRPr="001A3FB3">
        <w:rPr>
          <w:color w:val="000000" w:themeColor="text1"/>
        </w:rPr>
        <w:t xml:space="preserve">s business sector or </w:t>
      </w:r>
      <w:r w:rsidR="00B62085">
        <w:rPr>
          <w:color w:val="000000" w:themeColor="text1"/>
        </w:rPr>
        <w:t>“</w:t>
      </w:r>
      <w:r w:rsidRPr="001A3FB3">
        <w:rPr>
          <w:color w:val="000000" w:themeColor="text1"/>
        </w:rPr>
        <w:t>any other lawful acts or behavior.</w:t>
      </w:r>
      <w:r w:rsidR="00B62085">
        <w:rPr>
          <w:color w:val="000000" w:themeColor="text1"/>
        </w:rPr>
        <w:t>”</w:t>
      </w:r>
      <w:r w:rsidRPr="001A3FB3">
        <w:rPr>
          <w:color w:val="000000" w:themeColor="text1"/>
        </w:rPr>
        <w:t xml:space="preserve"> Failed and pending bills pushed still further, including </w:t>
      </w:r>
      <w:r w:rsidR="00B62085">
        <w:rPr>
          <w:color w:val="000000" w:themeColor="text1"/>
        </w:rPr>
        <w:t>“</w:t>
      </w:r>
      <w:r w:rsidRPr="001A3FB3">
        <w:rPr>
          <w:color w:val="000000" w:themeColor="text1"/>
        </w:rPr>
        <w:t>lawful economic activity</w:t>
      </w:r>
      <w:r w:rsidR="00B62085">
        <w:rPr>
          <w:color w:val="000000" w:themeColor="text1"/>
        </w:rPr>
        <w:t>”</w:t>
      </w:r>
      <w:r w:rsidRPr="001A3FB3">
        <w:rPr>
          <w:color w:val="000000" w:themeColor="text1"/>
        </w:rPr>
        <w:t xml:space="preserve"> fair-banking formulations and scripted client-consent warnings for funds said to engage in </w:t>
      </w:r>
      <w:r w:rsidR="00B62085">
        <w:rPr>
          <w:color w:val="000000" w:themeColor="text1"/>
        </w:rPr>
        <w:t>“</w:t>
      </w:r>
      <w:r w:rsidRPr="001A3FB3">
        <w:rPr>
          <w:color w:val="000000" w:themeColor="text1"/>
        </w:rPr>
        <w:t>ideological boycotts.</w:t>
      </w:r>
      <w:r w:rsidR="00B62085">
        <w:rPr>
          <w:color w:val="000000" w:themeColor="text1"/>
        </w:rPr>
        <w:t>”</w:t>
      </w:r>
    </w:p>
    <w:p w14:paraId="3CE6BC8C" w14:textId="1A4358E5" w:rsidR="005F5ACD" w:rsidRPr="001A3FB3" w:rsidRDefault="00000000">
      <w:pPr>
        <w:pStyle w:val="BodyText"/>
        <w:rPr>
          <w:color w:val="000000" w:themeColor="text1"/>
        </w:rPr>
      </w:pPr>
      <w:r w:rsidRPr="001A3FB3">
        <w:rPr>
          <w:i/>
          <w:iCs/>
          <w:color w:val="000000" w:themeColor="text1"/>
        </w:rPr>
        <w:t>Proxy-adviser and stewardship process burdens.</w:t>
      </w:r>
      <w:r w:rsidRPr="001A3FB3">
        <w:rPr>
          <w:color w:val="000000" w:themeColor="text1"/>
        </w:rPr>
        <w:t xml:space="preserve"> Texas SB 2337 supplies the most detailed proxy-adviser burden in the corpus. Codified at Texas Business Organizations Code §§ 6A.101(a)(2), 6A.101(b)(1)(A)–(B), (b)(3), and the enforcement provisions at §§ 6A.201 and 6A.202, the statute does not simply require better analysis. It treats specified proxy advice as nonfinancial unless the adviser supplies a written economic analysis or affirmative financial-interest statement, then attaches client, issuer, website, and enforcement consequences to that characterization.</w:t>
      </w:r>
      <w:r w:rsidRPr="001A3FB3">
        <w:rPr>
          <w:rStyle w:val="FootnoteReference"/>
          <w:color w:val="000000" w:themeColor="text1"/>
        </w:rPr>
        <w:footnoteReference w:id="76"/>
      </w:r>
      <w:r w:rsidRPr="001A3FB3">
        <w:rPr>
          <w:color w:val="000000" w:themeColor="text1"/>
        </w:rPr>
        <w:t xml:space="preserve"> The statute also requires prescribed disclaimers on advice characterized as ESG-related and establishes both private and state-attorney-general enforcement avenues, anchoring the compelled-speech analysis at §III.D and the enforcement-stacking analysis at §IV.B. Indiana HB 1273, codified at Indiana Code § 24-4-27.5, imposes parallel proxy-adviser disclosure-and-justification requirements;</w:t>
      </w:r>
      <w:r w:rsidRPr="001A3FB3">
        <w:rPr>
          <w:rStyle w:val="FootnoteReference"/>
          <w:color w:val="000000" w:themeColor="text1"/>
        </w:rPr>
        <w:footnoteReference w:id="77"/>
      </w:r>
      <w:r w:rsidRPr="001A3FB3">
        <w:rPr>
          <w:color w:val="000000" w:themeColor="text1"/>
        </w:rPr>
        <w:t xml:space="preserve"> Kansas SB 375 layers similar process duties onto stewardship and proxy-voting infrastructure.</w:t>
      </w:r>
      <w:r w:rsidRPr="001A3FB3">
        <w:rPr>
          <w:rStyle w:val="FootnoteReference"/>
          <w:color w:val="000000" w:themeColor="text1"/>
        </w:rPr>
        <w:footnoteReference w:id="78"/>
      </w:r>
      <w:r w:rsidRPr="001A3FB3">
        <w:rPr>
          <w:color w:val="000000" w:themeColor="text1"/>
        </w:rPr>
        <w:t xml:space="preserve"> The constitutional analysis at the proxy-adviser tier sits closer to </w:t>
      </w:r>
      <w:r w:rsidRPr="001A3FB3">
        <w:rPr>
          <w:i/>
          <w:iCs/>
          <w:color w:val="000000" w:themeColor="text1"/>
        </w:rPr>
        <w:t>NIFLA</w:t>
      </w:r>
      <w:r w:rsidRPr="001A3FB3">
        <w:rPr>
          <w:color w:val="000000" w:themeColor="text1"/>
        </w:rPr>
        <w:t xml:space="preserve"> than to </w:t>
      </w:r>
      <w:r w:rsidRPr="001A3FB3">
        <w:rPr>
          <w:i/>
          <w:iCs/>
          <w:color w:val="000000" w:themeColor="text1"/>
        </w:rPr>
        <w:t>Zauderer</w:t>
      </w:r>
      <w:r w:rsidRPr="001A3FB3">
        <w:rPr>
          <w:color w:val="000000" w:themeColor="text1"/>
        </w:rPr>
        <w:t xml:space="preserve"> because the compelled element is not factual disclosure but state-imposed characterization of contested analytical categories</w:t>
      </w:r>
      <w:r w:rsidR="00B62085">
        <w:rPr>
          <w:color w:val="000000" w:themeColor="text1"/>
        </w:rPr>
        <w:t>—</w:t>
      </w:r>
      <w:r w:rsidRPr="001A3FB3">
        <w:rPr>
          <w:color w:val="000000" w:themeColor="text1"/>
        </w:rPr>
        <w:t>financial versus nonfinancial, ESG versus non-ESG, management-aligned versus management-opposition.</w:t>
      </w:r>
      <w:r w:rsidRPr="001A3FB3">
        <w:rPr>
          <w:rStyle w:val="FootnoteReference"/>
          <w:color w:val="000000" w:themeColor="text1"/>
        </w:rPr>
        <w:footnoteReference w:id="79"/>
      </w:r>
      <w:r w:rsidRPr="001A3FB3">
        <w:rPr>
          <w:color w:val="000000" w:themeColor="text1"/>
        </w:rPr>
        <w:t xml:space="preserve"> Part III §III.D develops the doctrine.</w:t>
      </w:r>
    </w:p>
    <w:p w14:paraId="7ADC287D" w14:textId="7F981D78" w:rsidR="005F5ACD" w:rsidRPr="001A3FB3" w:rsidRDefault="00000000">
      <w:pPr>
        <w:pStyle w:val="BodyText"/>
        <w:rPr>
          <w:color w:val="000000" w:themeColor="text1"/>
        </w:rPr>
      </w:pPr>
      <w:r w:rsidRPr="001A3FB3">
        <w:rPr>
          <w:i/>
          <w:iCs/>
          <w:color w:val="000000" w:themeColor="text1"/>
        </w:rPr>
        <w:t>Disclosure Spectrum.</w:t>
      </w:r>
      <w:r w:rsidRPr="001A3FB3">
        <w:rPr>
          <w:color w:val="000000" w:themeColor="text1"/>
        </w:rPr>
        <w:t xml:space="preserve"> Five levels distinguish the statutory disclosure scheme, from </w:t>
      </w:r>
      <w:r w:rsidRPr="001A3FB3">
        <w:rPr>
          <w:i/>
          <w:iCs/>
          <w:color w:val="000000" w:themeColor="text1"/>
        </w:rPr>
        <w:t>Zauderer</w:t>
      </w:r>
      <w:r w:rsidRPr="001A3FB3">
        <w:rPr>
          <w:color w:val="000000" w:themeColor="text1"/>
        </w:rPr>
        <w:t xml:space="preserve">-permissible factual reporting at one end to compelled ideological certification at the other. (1) </w:t>
      </w:r>
      <w:r w:rsidRPr="001A3FB3">
        <w:rPr>
          <w:i/>
          <w:iCs/>
          <w:color w:val="000000" w:themeColor="text1"/>
        </w:rPr>
        <w:t>Factual emissions data.</w:t>
      </w:r>
      <w:r w:rsidRPr="001A3FB3">
        <w:rPr>
          <w:color w:val="000000" w:themeColor="text1"/>
        </w:rPr>
        <w:t xml:space="preserve"> California SB 253 requires audited Scope 1, Scope 2, and Scope 3 emissions reporting under standardized frameworks; the disclosure is factual and structurally akin to other emissions-reporting </w:t>
      </w:r>
      <w:proofErr w:type="gramStart"/>
      <w:r w:rsidRPr="001A3FB3">
        <w:rPr>
          <w:color w:val="000000" w:themeColor="text1"/>
        </w:rPr>
        <w:t>regimes, and</w:t>
      </w:r>
      <w:proofErr w:type="gramEnd"/>
      <w:r w:rsidRPr="001A3FB3">
        <w:rPr>
          <w:color w:val="000000" w:themeColor="text1"/>
        </w:rPr>
        <w:t xml:space="preserve"> sits comfortably within </w:t>
      </w:r>
      <w:r w:rsidRPr="001A3FB3">
        <w:rPr>
          <w:i/>
          <w:iCs/>
          <w:color w:val="000000" w:themeColor="text1"/>
        </w:rPr>
        <w:t>Zauderer</w:t>
      </w:r>
      <w:r w:rsidR="00B62085">
        <w:rPr>
          <w:color w:val="000000" w:themeColor="text1"/>
        </w:rPr>
        <w:t>’</w:t>
      </w:r>
      <w:r w:rsidRPr="001A3FB3">
        <w:rPr>
          <w:color w:val="000000" w:themeColor="text1"/>
        </w:rPr>
        <w:t>s permissible-factual-disclosure scope.</w:t>
      </w:r>
      <w:r w:rsidRPr="001A3FB3">
        <w:rPr>
          <w:rStyle w:val="FootnoteReference"/>
          <w:color w:val="000000" w:themeColor="text1"/>
        </w:rPr>
        <w:footnoteReference w:id="80"/>
      </w:r>
      <w:r w:rsidRPr="001A3FB3">
        <w:rPr>
          <w:color w:val="000000" w:themeColor="text1"/>
        </w:rPr>
        <w:t xml:space="preserve"> (2) </w:t>
      </w:r>
      <w:r w:rsidRPr="001A3FB3">
        <w:rPr>
          <w:i/>
          <w:iCs/>
          <w:color w:val="000000" w:themeColor="text1"/>
        </w:rPr>
        <w:t>Factual coalition-membership and policy-affiliation disclosure</w:t>
      </w:r>
      <w:r w:rsidR="00B62085">
        <w:rPr>
          <w:color w:val="000000" w:themeColor="text1"/>
        </w:rPr>
        <w:t>—</w:t>
      </w:r>
      <w:r w:rsidRPr="001A3FB3">
        <w:rPr>
          <w:color w:val="000000" w:themeColor="text1"/>
        </w:rPr>
        <w:t xml:space="preserve">coalition memberships, signatory status on industry initiatives, and stated policy positions. (3) </w:t>
      </w:r>
      <w:r w:rsidRPr="001A3FB3">
        <w:rPr>
          <w:i/>
          <w:iCs/>
          <w:color w:val="000000" w:themeColor="text1"/>
        </w:rPr>
        <w:t>Factual climate-policy disclosure</w:t>
      </w:r>
      <w:r w:rsidR="00B62085">
        <w:rPr>
          <w:color w:val="000000" w:themeColor="text1"/>
        </w:rPr>
        <w:t>—</w:t>
      </w:r>
      <w:r w:rsidRPr="001A3FB3">
        <w:rPr>
          <w:color w:val="000000" w:themeColor="text1"/>
        </w:rPr>
        <w:t>the firm</w:t>
      </w:r>
      <w:r w:rsidR="00B62085">
        <w:rPr>
          <w:color w:val="000000" w:themeColor="text1"/>
        </w:rPr>
        <w:t>’</w:t>
      </w:r>
      <w:r w:rsidRPr="001A3FB3">
        <w:rPr>
          <w:color w:val="000000" w:themeColor="text1"/>
        </w:rPr>
        <w:t xml:space="preserve">s own climate-related governance arrangements, transition planning, and capital-allocation policies. Levels two and three remain factual and report discrete operational facts the firm already maintains. (4) </w:t>
      </w:r>
      <w:r w:rsidRPr="001A3FB3">
        <w:rPr>
          <w:i/>
          <w:iCs/>
          <w:color w:val="000000" w:themeColor="text1"/>
        </w:rPr>
        <w:t>Compelled interpretive narrative.</w:t>
      </w:r>
      <w:r w:rsidRPr="001A3FB3">
        <w:rPr>
          <w:color w:val="000000" w:themeColor="text1"/>
        </w:rPr>
        <w:t xml:space="preserve"> California SB 261, requiring narrative disclosure of climate-related financial risk under TCFD-style frameworks, sits at the interpretive level: the speaker must articulate an interpretive assessment of risk magnitude and characterization, which moves the analysis closer to ordinary First Amendment scrutiny under </w:t>
      </w:r>
      <w:r w:rsidRPr="001A3FB3">
        <w:rPr>
          <w:i/>
          <w:iCs/>
          <w:color w:val="000000" w:themeColor="text1"/>
        </w:rPr>
        <w:t>NIFLA</w:t>
      </w:r>
      <w:r w:rsidRPr="001A3FB3">
        <w:rPr>
          <w:color w:val="000000" w:themeColor="text1"/>
        </w:rPr>
        <w:t>.</w:t>
      </w:r>
      <w:r w:rsidRPr="001A3FB3">
        <w:rPr>
          <w:rStyle w:val="FootnoteReference"/>
          <w:color w:val="000000" w:themeColor="text1"/>
        </w:rPr>
        <w:footnoteReference w:id="81"/>
      </w:r>
      <w:r w:rsidRPr="001A3FB3">
        <w:rPr>
          <w:color w:val="000000" w:themeColor="text1"/>
        </w:rPr>
        <w:t xml:space="preserve"> (5) </w:t>
      </w:r>
      <w:r w:rsidRPr="001A3FB3">
        <w:rPr>
          <w:i/>
          <w:iCs/>
          <w:color w:val="000000" w:themeColor="text1"/>
        </w:rPr>
        <w:t>Compelled ideological certification.</w:t>
      </w:r>
      <w:r w:rsidRPr="001A3FB3">
        <w:rPr>
          <w:color w:val="000000" w:themeColor="text1"/>
        </w:rPr>
        <w:t xml:space="preserve"> Texas SB 13</w:t>
      </w:r>
      <w:r w:rsidR="00B62085">
        <w:rPr>
          <w:color w:val="000000" w:themeColor="text1"/>
        </w:rPr>
        <w:t>’</w:t>
      </w:r>
      <w:r w:rsidRPr="001A3FB3">
        <w:rPr>
          <w:color w:val="000000" w:themeColor="text1"/>
        </w:rPr>
        <w:t xml:space="preserve">s certification provisions occupy the far end of the spectrum: a contracting counterparty must certify that the firm does not, and will not during the term of the contract, </w:t>
      </w:r>
      <w:r w:rsidR="00B62085">
        <w:rPr>
          <w:color w:val="000000" w:themeColor="text1"/>
        </w:rPr>
        <w:t>“</w:t>
      </w:r>
      <w:r w:rsidRPr="001A3FB3">
        <w:rPr>
          <w:color w:val="000000" w:themeColor="text1"/>
        </w:rPr>
        <w:t>boycott energy companies,</w:t>
      </w:r>
      <w:r w:rsidR="00B62085">
        <w:rPr>
          <w:color w:val="000000" w:themeColor="text1"/>
        </w:rPr>
        <w:t>”</w:t>
      </w:r>
      <w:r w:rsidRPr="001A3FB3">
        <w:rPr>
          <w:color w:val="000000" w:themeColor="text1"/>
        </w:rPr>
        <w:t xml:space="preserve"> a state-imposed declaration on a contested category that operates as ideological attestation rather than as informational reporting. </w:t>
      </w:r>
      <w:r w:rsidRPr="001A3FB3">
        <w:rPr>
          <w:i/>
          <w:iCs/>
          <w:color w:val="000000" w:themeColor="text1"/>
        </w:rPr>
        <w:t>Chamber of Commerce of the United States v. Sanchez</w:t>
      </w:r>
      <w:r w:rsidRPr="001A3FB3">
        <w:rPr>
          <w:color w:val="000000" w:themeColor="text1"/>
        </w:rPr>
        <w:t xml:space="preserve">, pending in the Ninth Circuit, shows the factual-versus-interpretive line at the preliminary-relief stage: on November 18, 2025, the Ninth Circuit granted an injunction pending appeal against enforcement of SB 261, while SB 253 remained </w:t>
      </w:r>
      <w:proofErr w:type="spellStart"/>
      <w:r w:rsidRPr="001A3FB3">
        <w:rPr>
          <w:color w:val="000000" w:themeColor="text1"/>
        </w:rPr>
        <w:t>unenjoined</w:t>
      </w:r>
      <w:proofErr w:type="spellEnd"/>
      <w:r w:rsidRPr="001A3FB3">
        <w:rPr>
          <w:color w:val="000000" w:themeColor="text1"/>
        </w:rPr>
        <w:t>.</w:t>
      </w:r>
      <w:r w:rsidRPr="001A3FB3">
        <w:rPr>
          <w:rStyle w:val="FootnoteReference"/>
          <w:color w:val="000000" w:themeColor="text1"/>
        </w:rPr>
        <w:footnoteReference w:id="82"/>
      </w:r>
      <w:r w:rsidRPr="001A3FB3">
        <w:rPr>
          <w:color w:val="000000" w:themeColor="text1"/>
        </w:rPr>
        <w:t xml:space="preserve"> The doctrinal review of a disclosure rule depends on where it sits on the five-level spectrum; Pro-side and Anti-side disclosure rules can appear at any level.</w:t>
      </w:r>
    </w:p>
    <w:p w14:paraId="6B0A373F" w14:textId="77777777" w:rsidR="005F5ACD" w:rsidRPr="001A3FB3" w:rsidRDefault="00000000" w:rsidP="001A3FB3">
      <w:pPr>
        <w:pStyle w:val="Heading2"/>
      </w:pPr>
      <w:bookmarkStart w:id="31" w:name="Xe79d1d55c989ded5530383ef70e14bf0d4c4954"/>
      <w:bookmarkStart w:id="32" w:name="_Toc229502266"/>
      <w:bookmarkEnd w:id="29"/>
      <w:r w:rsidRPr="001A3FB3">
        <w:t>§II.F Enforcement, Pressure, Carveouts, and Pro-Side Comparators</w:t>
      </w:r>
      <w:bookmarkEnd w:id="32"/>
    </w:p>
    <w:p w14:paraId="01F6650D" w14:textId="77777777" w:rsidR="005F5ACD" w:rsidRPr="001A3FB3" w:rsidRDefault="00000000">
      <w:pPr>
        <w:pStyle w:val="FirstParagraph"/>
        <w:rPr>
          <w:color w:val="000000" w:themeColor="text1"/>
        </w:rPr>
      </w:pPr>
      <w:r w:rsidRPr="001A3FB3">
        <w:rPr>
          <w:color w:val="000000" w:themeColor="text1"/>
        </w:rPr>
        <w:t>Enforcement stacking, savings clauses, and Pro-side comparators recur across the statutes and shape the analysis throughout.</w:t>
      </w:r>
    </w:p>
    <w:p w14:paraId="648F4C42" w14:textId="66327FCC" w:rsidR="005F5ACD" w:rsidRPr="001A3FB3" w:rsidRDefault="00000000">
      <w:pPr>
        <w:pStyle w:val="BodyText"/>
        <w:rPr>
          <w:color w:val="000000" w:themeColor="text1"/>
        </w:rPr>
      </w:pPr>
      <w:r w:rsidRPr="001A3FB3">
        <w:rPr>
          <w:i/>
          <w:iCs/>
          <w:color w:val="000000" w:themeColor="text1"/>
        </w:rPr>
        <w:t>Enforcement stacking.</w:t>
      </w:r>
      <w:r w:rsidRPr="001A3FB3">
        <w:rPr>
          <w:color w:val="000000" w:themeColor="text1"/>
        </w:rPr>
        <w:t xml:space="preserve"> The heaviest enforcement statutes layer multiple enforcement instruments</w:t>
      </w:r>
      <w:r w:rsidR="00B62085">
        <w:rPr>
          <w:color w:val="000000" w:themeColor="text1"/>
        </w:rPr>
        <w:t>—</w:t>
      </w:r>
      <w:r w:rsidRPr="001A3FB3">
        <w:rPr>
          <w:color w:val="000000" w:themeColor="text1"/>
        </w:rPr>
        <w:t>private rights of action; injunctive relief or damages; attorney-fee shifting; actual-damages floors; perjury attestation; state-attorney-general authority; periodic re-attestation</w:t>
      </w:r>
      <w:r w:rsidR="00B62085">
        <w:rPr>
          <w:color w:val="000000" w:themeColor="text1"/>
        </w:rPr>
        <w:t>—</w:t>
      </w:r>
      <w:r w:rsidRPr="001A3FB3">
        <w:rPr>
          <w:color w:val="000000" w:themeColor="text1"/>
        </w:rPr>
        <w:t>in ways that compound expected enforcement cost across channels. Utah HB 449 supplies the principal example. The statute</w:t>
      </w:r>
      <w:r w:rsidR="00B62085">
        <w:rPr>
          <w:color w:val="000000" w:themeColor="text1"/>
        </w:rPr>
        <w:t>’</w:t>
      </w:r>
      <w:r w:rsidRPr="001A3FB3">
        <w:rPr>
          <w:color w:val="000000" w:themeColor="text1"/>
        </w:rPr>
        <w:t>s enforcement design is not channel-specific: private civil actions, damages or injunctions, prevailing-party fees and costs, and a judgment floor that may not reduce relief below actual damages attach across the channels the statute reaches, so a covered firm operating across more than one channel faces stacked enforcement exposure that exceeds the sum of channel-level instruments.</w:t>
      </w:r>
      <w:r w:rsidRPr="001A3FB3">
        <w:rPr>
          <w:rStyle w:val="FootnoteReference"/>
          <w:color w:val="000000" w:themeColor="text1"/>
        </w:rPr>
        <w:footnoteReference w:id="83"/>
      </w:r>
      <w:r w:rsidRPr="001A3FB3">
        <w:rPr>
          <w:color w:val="000000" w:themeColor="text1"/>
        </w:rPr>
        <w:t xml:space="preserve"> Florida § 655.0323</w:t>
      </w:r>
      <w:r w:rsidR="00B62085">
        <w:rPr>
          <w:color w:val="000000" w:themeColor="text1"/>
        </w:rPr>
        <w:t>’</w:t>
      </w:r>
      <w:r w:rsidRPr="001A3FB3">
        <w:rPr>
          <w:color w:val="000000" w:themeColor="text1"/>
        </w:rPr>
        <w:t>s annual senior-officer perjury attestation operates similarly within the banking channel, since a single-year event of arguably noncompliant conduct generates a recurring documentary attestation risk. The compounding feature is part of what produces the Compliance Overhang phenomenon Part IV develops.</w:t>
      </w:r>
    </w:p>
    <w:p w14:paraId="686D6415" w14:textId="77777777" w:rsidR="005F5ACD" w:rsidRPr="001A3FB3" w:rsidRDefault="00000000">
      <w:pPr>
        <w:pStyle w:val="BodyText"/>
        <w:rPr>
          <w:color w:val="000000" w:themeColor="text1"/>
        </w:rPr>
      </w:pPr>
      <w:r w:rsidRPr="001A3FB3">
        <w:rPr>
          <w:i/>
          <w:iCs/>
          <w:color w:val="000000" w:themeColor="text1"/>
        </w:rPr>
        <w:t>Carveouts and savings clauses.</w:t>
      </w:r>
      <w:r w:rsidRPr="001A3FB3">
        <w:rPr>
          <w:color w:val="000000" w:themeColor="text1"/>
        </w:rPr>
        <w:t xml:space="preserve"> The statutes routinely contain savings clauses, fiduciary-prudence overrides, ordinary-business-purpose qualifiers, and risk-based-individualization carveouts. The better reading of these clauses is the inverse of their surface effect: where a statute first declares a covered factor nonpecuniary and then layers a savings clause restoring analytical authority, the savings clause is textual evidence that the operative provision sweeps in conduct the legislature understood to be financially material.</w:t>
      </w:r>
    </w:p>
    <w:p w14:paraId="47A55DE2" w14:textId="62D833D3" w:rsidR="005F5ACD" w:rsidRPr="001A3FB3" w:rsidRDefault="00000000">
      <w:pPr>
        <w:pStyle w:val="BodyText"/>
        <w:rPr>
          <w:color w:val="000000" w:themeColor="text1"/>
        </w:rPr>
      </w:pPr>
      <w:r w:rsidRPr="001A3FB3">
        <w:rPr>
          <w:color w:val="000000" w:themeColor="text1"/>
        </w:rPr>
        <w:t xml:space="preserve">Many of the hardest Anti-ESG statutes include savings language. Texas SB 13 excludes conduct taken </w:t>
      </w:r>
      <w:r w:rsidR="00B62085">
        <w:rPr>
          <w:color w:val="000000" w:themeColor="text1"/>
        </w:rPr>
        <w:t>“</w:t>
      </w:r>
      <w:r w:rsidRPr="001A3FB3">
        <w:rPr>
          <w:color w:val="000000" w:themeColor="text1"/>
        </w:rPr>
        <w:t>for ordinary business purposes</w:t>
      </w:r>
      <w:r w:rsidR="00B62085">
        <w:rPr>
          <w:color w:val="000000" w:themeColor="text1"/>
        </w:rPr>
        <w:t>”</w:t>
      </w:r>
      <w:r w:rsidRPr="001A3FB3">
        <w:rPr>
          <w:color w:val="000000" w:themeColor="text1"/>
        </w:rPr>
        <w:t>; West Virginia SB 262 uses the same phrase; Oklahoma</w:t>
      </w:r>
      <w:r w:rsidR="00B62085">
        <w:rPr>
          <w:color w:val="000000" w:themeColor="text1"/>
        </w:rPr>
        <w:t>’</w:t>
      </w:r>
      <w:r w:rsidRPr="001A3FB3">
        <w:rPr>
          <w:color w:val="000000" w:themeColor="text1"/>
        </w:rPr>
        <w:t xml:space="preserve">s EDEA excludes conduct taken </w:t>
      </w:r>
      <w:r w:rsidR="00B62085">
        <w:rPr>
          <w:color w:val="000000" w:themeColor="text1"/>
        </w:rPr>
        <w:t>“</w:t>
      </w:r>
      <w:r w:rsidRPr="001A3FB3">
        <w:rPr>
          <w:color w:val="000000" w:themeColor="text1"/>
        </w:rPr>
        <w:t>for the sole purpose of complying with the financial fiduciary responsibility of the financial company.</w:t>
      </w:r>
      <w:r w:rsidR="00B62085">
        <w:rPr>
          <w:color w:val="000000" w:themeColor="text1"/>
        </w:rPr>
        <w:t>”</w:t>
      </w:r>
      <w:r w:rsidRPr="001A3FB3">
        <w:rPr>
          <w:color w:val="000000" w:themeColor="text1"/>
        </w:rPr>
        <w:t xml:space="preserve"> On their face, these clauses appear to preserve ordinary financial judgment. But their presence also shows the problem: the operative rule reaches conduct that may be financially </w:t>
      </w:r>
      <w:proofErr w:type="gramStart"/>
      <w:r w:rsidRPr="001A3FB3">
        <w:rPr>
          <w:color w:val="000000" w:themeColor="text1"/>
        </w:rPr>
        <w:t>justified, and</w:t>
      </w:r>
      <w:proofErr w:type="gramEnd"/>
      <w:r w:rsidRPr="001A3FB3">
        <w:rPr>
          <w:color w:val="000000" w:themeColor="text1"/>
        </w:rPr>
        <w:t xml:space="preserve"> then asks the regulated party to win that discretion back.</w:t>
      </w:r>
    </w:p>
    <w:p w14:paraId="2E0F824A" w14:textId="77777777" w:rsidR="005F5ACD" w:rsidRPr="001A3FB3" w:rsidRDefault="00000000">
      <w:pPr>
        <w:pStyle w:val="BodyText"/>
        <w:rPr>
          <w:color w:val="000000" w:themeColor="text1"/>
        </w:rPr>
      </w:pPr>
      <w:r w:rsidRPr="001A3FB3">
        <w:rPr>
          <w:color w:val="000000" w:themeColor="text1"/>
        </w:rPr>
        <w:t>The question is whether the carveout is usable. Four points matter: whether the clause clearly covers the decision at issue; whether the fiduciary or firm can invoke it without a heavy evidentiary, reporting, or political burden; whether the implementing authority reads the clause to permit real reliance; and whether that invocation binds later reviewers or remains open to collateral attack. A clause that works on those terms can preserve ordinary financial judgment. A clause that fails on procedure, agency interpretation, or enforceability is mostly nominal.</w:t>
      </w:r>
      <w:r w:rsidRPr="001A3FB3">
        <w:rPr>
          <w:rStyle w:val="FootnoteReference"/>
          <w:color w:val="000000" w:themeColor="text1"/>
        </w:rPr>
        <w:footnoteReference w:id="84"/>
      </w:r>
    </w:p>
    <w:p w14:paraId="24062CE6" w14:textId="49419432" w:rsidR="005F5ACD" w:rsidRPr="001A3FB3" w:rsidRDefault="00000000">
      <w:pPr>
        <w:pStyle w:val="BodyText"/>
        <w:rPr>
          <w:color w:val="000000" w:themeColor="text1"/>
        </w:rPr>
      </w:pPr>
      <w:r w:rsidRPr="001A3FB3">
        <w:rPr>
          <w:color w:val="000000" w:themeColor="text1"/>
        </w:rPr>
        <w:t>The state examples show the difference. Kentucky SB 205</w:t>
      </w:r>
      <w:r w:rsidR="00B62085">
        <w:rPr>
          <w:color w:val="000000" w:themeColor="text1"/>
        </w:rPr>
        <w:t>’</w:t>
      </w:r>
      <w:r w:rsidRPr="001A3FB3">
        <w:rPr>
          <w:color w:val="000000" w:themeColor="text1"/>
        </w:rPr>
        <w:t>s fiduciary exception worked because CERS invoked it through a board determination and no public enforcement followed. Maine LD 99</w:t>
      </w:r>
      <w:r w:rsidR="00B62085">
        <w:rPr>
          <w:color w:val="000000" w:themeColor="text1"/>
        </w:rPr>
        <w:t>’</w:t>
      </w:r>
      <w:r w:rsidRPr="001A3FB3">
        <w:rPr>
          <w:color w:val="000000" w:themeColor="text1"/>
        </w:rPr>
        <w:t xml:space="preserve">s fiduciary limitation likewise allowed </w:t>
      </w:r>
      <w:proofErr w:type="spellStart"/>
      <w:r w:rsidRPr="001A3FB3">
        <w:rPr>
          <w:color w:val="000000" w:themeColor="text1"/>
        </w:rPr>
        <w:t>MainePERS</w:t>
      </w:r>
      <w:proofErr w:type="spellEnd"/>
      <w:r w:rsidRPr="001A3FB3">
        <w:rPr>
          <w:color w:val="000000" w:themeColor="text1"/>
        </w:rPr>
        <w:t xml:space="preserve"> to avoid mechanical fossil-fuel divestment where fiduciary duties did not permit it.</w:t>
      </w:r>
      <w:r w:rsidRPr="001A3FB3">
        <w:rPr>
          <w:rStyle w:val="FootnoteReference"/>
          <w:color w:val="000000" w:themeColor="text1"/>
        </w:rPr>
        <w:footnoteReference w:id="85"/>
      </w:r>
      <w:r w:rsidRPr="001A3FB3">
        <w:rPr>
          <w:color w:val="000000" w:themeColor="text1"/>
        </w:rPr>
        <w:t xml:space="preserve"> Texas and Oklahoma show the weaker form: savings language existed, but it did not prevent BlackRock</w:t>
      </w:r>
      <w:r w:rsidR="00B62085">
        <w:rPr>
          <w:color w:val="000000" w:themeColor="text1"/>
        </w:rPr>
        <w:t>’</w:t>
      </w:r>
      <w:r w:rsidRPr="001A3FB3">
        <w:rPr>
          <w:color w:val="000000" w:themeColor="text1"/>
        </w:rPr>
        <w:t>s Texas mandate termination or save Oklahoma</w:t>
      </w:r>
      <w:r w:rsidR="00B62085">
        <w:rPr>
          <w:color w:val="000000" w:themeColor="text1"/>
        </w:rPr>
        <w:t>’</w:t>
      </w:r>
      <w:r w:rsidRPr="001A3FB3">
        <w:rPr>
          <w:color w:val="000000" w:themeColor="text1"/>
        </w:rPr>
        <w:t xml:space="preserve">s EDEA as applied to OPERS. The legal question is not whether the statute contains a savings clause, but whether the clause actually restores </w:t>
      </w:r>
      <w:r w:rsidR="00BB1F3B" w:rsidRPr="001A3FB3">
        <w:rPr>
          <w:color w:val="000000" w:themeColor="text1"/>
        </w:rPr>
        <w:t>decision-making</w:t>
      </w:r>
      <w:r w:rsidRPr="001A3FB3">
        <w:rPr>
          <w:color w:val="000000" w:themeColor="text1"/>
        </w:rPr>
        <w:t xml:space="preserve"> authority.</w:t>
      </w:r>
    </w:p>
    <w:p w14:paraId="1BF52922" w14:textId="77777777" w:rsidR="005F5ACD" w:rsidRPr="001A3FB3" w:rsidRDefault="00000000">
      <w:pPr>
        <w:pStyle w:val="BodyText"/>
        <w:rPr>
          <w:color w:val="000000" w:themeColor="text1"/>
        </w:rPr>
      </w:pPr>
      <w:r w:rsidRPr="001A3FB3">
        <w:rPr>
          <w:color w:val="000000" w:themeColor="text1"/>
        </w:rPr>
        <w:t xml:space="preserve">The detailed carveout taxonomy—including the distinction between restatement-only savings clauses (which merely echo background fiduciary law without narrowing the operative restriction), record-based fiduciary carveouts (which restore authority only where the pension board or firm can invoke it through a documentable determination), and authority-dependent carveouts (which function only if an implementing agency or attorney general acts)—is set out in the Methodology Appendix (Table H). The Tennessee—Arkansas contrast in §II.B, the Texas SB 13 § 809.005 fiduciary-inconsistency override, the Florida § 655.0323 customer-specific risk / quantitative-standards carveout, and the Maine LD 99 § 1957(3) Pro-side fiduciary-responsibility override </w:t>
      </w:r>
      <w:proofErr w:type="gramStart"/>
      <w:r w:rsidRPr="001A3FB3">
        <w:rPr>
          <w:color w:val="000000" w:themeColor="text1"/>
        </w:rPr>
        <w:t>are</w:t>
      </w:r>
      <w:proofErr w:type="gramEnd"/>
      <w:r w:rsidRPr="001A3FB3">
        <w:rPr>
          <w:color w:val="000000" w:themeColor="text1"/>
        </w:rPr>
        <w:t xml:space="preserve"> analyzed there.</w:t>
      </w:r>
      <w:r w:rsidRPr="001A3FB3">
        <w:rPr>
          <w:rStyle w:val="FootnoteReference"/>
          <w:color w:val="000000" w:themeColor="text1"/>
        </w:rPr>
        <w:footnoteReference w:id="86"/>
      </w:r>
    </w:p>
    <w:p w14:paraId="2737ABF5" w14:textId="77777777" w:rsidR="005F5ACD" w:rsidRPr="001A3FB3" w:rsidRDefault="00000000">
      <w:pPr>
        <w:pStyle w:val="BodyText"/>
        <w:rPr>
          <w:color w:val="000000" w:themeColor="text1"/>
        </w:rPr>
      </w:pPr>
      <w:r w:rsidRPr="001A3FB3">
        <w:rPr>
          <w:i/>
          <w:iCs/>
          <w:color w:val="000000" w:themeColor="text1"/>
        </w:rPr>
        <w:t>Pro-side comparators.</w:t>
      </w:r>
      <w:r w:rsidRPr="001A3FB3">
        <w:rPr>
          <w:color w:val="000000" w:themeColor="text1"/>
        </w:rPr>
        <w:t xml:space="preserve"> Pro-side statutes (Maine LD 99 § 1957(3) divestment with fiduciary savings; CA SB 253 factual emissions; CA SB 261 compelled interpretive narrative; CA AB 979 categorical board-composition mandate; IL SB 2152 symmetric proxy reporting) deploy recognizable tools; Part V tests each under the Functional Test.</w:t>
      </w:r>
      <w:r w:rsidRPr="001A3FB3">
        <w:rPr>
          <w:rStyle w:val="FootnoteReference"/>
          <w:color w:val="000000" w:themeColor="text1"/>
        </w:rPr>
        <w:footnoteReference w:id="87"/>
      </w:r>
      <w:r w:rsidRPr="001A3FB3">
        <w:rPr>
          <w:color w:val="000000" w:themeColor="text1"/>
        </w:rPr>
        <w:t xml:space="preserve"> No Pro-side statute in the present corpus combines categorical analytical foreclosure, the absence of a fiduciary-prudence override, and an enforcement stack of the Utah HB 0449 type. Anti-side and Pro-side enacted statutes achieve similar passage rates within the climate-focused corpus. The Anti-side design is nonetheless distinctive in kind: cross-channel evidentiary structure, enforcement stacking, deeper financial-sector reach, and the substance-axis foreclosure family have no direct Pro-side analogues.</w:t>
      </w:r>
    </w:p>
    <w:p w14:paraId="1DCCAF19" w14:textId="60B5BCC7" w:rsidR="005F5ACD" w:rsidRPr="001A3FB3" w:rsidRDefault="00000000" w:rsidP="001A3FB3">
      <w:pPr>
        <w:pStyle w:val="Heading1"/>
      </w:pPr>
      <w:bookmarkStart w:id="33" w:name="part-iii-doctrinal-validity-by-channel"/>
      <w:bookmarkStart w:id="34" w:name="_Toc229502267"/>
      <w:bookmarkEnd w:id="19"/>
      <w:bookmarkEnd w:id="31"/>
      <w:r w:rsidRPr="001A3FB3">
        <w:t>PART III</w:t>
      </w:r>
      <w:r w:rsidR="00B62085">
        <w:t>—</w:t>
      </w:r>
      <w:r w:rsidRPr="001A3FB3">
        <w:t>DOCTRINAL VALIDITY BY CHANNEL</w:t>
      </w:r>
      <w:bookmarkEnd w:id="34"/>
    </w:p>
    <w:p w14:paraId="5066046F" w14:textId="77777777" w:rsidR="005F5ACD" w:rsidRPr="001A3FB3" w:rsidRDefault="00000000" w:rsidP="001A3FB3">
      <w:pPr>
        <w:pStyle w:val="Heading2"/>
      </w:pPr>
      <w:bookmarkStart w:id="35" w:name="iii.a-channel-doctrine-map"/>
      <w:bookmarkStart w:id="36" w:name="_Toc229502268"/>
      <w:r w:rsidRPr="001A3FB3">
        <w:t>§III.A Channel / Doctrine Map</w:t>
      </w:r>
      <w:bookmarkEnd w:id="36"/>
    </w:p>
    <w:p w14:paraId="74C4F28F" w14:textId="77777777" w:rsidR="005F5ACD" w:rsidRDefault="00000000">
      <w:pPr>
        <w:pStyle w:val="FirstParagraph"/>
        <w:rPr>
          <w:color w:val="000000" w:themeColor="text1"/>
        </w:rPr>
      </w:pPr>
      <w:r w:rsidRPr="001A3FB3">
        <w:rPr>
          <w:color w:val="000000" w:themeColor="text1"/>
        </w:rPr>
        <w:t>Each tool family Part II catalogued is reviewed under its native doctrinal frame, with doctrinal exposure clustering as follows:</w:t>
      </w:r>
    </w:p>
    <w:p w14:paraId="48EA7418" w14:textId="77777777" w:rsidR="0006423C" w:rsidRDefault="0006423C" w:rsidP="0006423C">
      <w:pPr>
        <w:spacing w:line="276" w:lineRule="auto"/>
      </w:pPr>
      <w:bookmarkStart w:id="37" w:name="X20e810537d06a09c8b63ed9b6a17e4caddaca3a"/>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19"/>
        <w:gridCol w:w="3306"/>
        <w:gridCol w:w="1738"/>
        <w:gridCol w:w="2487"/>
      </w:tblGrid>
      <w:tr w:rsidR="0006423C" w:rsidRPr="007E5AAF" w14:paraId="64CAC36E" w14:textId="77777777" w:rsidTr="00DB0233">
        <w:trPr>
          <w:cnfStyle w:val="100000000000" w:firstRow="1" w:lastRow="0" w:firstColumn="0" w:lastColumn="0" w:oddVBand="0" w:evenVBand="0" w:oddHBand="0" w:evenHBand="0" w:firstRowFirstColumn="0" w:firstRowLastColumn="0" w:lastRowFirstColumn="0" w:lastRowLastColumn="0"/>
          <w:tblHeader/>
        </w:trPr>
        <w:tc>
          <w:tcPr>
            <w:tcW w:w="1819" w:type="dxa"/>
            <w:tcBorders>
              <w:bottom w:val="none" w:sz="0" w:space="0" w:color="auto"/>
            </w:tcBorders>
          </w:tcPr>
          <w:bookmarkEnd w:id="37"/>
          <w:p w14:paraId="6574A970" w14:textId="77777777" w:rsidR="0006423C" w:rsidRPr="007E5AAF" w:rsidRDefault="0006423C" w:rsidP="00DB0233">
            <w:pPr>
              <w:pStyle w:val="Compact"/>
              <w:spacing w:line="276" w:lineRule="auto"/>
              <w:ind w:firstLine="0"/>
              <w:jc w:val="center"/>
              <w:rPr>
                <w:color w:val="000000" w:themeColor="text1"/>
                <w:sz w:val="22"/>
                <w:szCs w:val="22"/>
              </w:rPr>
            </w:pPr>
            <w:r w:rsidRPr="007E5AAF">
              <w:rPr>
                <w:b/>
                <w:bCs/>
                <w:color w:val="000000" w:themeColor="text1"/>
                <w:sz w:val="22"/>
                <w:szCs w:val="22"/>
              </w:rPr>
              <w:t>Channel</w:t>
            </w:r>
          </w:p>
        </w:tc>
        <w:tc>
          <w:tcPr>
            <w:tcW w:w="3306" w:type="dxa"/>
            <w:tcBorders>
              <w:bottom w:val="none" w:sz="0" w:space="0" w:color="auto"/>
            </w:tcBorders>
          </w:tcPr>
          <w:p w14:paraId="47951D08" w14:textId="77777777" w:rsidR="0006423C" w:rsidRPr="007E5AAF" w:rsidRDefault="0006423C" w:rsidP="00DB0233">
            <w:pPr>
              <w:pStyle w:val="Compact"/>
              <w:spacing w:line="276" w:lineRule="auto"/>
              <w:ind w:firstLine="0"/>
              <w:jc w:val="center"/>
              <w:rPr>
                <w:color w:val="000000" w:themeColor="text1"/>
                <w:sz w:val="22"/>
                <w:szCs w:val="22"/>
              </w:rPr>
            </w:pPr>
            <w:r w:rsidRPr="007E5AAF">
              <w:rPr>
                <w:b/>
                <w:bCs/>
                <w:color w:val="000000" w:themeColor="text1"/>
                <w:sz w:val="22"/>
                <w:szCs w:val="22"/>
              </w:rPr>
              <w:t>Governing Doctrine</w:t>
            </w:r>
          </w:p>
        </w:tc>
        <w:tc>
          <w:tcPr>
            <w:tcW w:w="1738" w:type="dxa"/>
            <w:tcBorders>
              <w:bottom w:val="none" w:sz="0" w:space="0" w:color="auto"/>
            </w:tcBorders>
          </w:tcPr>
          <w:p w14:paraId="3E879299" w14:textId="77777777" w:rsidR="0006423C" w:rsidRPr="007E5AAF" w:rsidRDefault="0006423C" w:rsidP="00DB0233">
            <w:pPr>
              <w:pStyle w:val="Compact"/>
              <w:spacing w:line="276" w:lineRule="auto"/>
              <w:ind w:firstLine="0"/>
              <w:jc w:val="center"/>
              <w:rPr>
                <w:color w:val="000000" w:themeColor="text1"/>
                <w:sz w:val="22"/>
                <w:szCs w:val="22"/>
              </w:rPr>
            </w:pPr>
            <w:r w:rsidRPr="007E5AAF">
              <w:rPr>
                <w:b/>
                <w:bCs/>
                <w:color w:val="000000" w:themeColor="text1"/>
                <w:sz w:val="22"/>
                <w:szCs w:val="22"/>
              </w:rPr>
              <w:t>Anchor</w:t>
            </w:r>
          </w:p>
        </w:tc>
        <w:tc>
          <w:tcPr>
            <w:tcW w:w="2487" w:type="dxa"/>
            <w:tcBorders>
              <w:bottom w:val="none" w:sz="0" w:space="0" w:color="auto"/>
            </w:tcBorders>
          </w:tcPr>
          <w:p w14:paraId="720FD77D" w14:textId="77777777" w:rsidR="0006423C" w:rsidRPr="007E5AAF" w:rsidRDefault="0006423C" w:rsidP="00DB0233">
            <w:pPr>
              <w:pStyle w:val="Compact"/>
              <w:spacing w:line="276" w:lineRule="auto"/>
              <w:ind w:firstLine="0"/>
              <w:rPr>
                <w:color w:val="000000" w:themeColor="text1"/>
                <w:sz w:val="22"/>
                <w:szCs w:val="22"/>
              </w:rPr>
            </w:pPr>
            <w:r w:rsidRPr="007E5AAF">
              <w:rPr>
                <w:b/>
                <w:bCs/>
                <w:color w:val="000000" w:themeColor="text1"/>
                <w:sz w:val="22"/>
                <w:szCs w:val="22"/>
              </w:rPr>
              <w:t>Predicted Vulnerability</w:t>
            </w:r>
          </w:p>
        </w:tc>
      </w:tr>
      <w:tr w:rsidR="0006423C" w:rsidRPr="007E5AAF" w14:paraId="7ED3DFAB" w14:textId="77777777" w:rsidTr="00DB0233">
        <w:tc>
          <w:tcPr>
            <w:tcW w:w="1819" w:type="dxa"/>
          </w:tcPr>
          <w:p w14:paraId="51B837E3" w14:textId="77777777" w:rsidR="0006423C" w:rsidRPr="007E5AAF" w:rsidRDefault="0006423C" w:rsidP="00DB0233">
            <w:pPr>
              <w:pStyle w:val="Compact"/>
              <w:spacing w:line="276" w:lineRule="auto"/>
              <w:ind w:firstLine="0"/>
              <w:rPr>
                <w:color w:val="000000" w:themeColor="text1"/>
                <w:sz w:val="22"/>
                <w:szCs w:val="22"/>
              </w:rPr>
            </w:pPr>
            <w:r w:rsidRPr="007E5AAF">
              <w:rPr>
                <w:b/>
                <w:bCs/>
                <w:color w:val="000000" w:themeColor="text1"/>
                <w:sz w:val="22"/>
                <w:szCs w:val="22"/>
              </w:rPr>
              <w:t>C1 Public Pensions</w:t>
            </w:r>
          </w:p>
        </w:tc>
        <w:tc>
          <w:tcPr>
            <w:tcW w:w="3306" w:type="dxa"/>
          </w:tcPr>
          <w:p w14:paraId="2344F302" w14:textId="77777777" w:rsidR="0006423C" w:rsidRPr="007E5AAF" w:rsidRDefault="0006423C" w:rsidP="00DB0233">
            <w:pPr>
              <w:pStyle w:val="Compact"/>
              <w:spacing w:line="276" w:lineRule="auto"/>
              <w:ind w:firstLine="0"/>
              <w:rPr>
                <w:color w:val="000000" w:themeColor="text1"/>
                <w:sz w:val="22"/>
                <w:szCs w:val="22"/>
              </w:rPr>
            </w:pPr>
            <w:r w:rsidRPr="007E5AAF">
              <w:rPr>
                <w:color w:val="000000" w:themeColor="text1"/>
                <w:sz w:val="22"/>
                <w:szCs w:val="22"/>
              </w:rPr>
              <w:t>State-constitutional exclusive-purpose + state fiduciary</w:t>
            </w:r>
          </w:p>
        </w:tc>
        <w:tc>
          <w:tcPr>
            <w:tcW w:w="1738" w:type="dxa"/>
          </w:tcPr>
          <w:p w14:paraId="272B4AA7" w14:textId="77777777" w:rsidR="0006423C" w:rsidRPr="007E5AAF" w:rsidRDefault="0006423C" w:rsidP="00DB0233">
            <w:pPr>
              <w:pStyle w:val="Compact"/>
              <w:spacing w:line="276" w:lineRule="auto"/>
              <w:ind w:firstLine="0"/>
              <w:rPr>
                <w:color w:val="000000" w:themeColor="text1"/>
                <w:sz w:val="22"/>
                <w:szCs w:val="22"/>
              </w:rPr>
            </w:pPr>
            <w:r w:rsidRPr="007E5AAF">
              <w:rPr>
                <w:i/>
                <w:iCs/>
                <w:color w:val="000000" w:themeColor="text1"/>
                <w:sz w:val="22"/>
                <w:szCs w:val="22"/>
              </w:rPr>
              <w:t>Keenan v. Russ</w:t>
            </w:r>
            <w:r w:rsidRPr="007E5AAF">
              <w:rPr>
                <w:color w:val="000000" w:themeColor="text1"/>
                <w:sz w:val="22"/>
                <w:szCs w:val="22"/>
              </w:rPr>
              <w:t>, 2026 OK 20</w:t>
            </w:r>
            <w:r w:rsidRPr="007E5AAF">
              <w:rPr>
                <w:rStyle w:val="FootnoteReference"/>
                <w:color w:val="000000" w:themeColor="text1"/>
                <w:sz w:val="22"/>
                <w:szCs w:val="22"/>
              </w:rPr>
              <w:footnoteReference w:id="88"/>
            </w:r>
          </w:p>
        </w:tc>
        <w:tc>
          <w:tcPr>
            <w:tcW w:w="2487" w:type="dxa"/>
          </w:tcPr>
          <w:p w14:paraId="42DBA19D" w14:textId="77777777" w:rsidR="0006423C" w:rsidRPr="007E5AAF" w:rsidRDefault="0006423C" w:rsidP="00DB0233">
            <w:pPr>
              <w:pStyle w:val="Compact"/>
              <w:spacing w:line="276" w:lineRule="auto"/>
              <w:ind w:firstLine="0"/>
              <w:rPr>
                <w:color w:val="000000" w:themeColor="text1"/>
                <w:sz w:val="22"/>
                <w:szCs w:val="22"/>
              </w:rPr>
            </w:pPr>
            <w:r w:rsidRPr="007E5AAF">
              <w:rPr>
                <w:color w:val="000000" w:themeColor="text1"/>
                <w:sz w:val="22"/>
                <w:szCs w:val="22"/>
              </w:rPr>
              <w:t>High (where exclusive-purpose clause applies)</w:t>
            </w:r>
          </w:p>
        </w:tc>
      </w:tr>
      <w:tr w:rsidR="0006423C" w:rsidRPr="007E5AAF" w14:paraId="56472322" w14:textId="77777777" w:rsidTr="00DB0233">
        <w:tc>
          <w:tcPr>
            <w:tcW w:w="1819" w:type="dxa"/>
          </w:tcPr>
          <w:p w14:paraId="2138A8F2" w14:textId="77777777" w:rsidR="0006423C" w:rsidRPr="007E5AAF" w:rsidRDefault="0006423C" w:rsidP="00DB0233">
            <w:pPr>
              <w:pStyle w:val="Compact"/>
              <w:spacing w:line="276" w:lineRule="auto"/>
              <w:ind w:firstLine="0"/>
              <w:rPr>
                <w:color w:val="000000" w:themeColor="text1"/>
                <w:sz w:val="22"/>
                <w:szCs w:val="22"/>
              </w:rPr>
            </w:pPr>
            <w:r w:rsidRPr="007E5AAF">
              <w:rPr>
                <w:b/>
                <w:bCs/>
                <w:color w:val="000000" w:themeColor="text1"/>
                <w:sz w:val="22"/>
                <w:szCs w:val="22"/>
              </w:rPr>
              <w:t>C2 Procurement / State-Money</w:t>
            </w:r>
          </w:p>
        </w:tc>
        <w:tc>
          <w:tcPr>
            <w:tcW w:w="3306" w:type="dxa"/>
          </w:tcPr>
          <w:p w14:paraId="15B60F21" w14:textId="77777777" w:rsidR="0006423C" w:rsidRPr="007E5AAF" w:rsidRDefault="0006423C" w:rsidP="00DB0233">
            <w:pPr>
              <w:pStyle w:val="Compact"/>
              <w:spacing w:line="276" w:lineRule="auto"/>
              <w:ind w:firstLine="0"/>
              <w:rPr>
                <w:color w:val="000000" w:themeColor="text1"/>
                <w:sz w:val="22"/>
                <w:szCs w:val="22"/>
              </w:rPr>
            </w:pPr>
            <w:r w:rsidRPr="007E5AAF">
              <w:rPr>
                <w:color w:val="000000" w:themeColor="text1"/>
                <w:sz w:val="22"/>
                <w:szCs w:val="22"/>
              </w:rPr>
              <w:t xml:space="preserve">1A compelled-association + unconstitutional-conditions + </w:t>
            </w:r>
            <w:proofErr w:type="spellStart"/>
            <w:r w:rsidRPr="007E5AAF">
              <w:rPr>
                <w:i/>
                <w:iCs/>
                <w:color w:val="000000" w:themeColor="text1"/>
                <w:sz w:val="22"/>
                <w:szCs w:val="22"/>
              </w:rPr>
              <w:t>Wunnicke</w:t>
            </w:r>
            <w:proofErr w:type="spellEnd"/>
            <w:r w:rsidRPr="007E5AAF">
              <w:rPr>
                <w:i/>
                <w:iCs/>
                <w:color w:val="000000" w:themeColor="text1"/>
                <w:sz w:val="22"/>
                <w:szCs w:val="22"/>
              </w:rPr>
              <w:t xml:space="preserve"> </w:t>
            </w:r>
            <w:r w:rsidRPr="007E5AAF">
              <w:rPr>
                <w:color w:val="000000" w:themeColor="text1"/>
                <w:sz w:val="22"/>
                <w:szCs w:val="22"/>
              </w:rPr>
              <w:t>market-participant limit</w:t>
            </w:r>
          </w:p>
        </w:tc>
        <w:tc>
          <w:tcPr>
            <w:tcW w:w="1738" w:type="dxa"/>
          </w:tcPr>
          <w:p w14:paraId="046F15D8" w14:textId="77777777" w:rsidR="0006423C" w:rsidRPr="007E5AAF" w:rsidRDefault="0006423C" w:rsidP="00DB0233">
            <w:pPr>
              <w:pStyle w:val="Compact"/>
              <w:spacing w:line="276" w:lineRule="auto"/>
              <w:ind w:firstLine="0"/>
              <w:rPr>
                <w:color w:val="000000" w:themeColor="text1"/>
                <w:sz w:val="22"/>
                <w:szCs w:val="22"/>
              </w:rPr>
            </w:pPr>
            <w:r w:rsidRPr="007E5AAF">
              <w:rPr>
                <w:i/>
                <w:iCs/>
                <w:color w:val="000000" w:themeColor="text1"/>
                <w:sz w:val="22"/>
                <w:szCs w:val="22"/>
              </w:rPr>
              <w:t>NRA v. Vullo</w:t>
            </w:r>
            <w:r w:rsidRPr="007E5AAF">
              <w:rPr>
                <w:color w:val="000000" w:themeColor="text1"/>
                <w:sz w:val="22"/>
                <w:szCs w:val="22"/>
              </w:rPr>
              <w:t xml:space="preserve">; </w:t>
            </w:r>
            <w:r w:rsidRPr="007E5AAF">
              <w:rPr>
                <w:i/>
                <w:iCs/>
                <w:color w:val="000000" w:themeColor="text1"/>
                <w:sz w:val="22"/>
                <w:szCs w:val="22"/>
              </w:rPr>
              <w:t>ASBC v. Hegar</w:t>
            </w:r>
            <w:r w:rsidRPr="007E5AAF">
              <w:rPr>
                <w:rStyle w:val="FootnoteReference"/>
                <w:color w:val="000000" w:themeColor="text1"/>
                <w:sz w:val="22"/>
                <w:szCs w:val="22"/>
              </w:rPr>
              <w:footnoteReference w:id="89"/>
            </w:r>
          </w:p>
        </w:tc>
        <w:tc>
          <w:tcPr>
            <w:tcW w:w="2487" w:type="dxa"/>
          </w:tcPr>
          <w:p w14:paraId="34A5C36E" w14:textId="77777777" w:rsidR="0006423C" w:rsidRPr="007E5AAF" w:rsidRDefault="0006423C" w:rsidP="00DB0233">
            <w:pPr>
              <w:pStyle w:val="Compact"/>
              <w:spacing w:line="276" w:lineRule="auto"/>
              <w:ind w:firstLine="0"/>
              <w:jc w:val="center"/>
              <w:rPr>
                <w:color w:val="000000" w:themeColor="text1"/>
                <w:sz w:val="22"/>
                <w:szCs w:val="22"/>
              </w:rPr>
            </w:pPr>
            <w:r w:rsidRPr="007E5AAF">
              <w:rPr>
                <w:color w:val="000000" w:themeColor="text1"/>
                <w:sz w:val="22"/>
                <w:szCs w:val="22"/>
              </w:rPr>
              <w:t>High</w:t>
            </w:r>
          </w:p>
        </w:tc>
      </w:tr>
      <w:tr w:rsidR="0006423C" w:rsidRPr="007E5AAF" w14:paraId="0A67BC29" w14:textId="77777777" w:rsidTr="00DB0233">
        <w:tc>
          <w:tcPr>
            <w:tcW w:w="1819" w:type="dxa"/>
          </w:tcPr>
          <w:p w14:paraId="021BB6D5" w14:textId="77777777" w:rsidR="0006423C" w:rsidRPr="007E5AAF" w:rsidRDefault="0006423C" w:rsidP="00DB0233">
            <w:pPr>
              <w:pStyle w:val="Compact"/>
              <w:spacing w:line="276" w:lineRule="auto"/>
              <w:ind w:firstLine="0"/>
              <w:rPr>
                <w:color w:val="000000" w:themeColor="text1"/>
                <w:sz w:val="22"/>
                <w:szCs w:val="22"/>
              </w:rPr>
            </w:pPr>
            <w:r w:rsidRPr="007E5AAF">
              <w:rPr>
                <w:b/>
                <w:bCs/>
                <w:color w:val="000000" w:themeColor="text1"/>
                <w:sz w:val="22"/>
                <w:szCs w:val="22"/>
              </w:rPr>
              <w:t>C3 Banking / Insurance</w:t>
            </w:r>
          </w:p>
        </w:tc>
        <w:tc>
          <w:tcPr>
            <w:tcW w:w="3306" w:type="dxa"/>
          </w:tcPr>
          <w:p w14:paraId="7C41B6EF" w14:textId="77777777" w:rsidR="0006423C" w:rsidRPr="007E5AAF" w:rsidRDefault="0006423C" w:rsidP="00DB0233">
            <w:pPr>
              <w:pStyle w:val="Compact"/>
              <w:spacing w:line="276" w:lineRule="auto"/>
              <w:ind w:firstLine="0"/>
              <w:rPr>
                <w:color w:val="000000" w:themeColor="text1"/>
                <w:sz w:val="22"/>
                <w:szCs w:val="22"/>
              </w:rPr>
            </w:pPr>
            <w:r w:rsidRPr="007E5AAF">
              <w:rPr>
                <w:color w:val="000000" w:themeColor="text1"/>
                <w:sz w:val="22"/>
                <w:szCs w:val="22"/>
              </w:rPr>
              <w:t>NBA / Dodd-Frank § 25b + McCarran-Ferguson + risk-individualization</w:t>
            </w:r>
          </w:p>
        </w:tc>
        <w:tc>
          <w:tcPr>
            <w:tcW w:w="1738" w:type="dxa"/>
          </w:tcPr>
          <w:p w14:paraId="0013D974" w14:textId="77777777" w:rsidR="0006423C" w:rsidRPr="007E5AAF" w:rsidRDefault="0006423C" w:rsidP="00DB0233">
            <w:pPr>
              <w:pStyle w:val="Compact"/>
              <w:spacing w:line="276" w:lineRule="auto"/>
              <w:ind w:firstLine="0"/>
              <w:rPr>
                <w:color w:val="000000" w:themeColor="text1"/>
                <w:sz w:val="22"/>
                <w:szCs w:val="22"/>
              </w:rPr>
            </w:pPr>
            <w:r w:rsidRPr="007E5AAF">
              <w:rPr>
                <w:i/>
                <w:iCs/>
                <w:color w:val="000000" w:themeColor="text1"/>
                <w:sz w:val="22"/>
                <w:szCs w:val="22"/>
              </w:rPr>
              <w:t>Cantero v. Bank of America</w:t>
            </w:r>
            <w:r w:rsidRPr="007E5AAF">
              <w:rPr>
                <w:rStyle w:val="FootnoteReference"/>
                <w:color w:val="000000" w:themeColor="text1"/>
                <w:sz w:val="22"/>
                <w:szCs w:val="22"/>
              </w:rPr>
              <w:footnoteReference w:id="90"/>
            </w:r>
          </w:p>
        </w:tc>
        <w:tc>
          <w:tcPr>
            <w:tcW w:w="2487" w:type="dxa"/>
          </w:tcPr>
          <w:p w14:paraId="1489ED77" w14:textId="77777777" w:rsidR="0006423C" w:rsidRPr="007E5AAF" w:rsidRDefault="0006423C" w:rsidP="00DB0233">
            <w:pPr>
              <w:pStyle w:val="Compact"/>
              <w:spacing w:line="276" w:lineRule="auto"/>
              <w:ind w:firstLine="0"/>
              <w:jc w:val="center"/>
              <w:rPr>
                <w:color w:val="000000" w:themeColor="text1"/>
                <w:sz w:val="22"/>
                <w:szCs w:val="22"/>
              </w:rPr>
            </w:pPr>
            <w:r w:rsidRPr="007E5AAF">
              <w:rPr>
                <w:color w:val="000000" w:themeColor="text1"/>
                <w:sz w:val="22"/>
                <w:szCs w:val="22"/>
              </w:rPr>
              <w:t>Mixed</w:t>
            </w:r>
          </w:p>
        </w:tc>
      </w:tr>
      <w:tr w:rsidR="0006423C" w:rsidRPr="007E5AAF" w14:paraId="29859013" w14:textId="77777777" w:rsidTr="00DB0233">
        <w:tc>
          <w:tcPr>
            <w:tcW w:w="1819" w:type="dxa"/>
          </w:tcPr>
          <w:p w14:paraId="48AA2E6E" w14:textId="77777777" w:rsidR="0006423C" w:rsidRPr="007E5AAF" w:rsidRDefault="0006423C" w:rsidP="00DB0233">
            <w:pPr>
              <w:pStyle w:val="Compact"/>
              <w:spacing w:line="276" w:lineRule="auto"/>
              <w:ind w:firstLine="0"/>
              <w:rPr>
                <w:color w:val="000000" w:themeColor="text1"/>
                <w:sz w:val="22"/>
                <w:szCs w:val="22"/>
              </w:rPr>
            </w:pPr>
            <w:r w:rsidRPr="007E5AAF">
              <w:rPr>
                <w:b/>
                <w:bCs/>
                <w:color w:val="000000" w:themeColor="text1"/>
                <w:sz w:val="22"/>
                <w:szCs w:val="22"/>
              </w:rPr>
              <w:t>C4 Proxy / Stewardship</w:t>
            </w:r>
          </w:p>
        </w:tc>
        <w:tc>
          <w:tcPr>
            <w:tcW w:w="3306" w:type="dxa"/>
          </w:tcPr>
          <w:p w14:paraId="43C408D2" w14:textId="77777777" w:rsidR="0006423C" w:rsidRPr="007E5AAF" w:rsidRDefault="0006423C" w:rsidP="00DB0233">
            <w:pPr>
              <w:pStyle w:val="Compact"/>
              <w:spacing w:line="276" w:lineRule="auto"/>
              <w:ind w:firstLine="0"/>
              <w:rPr>
                <w:color w:val="000000" w:themeColor="text1"/>
                <w:sz w:val="22"/>
                <w:szCs w:val="22"/>
              </w:rPr>
            </w:pPr>
            <w:r w:rsidRPr="007E5AAF">
              <w:rPr>
                <w:i/>
                <w:iCs/>
                <w:color w:val="000000" w:themeColor="text1"/>
                <w:sz w:val="22"/>
                <w:szCs w:val="22"/>
              </w:rPr>
              <w:t>Zauderer/NIFLA</w:t>
            </w:r>
            <w:r w:rsidRPr="007E5AAF">
              <w:rPr>
                <w:color w:val="000000" w:themeColor="text1"/>
                <w:sz w:val="22"/>
                <w:szCs w:val="22"/>
              </w:rPr>
              <w:t>+ post-</w:t>
            </w:r>
            <w:r w:rsidRPr="007E5AAF">
              <w:rPr>
                <w:i/>
                <w:iCs/>
                <w:color w:val="000000" w:themeColor="text1"/>
                <w:sz w:val="22"/>
                <w:szCs w:val="22"/>
              </w:rPr>
              <w:t>ISS v. SEC</w:t>
            </w:r>
            <w:r w:rsidRPr="007E5AAF">
              <w:rPr>
                <w:color w:val="000000" w:themeColor="text1"/>
                <w:sz w:val="22"/>
                <w:szCs w:val="22"/>
              </w:rPr>
              <w:t>§ 14(a) textualism</w:t>
            </w:r>
          </w:p>
        </w:tc>
        <w:tc>
          <w:tcPr>
            <w:tcW w:w="1738" w:type="dxa"/>
          </w:tcPr>
          <w:p w14:paraId="52934644" w14:textId="77777777" w:rsidR="0006423C" w:rsidRPr="007E5AAF" w:rsidRDefault="0006423C" w:rsidP="00DB0233">
            <w:pPr>
              <w:pStyle w:val="Compact"/>
              <w:spacing w:line="276" w:lineRule="auto"/>
              <w:ind w:firstLine="0"/>
              <w:rPr>
                <w:color w:val="000000" w:themeColor="text1"/>
                <w:sz w:val="22"/>
                <w:szCs w:val="22"/>
              </w:rPr>
            </w:pPr>
            <w:r w:rsidRPr="007E5AAF">
              <w:rPr>
                <w:i/>
                <w:iCs/>
                <w:color w:val="000000" w:themeColor="text1"/>
                <w:sz w:val="22"/>
                <w:szCs w:val="22"/>
              </w:rPr>
              <w:t>Glass Lewis v. Paxton</w:t>
            </w:r>
            <w:r w:rsidRPr="007E5AAF">
              <w:rPr>
                <w:color w:val="000000" w:themeColor="text1"/>
                <w:sz w:val="22"/>
                <w:szCs w:val="22"/>
              </w:rPr>
              <w:t xml:space="preserve">; </w:t>
            </w:r>
            <w:r w:rsidRPr="007E5AAF">
              <w:rPr>
                <w:i/>
                <w:iCs/>
                <w:color w:val="000000" w:themeColor="text1"/>
                <w:sz w:val="22"/>
                <w:szCs w:val="22"/>
              </w:rPr>
              <w:t>ISS v. Paxton</w:t>
            </w:r>
            <w:r w:rsidRPr="007E5AAF">
              <w:rPr>
                <w:rStyle w:val="FootnoteReference"/>
                <w:color w:val="000000" w:themeColor="text1"/>
                <w:sz w:val="22"/>
                <w:szCs w:val="22"/>
              </w:rPr>
              <w:footnoteReference w:id="91"/>
            </w:r>
          </w:p>
        </w:tc>
        <w:tc>
          <w:tcPr>
            <w:tcW w:w="2487" w:type="dxa"/>
          </w:tcPr>
          <w:p w14:paraId="76FB80B5" w14:textId="77777777" w:rsidR="0006423C" w:rsidRPr="007E5AAF" w:rsidRDefault="0006423C" w:rsidP="00DB0233">
            <w:pPr>
              <w:pStyle w:val="Compact"/>
              <w:spacing w:line="276" w:lineRule="auto"/>
              <w:ind w:firstLine="0"/>
              <w:jc w:val="center"/>
              <w:rPr>
                <w:color w:val="000000" w:themeColor="text1"/>
                <w:sz w:val="22"/>
                <w:szCs w:val="22"/>
              </w:rPr>
            </w:pPr>
            <w:r w:rsidRPr="007E5AAF">
              <w:rPr>
                <w:color w:val="000000" w:themeColor="text1"/>
                <w:sz w:val="22"/>
                <w:szCs w:val="22"/>
              </w:rPr>
              <w:t>High (asymmetric); Mixed (symmetric)</w:t>
            </w:r>
          </w:p>
        </w:tc>
      </w:tr>
      <w:tr w:rsidR="0006423C" w:rsidRPr="007E5AAF" w14:paraId="6F006606" w14:textId="77777777" w:rsidTr="00DB0233">
        <w:tc>
          <w:tcPr>
            <w:tcW w:w="1819" w:type="dxa"/>
          </w:tcPr>
          <w:p w14:paraId="03F4E72C" w14:textId="77777777" w:rsidR="0006423C" w:rsidRPr="007E5AAF" w:rsidRDefault="0006423C" w:rsidP="00DB0233">
            <w:pPr>
              <w:pStyle w:val="Compact"/>
              <w:spacing w:line="276" w:lineRule="auto"/>
              <w:ind w:firstLine="0"/>
              <w:rPr>
                <w:color w:val="000000" w:themeColor="text1"/>
                <w:sz w:val="22"/>
                <w:szCs w:val="22"/>
              </w:rPr>
            </w:pPr>
            <w:r w:rsidRPr="007E5AAF">
              <w:rPr>
                <w:b/>
                <w:bCs/>
                <w:color w:val="000000" w:themeColor="text1"/>
                <w:sz w:val="22"/>
                <w:szCs w:val="22"/>
              </w:rPr>
              <w:t>C5 Issuer Disclosure</w:t>
            </w:r>
          </w:p>
        </w:tc>
        <w:tc>
          <w:tcPr>
            <w:tcW w:w="3306" w:type="dxa"/>
          </w:tcPr>
          <w:p w14:paraId="65553449" w14:textId="77777777" w:rsidR="0006423C" w:rsidRPr="007E5AAF" w:rsidRDefault="0006423C" w:rsidP="00DB0233">
            <w:pPr>
              <w:pStyle w:val="Compact"/>
              <w:spacing w:line="276" w:lineRule="auto"/>
              <w:ind w:firstLine="0"/>
              <w:rPr>
                <w:color w:val="000000" w:themeColor="text1"/>
                <w:sz w:val="22"/>
                <w:szCs w:val="22"/>
              </w:rPr>
            </w:pPr>
            <w:r w:rsidRPr="007E5AAF">
              <w:rPr>
                <w:i/>
                <w:iCs/>
                <w:color w:val="000000" w:themeColor="text1"/>
                <w:sz w:val="22"/>
                <w:szCs w:val="22"/>
              </w:rPr>
              <w:t xml:space="preserve">Zauderer/NIFLA </w:t>
            </w:r>
            <w:r w:rsidRPr="007E5AAF">
              <w:rPr>
                <w:color w:val="000000" w:themeColor="text1"/>
                <w:sz w:val="22"/>
                <w:szCs w:val="22"/>
              </w:rPr>
              <w:t>factual-vs-interpretive</w:t>
            </w:r>
          </w:p>
        </w:tc>
        <w:tc>
          <w:tcPr>
            <w:tcW w:w="1738" w:type="dxa"/>
          </w:tcPr>
          <w:p w14:paraId="10C3C24B" w14:textId="77777777" w:rsidR="0006423C" w:rsidRPr="007E5AAF" w:rsidRDefault="0006423C" w:rsidP="00DB0233">
            <w:pPr>
              <w:pStyle w:val="Compact"/>
              <w:spacing w:line="276" w:lineRule="auto"/>
              <w:ind w:firstLine="0"/>
              <w:rPr>
                <w:color w:val="000000" w:themeColor="text1"/>
                <w:sz w:val="22"/>
                <w:szCs w:val="22"/>
              </w:rPr>
            </w:pPr>
            <w:r w:rsidRPr="007E5AAF">
              <w:rPr>
                <w:i/>
                <w:iCs/>
                <w:color w:val="000000" w:themeColor="text1"/>
                <w:sz w:val="22"/>
                <w:szCs w:val="22"/>
              </w:rPr>
              <w:t>Chamber of Commerce v. Sanchez</w:t>
            </w:r>
            <w:r w:rsidRPr="007E5AAF">
              <w:rPr>
                <w:rStyle w:val="FootnoteReference"/>
                <w:color w:val="000000" w:themeColor="text1"/>
                <w:sz w:val="22"/>
                <w:szCs w:val="22"/>
              </w:rPr>
              <w:footnoteReference w:id="92"/>
            </w:r>
          </w:p>
        </w:tc>
        <w:tc>
          <w:tcPr>
            <w:tcW w:w="2487" w:type="dxa"/>
          </w:tcPr>
          <w:p w14:paraId="41016EB1" w14:textId="77777777" w:rsidR="0006423C" w:rsidRPr="007E5AAF" w:rsidRDefault="0006423C" w:rsidP="00DB0233">
            <w:pPr>
              <w:pStyle w:val="Compact"/>
              <w:spacing w:line="276" w:lineRule="auto"/>
              <w:ind w:firstLine="0"/>
              <w:jc w:val="center"/>
              <w:rPr>
                <w:color w:val="000000" w:themeColor="text1"/>
                <w:sz w:val="22"/>
                <w:szCs w:val="22"/>
              </w:rPr>
            </w:pPr>
            <w:r w:rsidRPr="007E5AAF">
              <w:rPr>
                <w:color w:val="000000" w:themeColor="text1"/>
                <w:sz w:val="22"/>
                <w:szCs w:val="22"/>
              </w:rPr>
              <w:t>Mixed (depends on content type)</w:t>
            </w:r>
          </w:p>
        </w:tc>
      </w:tr>
    </w:tbl>
    <w:p w14:paraId="6F847E34" w14:textId="77777777" w:rsidR="0006423C" w:rsidRPr="0006423C" w:rsidRDefault="0006423C" w:rsidP="0006423C">
      <w:pPr>
        <w:pStyle w:val="BodyText"/>
      </w:pPr>
    </w:p>
    <w:p w14:paraId="2B67D90D" w14:textId="77777777" w:rsidR="005F5ACD" w:rsidRPr="001A3FB3" w:rsidRDefault="00000000">
      <w:pPr>
        <w:pStyle w:val="BodyText"/>
        <w:rPr>
          <w:color w:val="000000" w:themeColor="text1"/>
        </w:rPr>
      </w:pPr>
      <w:r w:rsidRPr="001A3FB3">
        <w:rPr>
          <w:color w:val="000000" w:themeColor="text1"/>
        </w:rPr>
        <w:t xml:space="preserve">The frame applies by mechanism, but only within the right channel: a Pro-side pension divestment override faces the same exclusive-purpose review as an Anti-side pension divestment mandate; a Pro-side compelled climate narrative faces the same </w:t>
      </w:r>
      <w:r w:rsidRPr="001A3FB3">
        <w:rPr>
          <w:i/>
          <w:iCs/>
          <w:color w:val="000000" w:themeColor="text1"/>
        </w:rPr>
        <w:t>Zauderer</w:t>
      </w:r>
      <w:r w:rsidRPr="001A3FB3">
        <w:rPr>
          <w:color w:val="000000" w:themeColor="text1"/>
        </w:rPr>
        <w:t xml:space="preserve"> / </w:t>
      </w:r>
      <w:r w:rsidRPr="001A3FB3">
        <w:rPr>
          <w:i/>
          <w:iCs/>
          <w:color w:val="000000" w:themeColor="text1"/>
        </w:rPr>
        <w:t>NIFLA</w:t>
      </w:r>
      <w:r w:rsidRPr="001A3FB3">
        <w:rPr>
          <w:color w:val="000000" w:themeColor="text1"/>
        </w:rPr>
        <w:t xml:space="preserve"> analysis as an Anti-side compelled anti-boycott narrative; and a board-composition mandate belongs in its own corporate-law and equality-law frame.</w:t>
      </w:r>
    </w:p>
    <w:p w14:paraId="49FEA4C9" w14:textId="77777777" w:rsidR="005F5ACD" w:rsidRPr="001A3FB3" w:rsidRDefault="00000000" w:rsidP="001A3FB3">
      <w:pPr>
        <w:pStyle w:val="Heading2"/>
      </w:pPr>
      <w:bookmarkStart w:id="38" w:name="X61da12e2b8bb30b260425e057729314252a72be"/>
      <w:bookmarkStart w:id="39" w:name="_Toc229502269"/>
      <w:bookmarkEnd w:id="35"/>
      <w:r w:rsidRPr="001A3FB3">
        <w:t>§III.B Public Pensions and Exclusive Purpose</w:t>
      </w:r>
      <w:bookmarkEnd w:id="39"/>
    </w:p>
    <w:p w14:paraId="49047D6C" w14:textId="0D2C1FD4" w:rsidR="005F5ACD" w:rsidRPr="001A3FB3" w:rsidRDefault="00000000">
      <w:pPr>
        <w:pStyle w:val="FirstParagraph"/>
        <w:rPr>
          <w:color w:val="000000" w:themeColor="text1"/>
        </w:rPr>
      </w:pPr>
      <w:r w:rsidRPr="001A3FB3">
        <w:rPr>
          <w:color w:val="000000" w:themeColor="text1"/>
        </w:rPr>
        <w:t>The pension channel is the wave</w:t>
      </w:r>
      <w:r w:rsidR="00B62085">
        <w:rPr>
          <w:color w:val="000000" w:themeColor="text1"/>
        </w:rPr>
        <w:t>’</w:t>
      </w:r>
      <w:r w:rsidRPr="001A3FB3">
        <w:rPr>
          <w:color w:val="000000" w:themeColor="text1"/>
        </w:rPr>
        <w:t xml:space="preserve">s most legally vulnerable lane, and </w:t>
      </w:r>
      <w:r w:rsidRPr="001A3FB3">
        <w:rPr>
          <w:i/>
          <w:iCs/>
          <w:color w:val="000000" w:themeColor="text1"/>
        </w:rPr>
        <w:t>Keenan v. Russ</w:t>
      </w:r>
      <w:r w:rsidRPr="001A3FB3">
        <w:rPr>
          <w:color w:val="000000" w:themeColor="text1"/>
        </w:rPr>
        <w:t xml:space="preserve"> is the reason. In April 2026 the Oklahoma Supreme Court, by a 5-3 vote (Justice Jett recused), invalidated the Oklahoma Energy Discrimination Elimination Act as applied to the Oklahoma Public Employees Retirement System.</w:t>
      </w:r>
      <w:r w:rsidRPr="001A3FB3">
        <w:rPr>
          <w:rStyle w:val="FootnoteReference"/>
          <w:color w:val="000000" w:themeColor="text1"/>
        </w:rPr>
        <w:footnoteReference w:id="93"/>
      </w:r>
      <w:r w:rsidRPr="001A3FB3">
        <w:rPr>
          <w:color w:val="000000" w:themeColor="text1"/>
        </w:rPr>
        <w:t xml:space="preserve"> The court held that the statute, by directing OPERS to disqualify managers and depositories that </w:t>
      </w:r>
      <w:r w:rsidR="00B62085">
        <w:rPr>
          <w:color w:val="000000" w:themeColor="text1"/>
        </w:rPr>
        <w:t>“</w:t>
      </w:r>
      <w:r w:rsidRPr="001A3FB3">
        <w:rPr>
          <w:color w:val="000000" w:themeColor="text1"/>
        </w:rPr>
        <w:t>boycott</w:t>
      </w:r>
      <w:r w:rsidR="00B62085">
        <w:rPr>
          <w:color w:val="000000" w:themeColor="text1"/>
        </w:rPr>
        <w:t>”</w:t>
      </w:r>
      <w:r w:rsidRPr="001A3FB3">
        <w:rPr>
          <w:color w:val="000000" w:themeColor="text1"/>
        </w:rPr>
        <w:t xml:space="preserve"> energy companies regardless of pecuniary effect, conflicted with the Oklahoma Constitution</w:t>
      </w:r>
      <w:r w:rsidR="00B62085">
        <w:rPr>
          <w:color w:val="000000" w:themeColor="text1"/>
        </w:rPr>
        <w:t>’</w:t>
      </w:r>
      <w:r w:rsidRPr="001A3FB3">
        <w:rPr>
          <w:color w:val="000000" w:themeColor="text1"/>
        </w:rPr>
        <w:t xml:space="preserve">s exclusive-benefit provision, Article XXIII, § 12. The decisive passage appears at paragraph 60: application of the EDEA to OPERS creates a </w:t>
      </w:r>
      <w:r w:rsidR="00B62085">
        <w:rPr>
          <w:color w:val="000000" w:themeColor="text1"/>
        </w:rPr>
        <w:t>“</w:t>
      </w:r>
      <w:r w:rsidRPr="001A3FB3">
        <w:rPr>
          <w:color w:val="000000" w:themeColor="text1"/>
        </w:rPr>
        <w:t>dual purpose</w:t>
      </w:r>
      <w:r w:rsidR="00B62085">
        <w:rPr>
          <w:color w:val="000000" w:themeColor="text1"/>
        </w:rPr>
        <w:t>”</w:t>
      </w:r>
      <w:r w:rsidRPr="001A3FB3">
        <w:rPr>
          <w:color w:val="000000" w:themeColor="text1"/>
        </w:rPr>
        <w:t xml:space="preserve"> for OPERS investment decisions as opposed to the </w:t>
      </w:r>
      <w:r w:rsidR="00B62085">
        <w:rPr>
          <w:color w:val="000000" w:themeColor="text1"/>
        </w:rPr>
        <w:t>“</w:t>
      </w:r>
      <w:r w:rsidRPr="001A3FB3">
        <w:rPr>
          <w:color w:val="000000" w:themeColor="text1"/>
        </w:rPr>
        <w:t>exclusive purpose</w:t>
      </w:r>
      <w:r w:rsidR="00B62085">
        <w:rPr>
          <w:color w:val="000000" w:themeColor="text1"/>
        </w:rPr>
        <w:t>”</w:t>
      </w:r>
      <w:r w:rsidRPr="001A3FB3">
        <w:rPr>
          <w:color w:val="000000" w:themeColor="text1"/>
        </w:rPr>
        <w:t xml:space="preserve"> the Oklahoma Constitution requires.</w:t>
      </w:r>
      <w:r w:rsidRPr="001A3FB3">
        <w:rPr>
          <w:rStyle w:val="FootnoteReference"/>
          <w:color w:val="000000" w:themeColor="text1"/>
        </w:rPr>
        <w:footnoteReference w:id="94"/>
      </w:r>
      <w:r w:rsidRPr="001A3FB3">
        <w:rPr>
          <w:color w:val="000000" w:themeColor="text1"/>
        </w:rPr>
        <w:t xml:space="preserve"> OPERS</w:t>
      </w:r>
      <w:r w:rsidR="00B62085">
        <w:rPr>
          <w:color w:val="000000" w:themeColor="text1"/>
        </w:rPr>
        <w:t>’</w:t>
      </w:r>
      <w:r w:rsidRPr="001A3FB3">
        <w:rPr>
          <w:color w:val="000000" w:themeColor="text1"/>
        </w:rPr>
        <w:t>s $9.7 million litigation-record estimate of one-time switching costs</w:t>
      </w:r>
      <w:r w:rsidR="00B62085">
        <w:rPr>
          <w:color w:val="000000" w:themeColor="text1"/>
        </w:rPr>
        <w:t>—</w:t>
      </w:r>
      <w:r w:rsidRPr="001A3FB3">
        <w:rPr>
          <w:color w:val="000000" w:themeColor="text1"/>
        </w:rPr>
        <w:t>the costs of replacing previously qualified managers and rebuilding the depository roster</w:t>
      </w:r>
      <w:r w:rsidR="00B62085">
        <w:rPr>
          <w:color w:val="000000" w:themeColor="text1"/>
        </w:rPr>
        <w:t>—</w:t>
      </w:r>
      <w:r w:rsidRPr="001A3FB3">
        <w:rPr>
          <w:color w:val="000000" w:themeColor="text1"/>
        </w:rPr>
        <w:t>featured in the burden analysis.</w:t>
      </w:r>
      <w:r w:rsidRPr="001A3FB3">
        <w:rPr>
          <w:rStyle w:val="FootnoteReference"/>
          <w:color w:val="000000" w:themeColor="text1"/>
        </w:rPr>
        <w:footnoteReference w:id="95"/>
      </w:r>
      <w:r w:rsidRPr="001A3FB3">
        <w:rPr>
          <w:color w:val="000000" w:themeColor="text1"/>
        </w:rPr>
        <w:t xml:space="preserve"> The majority also noted that companies on Oklahoma</w:t>
      </w:r>
      <w:r w:rsidR="00B62085">
        <w:rPr>
          <w:color w:val="000000" w:themeColor="text1"/>
        </w:rPr>
        <w:t>’</w:t>
      </w:r>
      <w:r w:rsidRPr="001A3FB3">
        <w:rPr>
          <w:color w:val="000000" w:themeColor="text1"/>
        </w:rPr>
        <w:t>s restricted list collectively controlled approximately 64% of OPERS</w:t>
      </w:r>
      <w:r w:rsidR="00B62085">
        <w:rPr>
          <w:color w:val="000000" w:themeColor="text1"/>
        </w:rPr>
        <w:t>’</w:t>
      </w:r>
      <w:r w:rsidRPr="001A3FB3">
        <w:rPr>
          <w:color w:val="000000" w:themeColor="text1"/>
        </w:rPr>
        <w:t>s assets.</w:t>
      </w:r>
      <w:r w:rsidRPr="001A3FB3">
        <w:rPr>
          <w:rStyle w:val="FootnoteReference"/>
          <w:color w:val="000000" w:themeColor="text1"/>
        </w:rPr>
        <w:footnoteReference w:id="96"/>
      </w:r>
    </w:p>
    <w:p w14:paraId="4C4C803C" w14:textId="6D0887BE" w:rsidR="005F5ACD" w:rsidRPr="001A3FB3" w:rsidRDefault="00000000">
      <w:pPr>
        <w:pStyle w:val="BodyText"/>
        <w:rPr>
          <w:color w:val="000000" w:themeColor="text1"/>
        </w:rPr>
      </w:pPr>
      <w:r w:rsidRPr="001A3FB3">
        <w:rPr>
          <w:color w:val="000000" w:themeColor="text1"/>
        </w:rPr>
        <w:t>The SAF hard core is the corpus</w:t>
      </w:r>
      <w:r w:rsidR="00B62085">
        <w:rPr>
          <w:color w:val="000000" w:themeColor="text1"/>
        </w:rPr>
        <w:t>’</w:t>
      </w:r>
      <w:r w:rsidRPr="001A3FB3">
        <w:rPr>
          <w:color w:val="000000" w:themeColor="text1"/>
        </w:rPr>
        <w:t>s leading doctrinal edge but not its modal statute—approximately nine percent of the enacted Anti corpus. The analysis treats SAF as a discrete frontier within a broader architectural spectrum; the broader perimeter of process burdens and evidentiary-conversion devices applies across the full enacted corpus.</w:t>
      </w:r>
    </w:p>
    <w:p w14:paraId="2DE05C22" w14:textId="10C4BD34" w:rsidR="005F5ACD" w:rsidRPr="001A3FB3" w:rsidRDefault="00000000">
      <w:pPr>
        <w:pStyle w:val="BodyText"/>
        <w:rPr>
          <w:color w:val="000000" w:themeColor="text1"/>
        </w:rPr>
      </w:pPr>
      <w:r w:rsidRPr="001A3FB3">
        <w:rPr>
          <w:color w:val="000000" w:themeColor="text1"/>
        </w:rPr>
        <w:t xml:space="preserve">Schanzenbach and </w:t>
      </w:r>
      <w:proofErr w:type="spellStart"/>
      <w:r w:rsidRPr="001A3FB3">
        <w:rPr>
          <w:color w:val="000000" w:themeColor="text1"/>
        </w:rPr>
        <w:t>Sitkoff</w:t>
      </w:r>
      <w:r w:rsidR="00B62085">
        <w:rPr>
          <w:color w:val="000000" w:themeColor="text1"/>
        </w:rPr>
        <w:t>’</w:t>
      </w:r>
      <w:r w:rsidRPr="001A3FB3">
        <w:rPr>
          <w:color w:val="000000" w:themeColor="text1"/>
        </w:rPr>
        <w:t>s</w:t>
      </w:r>
      <w:proofErr w:type="spellEnd"/>
      <w:r w:rsidRPr="001A3FB3">
        <w:rPr>
          <w:color w:val="000000" w:themeColor="text1"/>
        </w:rPr>
        <w:t xml:space="preserve"> threshold-stage/actuality-stage framework explains the doctrinal distinction </w:t>
      </w:r>
      <w:r w:rsidRPr="001A3FB3">
        <w:rPr>
          <w:i/>
          <w:iCs/>
          <w:color w:val="000000" w:themeColor="text1"/>
        </w:rPr>
        <w:t>Keenan</w:t>
      </w:r>
      <w:r w:rsidRPr="001A3FB3">
        <w:rPr>
          <w:color w:val="000000" w:themeColor="text1"/>
        </w:rPr>
        <w:t xml:space="preserve"> recognized. A threshold stage asks which inputs are available for the trustee</w:t>
      </w:r>
      <w:r w:rsidR="00B62085">
        <w:rPr>
          <w:color w:val="000000" w:themeColor="text1"/>
        </w:rPr>
        <w:t>’</w:t>
      </w:r>
      <w:r w:rsidRPr="001A3FB3">
        <w:rPr>
          <w:color w:val="000000" w:themeColor="text1"/>
        </w:rPr>
        <w:t xml:space="preserve">s consideration; an actuality stage asks how the trustee weighed available inputs to reach a particular investment decision. </w:t>
      </w:r>
      <w:r w:rsidRPr="001A3FB3">
        <w:rPr>
          <w:i/>
          <w:iCs/>
          <w:color w:val="000000" w:themeColor="text1"/>
        </w:rPr>
        <w:t>Spence v. American Airlines</w:t>
      </w:r>
      <w:r w:rsidRPr="001A3FB3">
        <w:rPr>
          <w:color w:val="000000" w:themeColor="text1"/>
        </w:rPr>
        <w:t xml:space="preserve"> is an actuality-stage case: the court evaluated how the trustee considered ESG factors that were undisputedly available in the trustee</w:t>
      </w:r>
      <w:r w:rsidR="00B62085">
        <w:rPr>
          <w:color w:val="000000" w:themeColor="text1"/>
        </w:rPr>
        <w:t>’</w:t>
      </w:r>
      <w:r w:rsidRPr="001A3FB3">
        <w:rPr>
          <w:color w:val="000000" w:themeColor="text1"/>
        </w:rPr>
        <w:t>s analytical universe.</w:t>
      </w:r>
      <w:r w:rsidRPr="001A3FB3">
        <w:rPr>
          <w:rStyle w:val="FootnoteReference"/>
          <w:color w:val="000000" w:themeColor="text1"/>
        </w:rPr>
        <w:footnoteReference w:id="97"/>
      </w:r>
      <w:r w:rsidRPr="001A3FB3">
        <w:rPr>
          <w:color w:val="000000" w:themeColor="text1"/>
        </w:rPr>
        <w:t xml:space="preserve"> A trustee who considers long-horizon climate-transition risk because she has prudently determined that the risk affects expected returns—an unimpeachable motive at the actuality stage—encounters not a motive test under these statutes but a definitional bar that withdraws the input from her permissible analytical universe. The threshold-stage statute moves the fiduciary inquiry upstream of where existing doctrine operates. That mismatch is what makes Substance-Axis Foreclosure doctrinally distinctive, and what </w:t>
      </w:r>
      <w:r w:rsidRPr="001A3FB3">
        <w:rPr>
          <w:i/>
          <w:iCs/>
          <w:color w:val="000000" w:themeColor="text1"/>
        </w:rPr>
        <w:t>Keenan</w:t>
      </w:r>
      <w:r w:rsidRPr="001A3FB3">
        <w:rPr>
          <w:color w:val="000000" w:themeColor="text1"/>
        </w:rPr>
        <w:t xml:space="preserve"> identified when it characterized Oklahoma</w:t>
      </w:r>
      <w:r w:rsidR="00B62085">
        <w:rPr>
          <w:color w:val="000000" w:themeColor="text1"/>
        </w:rPr>
        <w:t>’</w:t>
      </w:r>
      <w:r w:rsidRPr="001A3FB3">
        <w:rPr>
          <w:color w:val="000000" w:themeColor="text1"/>
        </w:rPr>
        <w:t>s EDEA as imposing a non-financial purpose on what the State</w:t>
      </w:r>
      <w:r w:rsidR="00B62085">
        <w:rPr>
          <w:color w:val="000000" w:themeColor="text1"/>
        </w:rPr>
        <w:t>’</w:t>
      </w:r>
      <w:r w:rsidRPr="001A3FB3">
        <w:rPr>
          <w:color w:val="000000" w:themeColor="text1"/>
        </w:rPr>
        <w:t>s constitution declares an exclusive-purpose relationship.</w:t>
      </w:r>
      <w:r w:rsidRPr="001A3FB3">
        <w:rPr>
          <w:rStyle w:val="FootnoteReference"/>
          <w:color w:val="000000" w:themeColor="text1"/>
        </w:rPr>
        <w:footnoteReference w:id="98"/>
      </w:r>
    </w:p>
    <w:p w14:paraId="133B5221" w14:textId="6A25DF7F" w:rsidR="005F5ACD" w:rsidRPr="001A3FB3" w:rsidRDefault="00000000">
      <w:pPr>
        <w:pStyle w:val="BodyText"/>
        <w:rPr>
          <w:color w:val="000000" w:themeColor="text1"/>
        </w:rPr>
      </w:pPr>
      <w:r w:rsidRPr="001A3FB3">
        <w:rPr>
          <w:color w:val="000000" w:themeColor="text1"/>
        </w:rPr>
        <w:t>The pension-channel doctrine is not exclusively constitutional. Even where a state constitution lacks an exclusive-purpose clause analogous to Oklahoma</w:t>
      </w:r>
      <w:r w:rsidR="00B62085">
        <w:rPr>
          <w:color w:val="000000" w:themeColor="text1"/>
        </w:rPr>
        <w:t>’</w:t>
      </w:r>
      <w:r w:rsidRPr="001A3FB3">
        <w:rPr>
          <w:color w:val="000000" w:themeColor="text1"/>
        </w:rPr>
        <w:t>s, state pension statutes routinely codify exclusive-benefit duties and supply standing pathways for affected participants and beneficiaries.</w:t>
      </w:r>
      <w:r w:rsidRPr="001A3FB3">
        <w:rPr>
          <w:rStyle w:val="FootnoteReference"/>
          <w:color w:val="000000" w:themeColor="text1"/>
        </w:rPr>
        <w:footnoteReference w:id="99"/>
      </w:r>
      <w:r w:rsidRPr="001A3FB3">
        <w:rPr>
          <w:color w:val="000000" w:themeColor="text1"/>
        </w:rPr>
        <w:t xml:space="preserve"> </w:t>
      </w:r>
      <w:r w:rsidRPr="001A3FB3">
        <w:rPr>
          <w:i/>
          <w:iCs/>
          <w:color w:val="000000" w:themeColor="text1"/>
        </w:rPr>
        <w:t>Wong v. New York City Employees</w:t>
      </w:r>
      <w:r w:rsidR="00B62085">
        <w:rPr>
          <w:i/>
          <w:iCs/>
          <w:color w:val="000000" w:themeColor="text1"/>
        </w:rPr>
        <w:t>’</w:t>
      </w:r>
      <w:r w:rsidRPr="001A3FB3">
        <w:rPr>
          <w:i/>
          <w:iCs/>
          <w:color w:val="000000" w:themeColor="text1"/>
        </w:rPr>
        <w:t xml:space="preserve"> Retirement System</w:t>
      </w:r>
      <w:r w:rsidRPr="001A3FB3">
        <w:rPr>
          <w:color w:val="000000" w:themeColor="text1"/>
        </w:rPr>
        <w:t xml:space="preserve"> shows the structural-litigation barrier on the other side of the standing line: the New York Appellate Division held that participants in a defined-benefit plan, whose payments are not directly affected by investment performance because the sponsor bears the risk, generally lack the financial-injury showing necessary to enforce fiduciary duties through litigation.</w:t>
      </w:r>
      <w:r w:rsidRPr="001A3FB3">
        <w:rPr>
          <w:rStyle w:val="FootnoteReference"/>
          <w:color w:val="000000" w:themeColor="text1"/>
        </w:rPr>
        <w:footnoteReference w:id="100"/>
      </w:r>
      <w:r w:rsidRPr="001A3FB3">
        <w:rPr>
          <w:color w:val="000000" w:themeColor="text1"/>
        </w:rPr>
        <w:t xml:space="preserve"> </w:t>
      </w:r>
      <w:r w:rsidRPr="001A3FB3">
        <w:rPr>
          <w:i/>
          <w:iCs/>
          <w:color w:val="000000" w:themeColor="text1"/>
        </w:rPr>
        <w:t>Wong</w:t>
      </w:r>
      <w:r w:rsidRPr="001A3FB3">
        <w:rPr>
          <w:color w:val="000000" w:themeColor="text1"/>
        </w:rPr>
        <w:t xml:space="preserve"> does not undermine </w:t>
      </w:r>
      <w:r w:rsidRPr="001A3FB3">
        <w:rPr>
          <w:i/>
          <w:iCs/>
          <w:color w:val="000000" w:themeColor="text1"/>
        </w:rPr>
        <w:t>Keenan</w:t>
      </w:r>
      <w:r w:rsidRPr="001A3FB3">
        <w:rPr>
          <w:color w:val="000000" w:themeColor="text1"/>
        </w:rPr>
        <w:t xml:space="preserve">; it restricts who can vindicate the </w:t>
      </w:r>
      <w:r w:rsidRPr="001A3FB3">
        <w:rPr>
          <w:i/>
          <w:iCs/>
          <w:color w:val="000000" w:themeColor="text1"/>
        </w:rPr>
        <w:t>Keenan</w:t>
      </w:r>
      <w:r w:rsidRPr="001A3FB3">
        <w:rPr>
          <w:color w:val="000000" w:themeColor="text1"/>
        </w:rPr>
        <w:t xml:space="preserve"> principle outside the constitutional posture. Defined-contribution participants and benefit-eligible workers in funds with explicit constitutional protections retain a viable enforcement pathway; defined-benefit participants in states without those protections may not.</w:t>
      </w:r>
    </w:p>
    <w:p w14:paraId="65CA844B" w14:textId="203AEB31" w:rsidR="005F5ACD" w:rsidRPr="001A3FB3" w:rsidRDefault="00000000">
      <w:pPr>
        <w:pStyle w:val="BodyText"/>
        <w:rPr>
          <w:color w:val="000000" w:themeColor="text1"/>
        </w:rPr>
      </w:pPr>
      <w:r w:rsidRPr="001A3FB3">
        <w:rPr>
          <w:i/>
          <w:iCs/>
          <w:color w:val="000000" w:themeColor="text1"/>
        </w:rPr>
        <w:t xml:space="preserve">Utah v. </w:t>
      </w:r>
      <w:proofErr w:type="spellStart"/>
      <w:r w:rsidRPr="001A3FB3">
        <w:rPr>
          <w:i/>
          <w:iCs/>
          <w:color w:val="000000" w:themeColor="text1"/>
        </w:rPr>
        <w:t>Micone</w:t>
      </w:r>
      <w:proofErr w:type="spellEnd"/>
      <w:r w:rsidRPr="001A3FB3">
        <w:rPr>
          <w:color w:val="000000" w:themeColor="text1"/>
        </w:rPr>
        <w:t xml:space="preserve">, decided after </w:t>
      </w:r>
      <w:r w:rsidRPr="001A3FB3">
        <w:rPr>
          <w:i/>
          <w:iCs/>
          <w:color w:val="000000" w:themeColor="text1"/>
        </w:rPr>
        <w:t>Loper Bright Enterprises v. Raimondo</w:t>
      </w:r>
      <w:r w:rsidRPr="001A3FB3">
        <w:rPr>
          <w:color w:val="000000" w:themeColor="text1"/>
        </w:rPr>
        <w:t>, sustained the Department of Labor</w:t>
      </w:r>
      <w:r w:rsidR="00B62085">
        <w:rPr>
          <w:color w:val="000000" w:themeColor="text1"/>
        </w:rPr>
        <w:t>’</w:t>
      </w:r>
      <w:r w:rsidRPr="001A3FB3">
        <w:rPr>
          <w:color w:val="000000" w:themeColor="text1"/>
        </w:rPr>
        <w:t>s 2022 rule clarifying that ERISA fiduciaries may consider climate-coded analytical inputs to the extent those inputs bear on financial materiality.</w:t>
      </w:r>
      <w:r w:rsidRPr="001A3FB3">
        <w:rPr>
          <w:rStyle w:val="FootnoteReference"/>
          <w:color w:val="000000" w:themeColor="text1"/>
        </w:rPr>
        <w:footnoteReference w:id="101"/>
      </w:r>
      <w:r w:rsidRPr="001A3FB3">
        <w:rPr>
          <w:color w:val="000000" w:themeColor="text1"/>
        </w:rPr>
        <w:t xml:space="preserve"> Judge Kacsmaryk</w:t>
      </w:r>
      <w:r w:rsidR="00B62085">
        <w:rPr>
          <w:color w:val="000000" w:themeColor="text1"/>
        </w:rPr>
        <w:t>’</w:t>
      </w:r>
      <w:r w:rsidRPr="001A3FB3">
        <w:rPr>
          <w:color w:val="000000" w:themeColor="text1"/>
        </w:rPr>
        <w:t>s reasoning, applying de novo statutory interpretation, treated such inputs as permissible analytical content rather than impermissible collateral objectives. For state-pension fiduciaries operating under their own enabling statutes, the federal posture supplies a comparative anchor: the same analytical inputs that the federal regime permits are the inputs that SAF tools categorically exclude. The contrast does not by itself decide the state-law question, but it helps frame the wave</w:t>
      </w:r>
      <w:r w:rsidR="00B62085">
        <w:rPr>
          <w:color w:val="000000" w:themeColor="text1"/>
        </w:rPr>
        <w:t>’</w:t>
      </w:r>
      <w:r w:rsidRPr="001A3FB3">
        <w:rPr>
          <w:color w:val="000000" w:themeColor="text1"/>
        </w:rPr>
        <w:t xml:space="preserve">s threshold-stage interventions as outliers rather than as ordinary fiduciary policing. </w:t>
      </w:r>
      <w:r w:rsidRPr="001A3FB3">
        <w:rPr>
          <w:i/>
          <w:iCs/>
          <w:color w:val="000000" w:themeColor="text1"/>
        </w:rPr>
        <w:t>Spence v. American Airlines</w:t>
      </w:r>
      <w:r w:rsidR="00B62085">
        <w:rPr>
          <w:color w:val="000000" w:themeColor="text1"/>
        </w:rPr>
        <w:t>—</w:t>
      </w:r>
      <w:r w:rsidRPr="001A3FB3">
        <w:rPr>
          <w:color w:val="000000" w:themeColor="text1"/>
        </w:rPr>
        <w:t>a single N.D. Tex. district-court decision that found loyalty breach but rejected prudence breach and awarded no monetary damages</w:t>
      </w:r>
      <w:r w:rsidR="00B62085">
        <w:rPr>
          <w:color w:val="000000" w:themeColor="text1"/>
        </w:rPr>
        <w:t>—</w:t>
      </w:r>
      <w:r w:rsidRPr="001A3FB3">
        <w:rPr>
          <w:color w:val="000000" w:themeColor="text1"/>
        </w:rPr>
        <w:t>shows that at least one federal court has treated coalition membership as relevant to loyalty-breach analysis. KY HB 236</w:t>
      </w:r>
      <w:r w:rsidR="00B62085">
        <w:rPr>
          <w:color w:val="000000" w:themeColor="text1"/>
        </w:rPr>
        <w:t>’</w:t>
      </w:r>
      <w:r w:rsidRPr="001A3FB3">
        <w:rPr>
          <w:color w:val="000000" w:themeColor="text1"/>
        </w:rPr>
        <w:t xml:space="preserve">s evidence-enumeration scheme </w:t>
      </w:r>
      <w:r w:rsidRPr="001A3FB3">
        <w:rPr>
          <w:i/>
          <w:iCs/>
          <w:color w:val="000000" w:themeColor="text1"/>
        </w:rPr>
        <w:t>statutorily</w:t>
      </w:r>
      <w:r w:rsidRPr="001A3FB3">
        <w:rPr>
          <w:color w:val="000000" w:themeColor="text1"/>
        </w:rPr>
        <w:t xml:space="preserve"> converts coalition membership into evidence of fiduciary violation; </w:t>
      </w:r>
      <w:r w:rsidRPr="001A3FB3">
        <w:rPr>
          <w:i/>
          <w:iCs/>
          <w:color w:val="000000" w:themeColor="text1"/>
        </w:rPr>
        <w:t>Spence</w:t>
      </w:r>
      <w:r w:rsidRPr="001A3FB3">
        <w:rPr>
          <w:color w:val="000000" w:themeColor="text1"/>
        </w:rPr>
        <w:t xml:space="preserve"> does not establish that Evidentiary Conversion is constitutionally or doctrinally validated, but it confirms the analytical move is judicially intelligible. </w:t>
      </w:r>
      <w:r w:rsidRPr="001A3FB3">
        <w:rPr>
          <w:i/>
          <w:iCs/>
          <w:color w:val="000000" w:themeColor="text1"/>
        </w:rPr>
        <w:t>Spence</w:t>
      </w:r>
      <w:r w:rsidR="00B62085">
        <w:rPr>
          <w:color w:val="000000" w:themeColor="text1"/>
        </w:rPr>
        <w:t>’</w:t>
      </w:r>
      <w:r w:rsidRPr="001A3FB3">
        <w:rPr>
          <w:color w:val="000000" w:themeColor="text1"/>
        </w:rPr>
        <w:t xml:space="preserve">s September 30, </w:t>
      </w:r>
      <w:proofErr w:type="gramStart"/>
      <w:r w:rsidRPr="001A3FB3">
        <w:rPr>
          <w:color w:val="000000" w:themeColor="text1"/>
        </w:rPr>
        <w:t>2025</w:t>
      </w:r>
      <w:proofErr w:type="gramEnd"/>
      <w:r w:rsidRPr="001A3FB3">
        <w:rPr>
          <w:color w:val="000000" w:themeColor="text1"/>
        </w:rPr>
        <w:t xml:space="preserve"> final judgment</w:t>
      </w:r>
      <w:r w:rsidR="00B62085">
        <w:rPr>
          <w:color w:val="000000" w:themeColor="text1"/>
        </w:rPr>
        <w:t>—</w:t>
      </w:r>
      <w:r w:rsidRPr="001A3FB3">
        <w:rPr>
          <w:color w:val="000000" w:themeColor="text1"/>
        </w:rPr>
        <w:t>providing targeted equitable relief; the court denied monetary damages</w:t>
      </w:r>
      <w:r w:rsidR="00B62085">
        <w:rPr>
          <w:color w:val="000000" w:themeColor="text1"/>
        </w:rPr>
        <w:t>—</w:t>
      </w:r>
      <w:r w:rsidRPr="001A3FB3">
        <w:rPr>
          <w:color w:val="000000" w:themeColor="text1"/>
        </w:rPr>
        <w:t>mirrors the coalition-as-evidence design cataloged at §II.C from the federal-equitable side, requiring publication of Plan-affiliated coalition memberships.</w:t>
      </w:r>
      <w:r w:rsidRPr="001A3FB3">
        <w:rPr>
          <w:rStyle w:val="FootnoteReference"/>
          <w:color w:val="000000" w:themeColor="text1"/>
        </w:rPr>
        <w:footnoteReference w:id="102"/>
      </w:r>
    </w:p>
    <w:p w14:paraId="254215F4" w14:textId="77777777" w:rsidR="005F5ACD" w:rsidRPr="001A3FB3" w:rsidRDefault="00000000">
      <w:pPr>
        <w:pStyle w:val="BodyText"/>
        <w:rPr>
          <w:color w:val="000000" w:themeColor="text1"/>
        </w:rPr>
      </w:pPr>
      <w:r w:rsidRPr="001A3FB3">
        <w:rPr>
          <w:color w:val="000000" w:themeColor="text1"/>
        </w:rPr>
        <w:t>The same exclusive-purpose review applies by mechanism to Pro-side divestment overrides; Maine LD 99 § 1957(3) is the parallel case (Part V).</w:t>
      </w:r>
      <w:r w:rsidRPr="001A3FB3">
        <w:rPr>
          <w:rStyle w:val="FootnoteReference"/>
          <w:color w:val="000000" w:themeColor="text1"/>
        </w:rPr>
        <w:footnoteReference w:id="103"/>
      </w:r>
    </w:p>
    <w:p w14:paraId="7350E9E9" w14:textId="77777777" w:rsidR="005F5ACD" w:rsidRPr="001A3FB3" w:rsidRDefault="00000000" w:rsidP="001A3FB3">
      <w:pPr>
        <w:pStyle w:val="Heading2"/>
      </w:pPr>
      <w:bookmarkStart w:id="40" w:name="X8f1c5769b14e6b22592f7673020006dce7829d3"/>
      <w:bookmarkStart w:id="41" w:name="_Toc229502270"/>
      <w:bookmarkEnd w:id="38"/>
      <w:r w:rsidRPr="001A3FB3">
        <w:t>§III.C State-Money Leverage and Unconstitutional Conditions</w:t>
      </w:r>
      <w:bookmarkEnd w:id="41"/>
    </w:p>
    <w:p w14:paraId="022A794C" w14:textId="77777777" w:rsidR="005F5ACD" w:rsidRPr="001A3FB3" w:rsidRDefault="00000000">
      <w:pPr>
        <w:pStyle w:val="FirstParagraph"/>
        <w:rPr>
          <w:color w:val="000000" w:themeColor="text1"/>
        </w:rPr>
      </w:pPr>
      <w:r w:rsidRPr="001A3FB3">
        <w:rPr>
          <w:color w:val="000000" w:themeColor="text1"/>
        </w:rPr>
        <w:t xml:space="preserve">The procurement and state-money channel </w:t>
      </w:r>
      <w:proofErr w:type="gramStart"/>
      <w:r w:rsidRPr="001A3FB3">
        <w:rPr>
          <w:color w:val="000000" w:themeColor="text1"/>
        </w:rPr>
        <w:t>implicates</w:t>
      </w:r>
      <w:proofErr w:type="gramEnd"/>
      <w:r w:rsidRPr="001A3FB3">
        <w:rPr>
          <w:color w:val="000000" w:themeColor="text1"/>
        </w:rPr>
        <w:t xml:space="preserve"> a denser First Amendment cluster than the pension channel. </w:t>
      </w:r>
      <w:r w:rsidRPr="001A3FB3">
        <w:rPr>
          <w:i/>
          <w:iCs/>
          <w:color w:val="000000" w:themeColor="text1"/>
        </w:rPr>
        <w:t>NRA v. Vullo</w:t>
      </w:r>
      <w:r w:rsidRPr="001A3FB3">
        <w:rPr>
          <w:color w:val="000000" w:themeColor="text1"/>
        </w:rPr>
        <w:t xml:space="preserve"> held in 2024 that a state official violates the First Amendment when she uses regulatory leverage to coerce private parties into refraining from associating with disfavored expressive groups; the Court articulated a four-factor coercion test running back through </w:t>
      </w:r>
      <w:r w:rsidRPr="001A3FB3">
        <w:rPr>
          <w:i/>
          <w:iCs/>
          <w:color w:val="000000" w:themeColor="text1"/>
        </w:rPr>
        <w:t>Bantam Books</w:t>
      </w:r>
      <w:r w:rsidRPr="001A3FB3">
        <w:rPr>
          <w:color w:val="000000" w:themeColor="text1"/>
        </w:rPr>
        <w:t xml:space="preserve"> and </w:t>
      </w:r>
      <w:r w:rsidRPr="001A3FB3">
        <w:rPr>
          <w:i/>
          <w:iCs/>
          <w:color w:val="000000" w:themeColor="text1"/>
        </w:rPr>
        <w:t>Speiser</w:t>
      </w:r>
      <w:r w:rsidRPr="001A3FB3">
        <w:rPr>
          <w:color w:val="000000" w:themeColor="text1"/>
        </w:rPr>
        <w:t>.</w:t>
      </w:r>
      <w:r w:rsidRPr="001A3FB3">
        <w:rPr>
          <w:rStyle w:val="FootnoteReference"/>
          <w:color w:val="000000" w:themeColor="text1"/>
        </w:rPr>
        <w:footnoteReference w:id="104"/>
      </w:r>
    </w:p>
    <w:p w14:paraId="327C106F" w14:textId="212FB865" w:rsidR="005F5ACD" w:rsidRPr="001A3FB3" w:rsidRDefault="00000000">
      <w:pPr>
        <w:pStyle w:val="BodyText"/>
        <w:rPr>
          <w:color w:val="000000" w:themeColor="text1"/>
        </w:rPr>
      </w:pPr>
      <w:r w:rsidRPr="001A3FB3">
        <w:rPr>
          <w:i/>
          <w:iCs/>
          <w:color w:val="000000" w:themeColor="text1"/>
        </w:rPr>
        <w:t>ASBC v. Hegar</w:t>
      </w:r>
      <w:r w:rsidRPr="001A3FB3">
        <w:rPr>
          <w:color w:val="000000" w:themeColor="text1"/>
        </w:rPr>
        <w:t xml:space="preserve"> supplies the procurement/state-money anchor on grounds narrower than </w:t>
      </w:r>
      <w:r w:rsidRPr="001A3FB3">
        <w:rPr>
          <w:i/>
          <w:iCs/>
          <w:color w:val="000000" w:themeColor="text1"/>
        </w:rPr>
        <w:t>Vullo</w:t>
      </w:r>
      <w:r w:rsidRPr="001A3FB3">
        <w:rPr>
          <w:color w:val="000000" w:themeColor="text1"/>
        </w:rPr>
        <w:t xml:space="preserve"> or </w:t>
      </w:r>
      <w:proofErr w:type="spellStart"/>
      <w:r w:rsidRPr="001A3FB3">
        <w:rPr>
          <w:i/>
          <w:iCs/>
          <w:color w:val="000000" w:themeColor="text1"/>
        </w:rPr>
        <w:t>Wunnicke</w:t>
      </w:r>
      <w:proofErr w:type="spellEnd"/>
      <w:r w:rsidRPr="001A3FB3">
        <w:rPr>
          <w:color w:val="000000" w:themeColor="text1"/>
        </w:rPr>
        <w:t>: in February 2026 the Western District of Texas enjoined Texas Government Code Chapter 809</w:t>
      </w:r>
      <w:r w:rsidR="00B62085">
        <w:rPr>
          <w:color w:val="000000" w:themeColor="text1"/>
        </w:rPr>
        <w:t>’</w:t>
      </w:r>
      <w:r w:rsidRPr="001A3FB3">
        <w:rPr>
          <w:color w:val="000000" w:themeColor="text1"/>
        </w:rPr>
        <w:t>s designated-list scheme on First Amendment overbreadth and Fourteenth Amendment vagueness grounds.</w:t>
      </w:r>
      <w:r w:rsidRPr="001A3FB3">
        <w:rPr>
          <w:rStyle w:val="FootnoteReference"/>
          <w:color w:val="000000" w:themeColor="text1"/>
        </w:rPr>
        <w:footnoteReference w:id="105"/>
      </w:r>
      <w:r w:rsidRPr="001A3FB3">
        <w:rPr>
          <w:color w:val="000000" w:themeColor="text1"/>
        </w:rPr>
        <w:t xml:space="preserve"> The </w:t>
      </w:r>
      <w:r w:rsidRPr="001A3FB3">
        <w:rPr>
          <w:i/>
          <w:iCs/>
          <w:color w:val="000000" w:themeColor="text1"/>
        </w:rPr>
        <w:t>ASBC</w:t>
      </w:r>
      <w:r w:rsidRPr="001A3FB3">
        <w:rPr>
          <w:color w:val="000000" w:themeColor="text1"/>
        </w:rPr>
        <w:t xml:space="preserve"> court found that the designation methodology </w:t>
      </w:r>
      <w:r w:rsidR="00B62085">
        <w:rPr>
          <w:color w:val="000000" w:themeColor="text1"/>
        </w:rPr>
        <w:t>“</w:t>
      </w:r>
      <w:r w:rsidRPr="001A3FB3">
        <w:rPr>
          <w:color w:val="000000" w:themeColor="text1"/>
        </w:rPr>
        <w:t>forces [the plaintiff investment advisers] to choose between their First Amendment rights and the ability to compete for and receive investments from the State,</w:t>
      </w:r>
      <w:r w:rsidR="00B62085">
        <w:rPr>
          <w:color w:val="000000" w:themeColor="text1"/>
        </w:rPr>
        <w:t>”</w:t>
      </w:r>
      <w:r w:rsidRPr="001A3FB3">
        <w:rPr>
          <w:color w:val="000000" w:themeColor="text1"/>
        </w:rPr>
        <w:t xml:space="preserve"> and recorded that the Texas Comptroller </w:t>
      </w:r>
      <w:r w:rsidR="00B62085">
        <w:rPr>
          <w:color w:val="000000" w:themeColor="text1"/>
        </w:rPr>
        <w:t>“</w:t>
      </w:r>
      <w:r w:rsidRPr="001A3FB3">
        <w:rPr>
          <w:color w:val="000000" w:themeColor="text1"/>
        </w:rPr>
        <w:t>has publicly stated that companies can be removed from the blacklist if they discontinue their membership with associations that advocate for sustainable investing.</w:t>
      </w:r>
      <w:r w:rsidR="00B62085">
        <w:rPr>
          <w:color w:val="000000" w:themeColor="text1"/>
        </w:rPr>
        <w:t>”</w:t>
      </w:r>
      <w:r w:rsidRPr="001A3FB3">
        <w:rPr>
          <w:rStyle w:val="FootnoteReference"/>
          <w:color w:val="000000" w:themeColor="text1"/>
        </w:rPr>
        <w:footnoteReference w:id="106"/>
      </w:r>
      <w:r w:rsidRPr="001A3FB3">
        <w:rPr>
          <w:color w:val="000000" w:themeColor="text1"/>
        </w:rPr>
        <w:t xml:space="preserve"> The decision is on appeal in the Fifth Circuit (No. 26-50111) and will produce the first appellate merits ruling on a state Anti-ESG designation regime.</w:t>
      </w:r>
      <w:r w:rsidRPr="001A3FB3">
        <w:rPr>
          <w:rStyle w:val="FootnoteReference"/>
          <w:color w:val="000000" w:themeColor="text1"/>
        </w:rPr>
        <w:footnoteReference w:id="107"/>
      </w:r>
    </w:p>
    <w:p w14:paraId="5C8F322A" w14:textId="2E08C8A6" w:rsidR="005F5ACD" w:rsidRPr="001A3FB3" w:rsidRDefault="00000000">
      <w:pPr>
        <w:pStyle w:val="BodyText"/>
        <w:rPr>
          <w:color w:val="000000" w:themeColor="text1"/>
        </w:rPr>
      </w:pPr>
      <w:r w:rsidRPr="001A3FB3">
        <w:rPr>
          <w:color w:val="000000" w:themeColor="text1"/>
        </w:rPr>
        <w:t xml:space="preserve">The </w:t>
      </w:r>
      <w:r w:rsidRPr="001A3FB3">
        <w:rPr>
          <w:i/>
          <w:iCs/>
          <w:color w:val="000000" w:themeColor="text1"/>
        </w:rPr>
        <w:t>Vullo</w:t>
      </w:r>
      <w:r w:rsidRPr="001A3FB3">
        <w:rPr>
          <w:color w:val="000000" w:themeColor="text1"/>
        </w:rPr>
        <w:t xml:space="preserve"> unconstitutional-conditions frame and the </w:t>
      </w:r>
      <w:proofErr w:type="spellStart"/>
      <w:r w:rsidRPr="001A3FB3">
        <w:rPr>
          <w:i/>
          <w:iCs/>
          <w:color w:val="000000" w:themeColor="text1"/>
        </w:rPr>
        <w:t>Wunnicke</w:t>
      </w:r>
      <w:proofErr w:type="spellEnd"/>
      <w:r w:rsidRPr="001A3FB3">
        <w:rPr>
          <w:color w:val="000000" w:themeColor="text1"/>
        </w:rPr>
        <w:t xml:space="preserve"> downstream-market frame apply to the same firmwide-reach design as supplementary doctrinal lenses; </w:t>
      </w:r>
      <w:r w:rsidRPr="001A3FB3">
        <w:rPr>
          <w:i/>
          <w:iCs/>
          <w:color w:val="000000" w:themeColor="text1"/>
        </w:rPr>
        <w:t>ASBC</w:t>
      </w:r>
      <w:r w:rsidR="00B62085">
        <w:rPr>
          <w:color w:val="000000" w:themeColor="text1"/>
        </w:rPr>
        <w:t>’</w:t>
      </w:r>
      <w:r w:rsidRPr="001A3FB3">
        <w:rPr>
          <w:color w:val="000000" w:themeColor="text1"/>
        </w:rPr>
        <w:t>s overbreadth and vagueness holdings do not displace them.</w:t>
      </w:r>
      <w:r w:rsidRPr="001A3FB3">
        <w:rPr>
          <w:rStyle w:val="FootnoteReference"/>
          <w:color w:val="000000" w:themeColor="text1"/>
        </w:rPr>
        <w:footnoteReference w:id="108"/>
      </w:r>
    </w:p>
    <w:p w14:paraId="7C845CCE" w14:textId="7BA8F842" w:rsidR="005F5ACD" w:rsidRPr="001A3FB3" w:rsidRDefault="00000000">
      <w:pPr>
        <w:pStyle w:val="BodyText"/>
        <w:rPr>
          <w:color w:val="000000" w:themeColor="text1"/>
        </w:rPr>
      </w:pPr>
      <w:r w:rsidRPr="001A3FB3">
        <w:rPr>
          <w:i/>
          <w:iCs/>
          <w:color w:val="000000" w:themeColor="text1"/>
        </w:rPr>
        <w:t xml:space="preserve">South-Central Timber Development, Inc. v. </w:t>
      </w:r>
      <w:proofErr w:type="spellStart"/>
      <w:r w:rsidRPr="001A3FB3">
        <w:rPr>
          <w:i/>
          <w:iCs/>
          <w:color w:val="000000" w:themeColor="text1"/>
        </w:rPr>
        <w:t>Wunnicke</w:t>
      </w:r>
      <w:proofErr w:type="spellEnd"/>
      <w:r w:rsidRPr="001A3FB3">
        <w:rPr>
          <w:color w:val="000000" w:themeColor="text1"/>
        </w:rPr>
        <w:t xml:space="preserve"> limits market-participant immunity to conditions on the State</w:t>
      </w:r>
      <w:r w:rsidR="00B62085">
        <w:rPr>
          <w:color w:val="000000" w:themeColor="text1"/>
        </w:rPr>
        <w:t>’</w:t>
      </w:r>
      <w:r w:rsidRPr="001A3FB3">
        <w:rPr>
          <w:color w:val="000000" w:themeColor="text1"/>
        </w:rPr>
        <w:t>s own commercial transactions; it does not extend to conditions that steer trading partners</w:t>
      </w:r>
      <w:r w:rsidR="00B62085">
        <w:rPr>
          <w:color w:val="000000" w:themeColor="text1"/>
        </w:rPr>
        <w:t>’</w:t>
      </w:r>
      <w:r w:rsidRPr="001A3FB3">
        <w:rPr>
          <w:color w:val="000000" w:themeColor="text1"/>
        </w:rPr>
        <w:t xml:space="preserve"> conduct in markets the State does not participate in.</w:t>
      </w:r>
      <w:r w:rsidRPr="001A3FB3">
        <w:rPr>
          <w:rStyle w:val="FootnoteReference"/>
          <w:color w:val="000000" w:themeColor="text1"/>
        </w:rPr>
        <w:footnoteReference w:id="109"/>
      </w:r>
      <w:r w:rsidRPr="001A3FB3">
        <w:rPr>
          <w:color w:val="000000" w:themeColor="text1"/>
        </w:rPr>
        <w:t xml:space="preserve"> A statute disqualifying a financial institution from state pension business because of its nationwide investment-management conduct is not policing the state</w:t>
      </w:r>
      <w:r w:rsidR="00B62085">
        <w:rPr>
          <w:color w:val="000000" w:themeColor="text1"/>
        </w:rPr>
        <w:t>’</w:t>
      </w:r>
      <w:r w:rsidRPr="001A3FB3">
        <w:rPr>
          <w:color w:val="000000" w:themeColor="text1"/>
        </w:rPr>
        <w:t>s market role. Procurement dress does not restore market-participant immunity.</w:t>
      </w:r>
    </w:p>
    <w:p w14:paraId="7CE94C15" w14:textId="37443F5B" w:rsidR="005F5ACD" w:rsidRPr="001A3FB3" w:rsidRDefault="00000000">
      <w:pPr>
        <w:pStyle w:val="BodyText"/>
        <w:rPr>
          <w:color w:val="000000" w:themeColor="text1"/>
        </w:rPr>
      </w:pPr>
      <w:r w:rsidRPr="001A3FB3">
        <w:rPr>
          <w:i/>
          <w:iCs/>
          <w:color w:val="000000" w:themeColor="text1"/>
        </w:rPr>
        <w:t>Vullo</w:t>
      </w:r>
      <w:r w:rsidRPr="001A3FB3">
        <w:rPr>
          <w:color w:val="000000" w:themeColor="text1"/>
        </w:rPr>
        <w:t xml:space="preserve"> adds what </w:t>
      </w:r>
      <w:proofErr w:type="spellStart"/>
      <w:r w:rsidRPr="001A3FB3">
        <w:rPr>
          <w:i/>
          <w:iCs/>
          <w:color w:val="000000" w:themeColor="text1"/>
        </w:rPr>
        <w:t>Wunnicke</w:t>
      </w:r>
      <w:proofErr w:type="spellEnd"/>
      <w:r w:rsidRPr="001A3FB3">
        <w:rPr>
          <w:color w:val="000000" w:themeColor="text1"/>
        </w:rPr>
        <w:t xml:space="preserve"> does not capture. Even within market-participant posture, conditioning a transaction on the firm</w:t>
      </w:r>
      <w:r w:rsidR="00B62085">
        <w:rPr>
          <w:color w:val="000000" w:themeColor="text1"/>
        </w:rPr>
        <w:t>’</w:t>
      </w:r>
      <w:r w:rsidRPr="001A3FB3">
        <w:rPr>
          <w:color w:val="000000" w:themeColor="text1"/>
        </w:rPr>
        <w:t>s expressive conduct—joining or refraining from a coalition, public statements on climate-transition risk, revising non-state-related disclosures—converts the transaction into an unconstitutional condition.</w:t>
      </w:r>
      <w:r w:rsidRPr="001A3FB3">
        <w:rPr>
          <w:rStyle w:val="FootnoteReference"/>
          <w:color w:val="000000" w:themeColor="text1"/>
        </w:rPr>
        <w:footnoteReference w:id="110"/>
      </w:r>
    </w:p>
    <w:p w14:paraId="1D18CE92" w14:textId="0B9A50B8" w:rsidR="005F5ACD" w:rsidRPr="001A3FB3" w:rsidRDefault="00000000">
      <w:pPr>
        <w:pStyle w:val="BodyText"/>
        <w:rPr>
          <w:color w:val="000000" w:themeColor="text1"/>
        </w:rPr>
      </w:pPr>
      <w:r w:rsidRPr="001A3FB3">
        <w:rPr>
          <w:color w:val="000000" w:themeColor="text1"/>
        </w:rPr>
        <w:t xml:space="preserve">The </w:t>
      </w:r>
      <w:r w:rsidRPr="001A3FB3">
        <w:rPr>
          <w:i/>
          <w:iCs/>
          <w:color w:val="000000" w:themeColor="text1"/>
        </w:rPr>
        <w:t>Vullo</w:t>
      </w:r>
      <w:r w:rsidRPr="001A3FB3">
        <w:rPr>
          <w:color w:val="000000" w:themeColor="text1"/>
        </w:rPr>
        <w:t xml:space="preserve"> coercion analysis reaches statutes that include savings clauses where the carveout is nominal in practice: </w:t>
      </w:r>
      <w:r w:rsidRPr="001A3FB3">
        <w:rPr>
          <w:i/>
          <w:iCs/>
          <w:color w:val="000000" w:themeColor="text1"/>
        </w:rPr>
        <w:t>ASBC</w:t>
      </w:r>
      <w:r w:rsidR="00B62085">
        <w:rPr>
          <w:color w:val="000000" w:themeColor="text1"/>
        </w:rPr>
        <w:t>’</w:t>
      </w:r>
      <w:r w:rsidRPr="001A3FB3">
        <w:rPr>
          <w:color w:val="000000" w:themeColor="text1"/>
        </w:rPr>
        <w:t>s enforcement record confirms that the Texas Comptroller conditioned removal from the designated list on a firm</w:t>
      </w:r>
      <w:r w:rsidR="00B62085">
        <w:rPr>
          <w:color w:val="000000" w:themeColor="text1"/>
        </w:rPr>
        <w:t>’</w:t>
      </w:r>
      <w:r w:rsidRPr="001A3FB3">
        <w:rPr>
          <w:color w:val="000000" w:themeColor="text1"/>
        </w:rPr>
        <w:t>s discontinuing coalition memberships rather than on demonstrating an ordinary-business-purpose basis, converting the carveout into a behavioral-compliance command.</w:t>
      </w:r>
      <w:r w:rsidRPr="001A3FB3">
        <w:rPr>
          <w:rStyle w:val="FootnoteReference"/>
          <w:color w:val="000000" w:themeColor="text1"/>
        </w:rPr>
        <w:footnoteReference w:id="111"/>
      </w:r>
      <w:r w:rsidRPr="001A3FB3">
        <w:rPr>
          <w:color w:val="000000" w:themeColor="text1"/>
        </w:rPr>
        <w:t xml:space="preserve"> The Dormant Commerce Clause is a parallel but secondary frame; procurement statutes in this wave are unlikely to fail DCC review independently of First Amendment adjudication.</w:t>
      </w:r>
      <w:r w:rsidRPr="001A3FB3">
        <w:rPr>
          <w:rStyle w:val="FootnoteReference"/>
          <w:color w:val="000000" w:themeColor="text1"/>
        </w:rPr>
        <w:footnoteReference w:id="112"/>
      </w:r>
    </w:p>
    <w:p w14:paraId="5BB98424" w14:textId="2B4C057D" w:rsidR="005F5ACD" w:rsidRPr="001A3FB3" w:rsidRDefault="00000000">
      <w:pPr>
        <w:pStyle w:val="BodyText"/>
        <w:rPr>
          <w:color w:val="000000" w:themeColor="text1"/>
        </w:rPr>
      </w:pPr>
      <w:r w:rsidRPr="001A3FB3">
        <w:rPr>
          <w:color w:val="000000" w:themeColor="text1"/>
        </w:rPr>
        <w:t>A Pro-side procurement preference that conditioned eligibility on a firm</w:t>
      </w:r>
      <w:r w:rsidR="00B62085">
        <w:rPr>
          <w:color w:val="000000" w:themeColor="text1"/>
        </w:rPr>
        <w:t>’</w:t>
      </w:r>
      <w:r w:rsidRPr="001A3FB3">
        <w:rPr>
          <w:color w:val="000000" w:themeColor="text1"/>
        </w:rPr>
        <w:t xml:space="preserve">s nationwide net-zero coalition memberships or internal decarbonization targets would face the same </w:t>
      </w:r>
      <w:r w:rsidRPr="001A3FB3">
        <w:rPr>
          <w:i/>
          <w:iCs/>
          <w:color w:val="000000" w:themeColor="text1"/>
        </w:rPr>
        <w:t>Vullo</w:t>
      </w:r>
      <w:r w:rsidRPr="001A3FB3">
        <w:rPr>
          <w:color w:val="000000" w:themeColor="text1"/>
        </w:rPr>
        <w:t xml:space="preserve"> analysis.</w:t>
      </w:r>
      <w:r w:rsidRPr="001A3FB3">
        <w:rPr>
          <w:rStyle w:val="FootnoteReference"/>
          <w:color w:val="000000" w:themeColor="text1"/>
        </w:rPr>
        <w:footnoteReference w:id="113"/>
      </w:r>
    </w:p>
    <w:p w14:paraId="770F2F64" w14:textId="77777777" w:rsidR="005F5ACD" w:rsidRPr="001A3FB3" w:rsidRDefault="00000000" w:rsidP="001A3FB3">
      <w:pPr>
        <w:pStyle w:val="Heading2"/>
      </w:pPr>
      <w:bookmarkStart w:id="42" w:name="X32e2fe2c4f697725b092fe4dfad41eb5f8d3e41"/>
      <w:bookmarkStart w:id="43" w:name="_Toc229502271"/>
      <w:bookmarkEnd w:id="40"/>
      <w:r w:rsidRPr="001A3FB3">
        <w:t>§III.D Proxy, Disclosure, and Compelled Speech</w:t>
      </w:r>
      <w:bookmarkEnd w:id="43"/>
    </w:p>
    <w:p w14:paraId="1C9A1920" w14:textId="1F6378B3" w:rsidR="005F5ACD" w:rsidRPr="001A3FB3" w:rsidRDefault="00000000">
      <w:pPr>
        <w:pStyle w:val="FirstParagraph"/>
        <w:rPr>
          <w:color w:val="000000" w:themeColor="text1"/>
        </w:rPr>
      </w:pPr>
      <w:r w:rsidRPr="001A3FB3">
        <w:rPr>
          <w:color w:val="000000" w:themeColor="text1"/>
        </w:rPr>
        <w:t>The proxy-and-stewardship channel produces the wave</w:t>
      </w:r>
      <w:r w:rsidR="00B62085">
        <w:rPr>
          <w:color w:val="000000" w:themeColor="text1"/>
        </w:rPr>
        <w:t>’</w:t>
      </w:r>
      <w:r w:rsidRPr="001A3FB3">
        <w:rPr>
          <w:color w:val="000000" w:themeColor="text1"/>
        </w:rPr>
        <w:t xml:space="preserve">s densest compelled-speech litigation, and the binding anchors are recent. The W.D. Tex. preliminary injunctions issued August 29, 2025, in </w:t>
      </w:r>
      <w:r w:rsidRPr="001A3FB3">
        <w:rPr>
          <w:i/>
          <w:iCs/>
          <w:color w:val="000000" w:themeColor="text1"/>
        </w:rPr>
        <w:t>Glass Lewis &amp; Co. v. Paxton</w:t>
      </w:r>
      <w:r w:rsidRPr="001A3FB3">
        <w:rPr>
          <w:color w:val="000000" w:themeColor="text1"/>
        </w:rPr>
        <w:t xml:space="preserve"> and </w:t>
      </w:r>
      <w:r w:rsidRPr="001A3FB3">
        <w:rPr>
          <w:i/>
          <w:iCs/>
          <w:color w:val="000000" w:themeColor="text1"/>
        </w:rPr>
        <w:t>Institutional Shareholder Services, Inc. v. Paxton</w:t>
      </w:r>
      <w:r w:rsidRPr="001A3FB3">
        <w:rPr>
          <w:color w:val="000000" w:themeColor="text1"/>
        </w:rPr>
        <w:t xml:space="preserve"> enjoined Texas Senate Bill 2337</w:t>
      </w:r>
      <w:r w:rsidR="00B62085">
        <w:rPr>
          <w:color w:val="000000" w:themeColor="text1"/>
        </w:rPr>
        <w:t>’</w:t>
      </w:r>
      <w:r w:rsidRPr="001A3FB3">
        <w:rPr>
          <w:color w:val="000000" w:themeColor="text1"/>
        </w:rPr>
        <w:t>s written-financial-analysis duty as applied to proxy advisers.</w:t>
      </w:r>
      <w:r w:rsidRPr="001A3FB3">
        <w:rPr>
          <w:rStyle w:val="FootnoteReference"/>
          <w:color w:val="000000" w:themeColor="text1"/>
        </w:rPr>
        <w:footnoteReference w:id="114"/>
      </w:r>
      <w:r w:rsidRPr="001A3FB3">
        <w:rPr>
          <w:color w:val="000000" w:themeColor="text1"/>
        </w:rPr>
        <w:t xml:space="preserve"> The statute requires a proxy adviser to file, with each recommendation against company management, an affirmative written analysis articulating the recommendation</w:t>
      </w:r>
      <w:r w:rsidR="00B62085">
        <w:rPr>
          <w:color w:val="000000" w:themeColor="text1"/>
        </w:rPr>
        <w:t>’</w:t>
      </w:r>
      <w:r w:rsidRPr="001A3FB3">
        <w:rPr>
          <w:color w:val="000000" w:themeColor="text1"/>
        </w:rPr>
        <w:t>s pecuniary basis. The asymmetry is structural: the duty attaches only to recommendations against management, not to recommendations supporting management or to abstentions, and the cost of producing the required filings on a per-recommendation basis would, on the plaintiffs</w:t>
      </w:r>
      <w:r w:rsidR="00B62085">
        <w:rPr>
          <w:color w:val="000000" w:themeColor="text1"/>
        </w:rPr>
        <w:t>’</w:t>
      </w:r>
      <w:r w:rsidRPr="001A3FB3">
        <w:rPr>
          <w:color w:val="000000" w:themeColor="text1"/>
        </w:rPr>
        <w:t xml:space="preserve"> showing, materially raise the operating cost of proxy-advisory services in Texas-related markets. The burden is not just a Texas-market cost: because proxy advice is produced through scaled research and client-delivery systems, SB 2337 forces either a separate Texas-compliance track or broader changes to the adviser</w:t>
      </w:r>
      <w:r w:rsidR="00B62085">
        <w:rPr>
          <w:color w:val="000000" w:themeColor="text1"/>
        </w:rPr>
        <w:t>’</w:t>
      </w:r>
      <w:r w:rsidRPr="001A3FB3">
        <w:rPr>
          <w:color w:val="000000" w:themeColor="text1"/>
        </w:rPr>
        <w:t>s recommendation process, threatening the economics of the proxy-advisory model itself.</w:t>
      </w:r>
      <w:r w:rsidRPr="001A3FB3">
        <w:rPr>
          <w:rStyle w:val="FootnoteReference"/>
          <w:color w:val="000000" w:themeColor="text1"/>
        </w:rPr>
        <w:footnoteReference w:id="115"/>
      </w:r>
      <w:r w:rsidRPr="001A3FB3">
        <w:rPr>
          <w:color w:val="000000" w:themeColor="text1"/>
        </w:rPr>
        <w:t xml:space="preserve"> The structural asymmetry—attaching only to recommendations against management—is the core basis for the compelled-speech analysis; a symmetric duty would face a different and weaker objection.</w:t>
      </w:r>
    </w:p>
    <w:p w14:paraId="5EC29599" w14:textId="124823CF" w:rsidR="005F5ACD" w:rsidRPr="001A3FB3" w:rsidRDefault="00000000">
      <w:pPr>
        <w:pStyle w:val="BodyText"/>
        <w:rPr>
          <w:color w:val="000000" w:themeColor="text1"/>
        </w:rPr>
      </w:pPr>
      <w:r w:rsidRPr="001A3FB3">
        <w:rPr>
          <w:color w:val="000000" w:themeColor="text1"/>
        </w:rPr>
        <w:t xml:space="preserve">The doctrinal frame for that injunction runs through </w:t>
      </w:r>
      <w:r w:rsidRPr="001A3FB3">
        <w:rPr>
          <w:i/>
          <w:iCs/>
          <w:color w:val="000000" w:themeColor="text1"/>
        </w:rPr>
        <w:t>Zauderer v. Office of Disciplinary Counsel</w:t>
      </w:r>
      <w:r w:rsidRPr="001A3FB3">
        <w:rPr>
          <w:color w:val="000000" w:themeColor="text1"/>
        </w:rPr>
        <w:t xml:space="preserve">, which permits compelled disclosure of </w:t>
      </w:r>
      <w:r w:rsidR="00B62085">
        <w:rPr>
          <w:color w:val="000000" w:themeColor="text1"/>
        </w:rPr>
        <w:t>“</w:t>
      </w:r>
      <w:r w:rsidRPr="001A3FB3">
        <w:rPr>
          <w:color w:val="000000" w:themeColor="text1"/>
        </w:rPr>
        <w:t>purely factual and uncontroversial information</w:t>
      </w:r>
      <w:r w:rsidR="00B62085">
        <w:rPr>
          <w:color w:val="000000" w:themeColor="text1"/>
        </w:rPr>
        <w:t>”</w:t>
      </w:r>
      <w:r w:rsidRPr="001A3FB3">
        <w:rPr>
          <w:color w:val="000000" w:themeColor="text1"/>
        </w:rPr>
        <w:t xml:space="preserve"> reasonably related to a substantial state interest, and </w:t>
      </w:r>
      <w:r w:rsidRPr="001A3FB3">
        <w:rPr>
          <w:i/>
          <w:iCs/>
          <w:color w:val="000000" w:themeColor="text1"/>
        </w:rPr>
        <w:t>NIFLA v. Becerra</w:t>
      </w:r>
      <w:r w:rsidRPr="001A3FB3">
        <w:rPr>
          <w:color w:val="000000" w:themeColor="text1"/>
        </w:rPr>
        <w:t>, which sharpened the line between such factual disclosures and impermissibly compelled interpretive narrative.</w:t>
      </w:r>
      <w:r w:rsidRPr="001A3FB3">
        <w:rPr>
          <w:rStyle w:val="FootnoteReference"/>
          <w:color w:val="000000" w:themeColor="text1"/>
        </w:rPr>
        <w:footnoteReference w:id="116"/>
      </w:r>
      <w:r w:rsidRPr="001A3FB3">
        <w:rPr>
          <w:color w:val="000000" w:themeColor="text1"/>
        </w:rPr>
        <w:t xml:space="preserve"> A statute that requires a proxy adviser to attach a financial-impact rationale to every anti-management recommendation does not merely require disclosure of facts the adviser already possesses. It requires the adviser to produce the rationale itself</w:t>
      </w:r>
      <w:r w:rsidR="00B62085">
        <w:rPr>
          <w:color w:val="000000" w:themeColor="text1"/>
        </w:rPr>
        <w:t>—</w:t>
      </w:r>
      <w:r w:rsidRPr="001A3FB3">
        <w:rPr>
          <w:color w:val="000000" w:themeColor="text1"/>
        </w:rPr>
        <w:t>to articulate, in the state-specified format, an interpretive characterization of why the recommendation serves financial materiality. That production-of-content function</w:t>
      </w:r>
      <w:r w:rsidR="00B62085">
        <w:rPr>
          <w:color w:val="000000" w:themeColor="text1"/>
        </w:rPr>
        <w:t>—</w:t>
      </w:r>
      <w:r w:rsidRPr="001A3FB3">
        <w:rPr>
          <w:color w:val="000000" w:themeColor="text1"/>
        </w:rPr>
        <w:t>closer to compelled interpretive narrative than to discrete factual disclosure</w:t>
      </w:r>
      <w:r w:rsidR="00B62085">
        <w:rPr>
          <w:color w:val="000000" w:themeColor="text1"/>
        </w:rPr>
        <w:t>—</w:t>
      </w:r>
      <w:r w:rsidRPr="001A3FB3">
        <w:rPr>
          <w:color w:val="000000" w:themeColor="text1"/>
        </w:rPr>
        <w:t xml:space="preserve">is what </w:t>
      </w:r>
      <w:r w:rsidRPr="001A3FB3">
        <w:rPr>
          <w:i/>
          <w:iCs/>
          <w:color w:val="000000" w:themeColor="text1"/>
        </w:rPr>
        <w:t>NIFLA</w:t>
      </w:r>
      <w:r w:rsidRPr="001A3FB3">
        <w:rPr>
          <w:color w:val="000000" w:themeColor="text1"/>
        </w:rPr>
        <w:t xml:space="preserve"> identified as the line </w:t>
      </w:r>
      <w:r w:rsidRPr="001A3FB3">
        <w:rPr>
          <w:i/>
          <w:iCs/>
          <w:color w:val="000000" w:themeColor="text1"/>
        </w:rPr>
        <w:t>Zauderer</w:t>
      </w:r>
      <w:r w:rsidRPr="001A3FB3">
        <w:rPr>
          <w:color w:val="000000" w:themeColor="text1"/>
        </w:rPr>
        <w:t xml:space="preserve"> does not cross. The W.D. Tex. injunctions did not resolve the merits, and the cases remain pending; but the preliminary-injunction analysis applied to them is the same analysis that would govern an asymmetric production-of-content duty imposed on any other expressive intermediary.</w:t>
      </w:r>
    </w:p>
    <w:p w14:paraId="69F1F887" w14:textId="77777777" w:rsidR="005F5ACD" w:rsidRPr="001A3FB3" w:rsidRDefault="00000000">
      <w:pPr>
        <w:pStyle w:val="BodyText"/>
        <w:rPr>
          <w:color w:val="000000" w:themeColor="text1"/>
        </w:rPr>
      </w:pPr>
      <w:r w:rsidRPr="001A3FB3">
        <w:rPr>
          <w:i/>
          <w:iCs/>
          <w:color w:val="000000" w:themeColor="text1"/>
        </w:rPr>
        <w:t>ISS v. SEC</w:t>
      </w:r>
      <w:r w:rsidRPr="001A3FB3">
        <w:rPr>
          <w:color w:val="000000" w:themeColor="text1"/>
        </w:rPr>
        <w:t xml:space="preserve"> held that routine paid proxy advice is not a § 14(a) solicitation.</w:t>
      </w:r>
      <w:r w:rsidRPr="001A3FB3">
        <w:rPr>
          <w:rStyle w:val="FootnoteReference"/>
          <w:color w:val="000000" w:themeColor="text1"/>
        </w:rPr>
        <w:footnoteReference w:id="117"/>
      </w:r>
      <w:r w:rsidRPr="001A3FB3">
        <w:rPr>
          <w:color w:val="000000" w:themeColor="text1"/>
        </w:rPr>
        <w:t xml:space="preserve"> State proxy-adviser statutes burden the same recommendation production through disclosure and written-analysis triggers. That juxtaposition sharpens the compelled-speech problem, but it does not itself establish federal displacement.</w:t>
      </w:r>
      <w:r w:rsidRPr="001A3FB3">
        <w:rPr>
          <w:rStyle w:val="FootnoteReference"/>
          <w:color w:val="000000" w:themeColor="text1"/>
        </w:rPr>
        <w:footnoteReference w:id="118"/>
      </w:r>
    </w:p>
    <w:p w14:paraId="02D84D1B" w14:textId="72FFB625" w:rsidR="005F5ACD" w:rsidRPr="001A3FB3" w:rsidRDefault="00000000">
      <w:pPr>
        <w:pStyle w:val="BodyText"/>
        <w:rPr>
          <w:color w:val="000000" w:themeColor="text1"/>
        </w:rPr>
      </w:pPr>
      <w:r w:rsidRPr="001A3FB3">
        <w:rPr>
          <w:i/>
          <w:iCs/>
          <w:color w:val="000000" w:themeColor="text1"/>
        </w:rPr>
        <w:t>Zauderer</w:t>
      </w:r>
      <w:r w:rsidRPr="001A3FB3">
        <w:rPr>
          <w:color w:val="000000" w:themeColor="text1"/>
        </w:rPr>
        <w:t>-permissible disclosures are typically discrete factual items</w:t>
      </w:r>
      <w:r w:rsidR="00B62085">
        <w:rPr>
          <w:color w:val="000000" w:themeColor="text1"/>
        </w:rPr>
        <w:t>—</w:t>
      </w:r>
      <w:r w:rsidRPr="001A3FB3">
        <w:rPr>
          <w:color w:val="000000" w:themeColor="text1"/>
        </w:rPr>
        <w:t xml:space="preserve">billing rates, service warnings, ingredient lists. Anti-ESG statutes that require a firm to attach a discrete factual disclosure (the existence of an ESG-related policy, publication of a stewardship report, net-zero coalition membership) sit on the </w:t>
      </w:r>
      <w:r w:rsidRPr="001A3FB3">
        <w:rPr>
          <w:i/>
          <w:iCs/>
          <w:color w:val="000000" w:themeColor="text1"/>
        </w:rPr>
        <w:t>Zauderer</w:t>
      </w:r>
      <w:r w:rsidRPr="001A3FB3">
        <w:rPr>
          <w:color w:val="000000" w:themeColor="text1"/>
        </w:rPr>
        <w:t xml:space="preserve"> side. Statutes that require the firm to produce a written interpretive analysis</w:t>
      </w:r>
      <w:r w:rsidR="00B62085">
        <w:rPr>
          <w:color w:val="000000" w:themeColor="text1"/>
        </w:rPr>
        <w:t>—</w:t>
      </w:r>
      <w:r w:rsidRPr="001A3FB3">
        <w:rPr>
          <w:color w:val="000000" w:themeColor="text1"/>
        </w:rPr>
        <w:t>to articulate in narrative form the financial rationale for a position</w:t>
      </w:r>
      <w:r w:rsidR="00B62085">
        <w:rPr>
          <w:color w:val="000000" w:themeColor="text1"/>
        </w:rPr>
        <w:t>—</w:t>
      </w:r>
      <w:r w:rsidRPr="001A3FB3">
        <w:rPr>
          <w:color w:val="000000" w:themeColor="text1"/>
        </w:rPr>
        <w:t xml:space="preserve">sit on the </w:t>
      </w:r>
      <w:r w:rsidRPr="001A3FB3">
        <w:rPr>
          <w:i/>
          <w:iCs/>
          <w:color w:val="000000" w:themeColor="text1"/>
        </w:rPr>
        <w:t>NIFLA</w:t>
      </w:r>
      <w:r w:rsidRPr="001A3FB3">
        <w:rPr>
          <w:color w:val="000000" w:themeColor="text1"/>
        </w:rPr>
        <w:t xml:space="preserve"> side. California Senate Bill 261</w:t>
      </w:r>
      <w:r w:rsidR="00B62085">
        <w:rPr>
          <w:color w:val="000000" w:themeColor="text1"/>
        </w:rPr>
        <w:t>’</w:t>
      </w:r>
      <w:r w:rsidRPr="001A3FB3">
        <w:rPr>
          <w:color w:val="000000" w:themeColor="text1"/>
        </w:rPr>
        <w:t xml:space="preserve">s narrative climate-transition risk requirement was enjoined pending appeal in </w:t>
      </w:r>
      <w:r w:rsidRPr="001A3FB3">
        <w:rPr>
          <w:i/>
          <w:iCs/>
          <w:color w:val="000000" w:themeColor="text1"/>
        </w:rPr>
        <w:t>Chamber of Commerce of the United States v. Sanchez</w:t>
      </w:r>
      <w:r w:rsidRPr="001A3FB3">
        <w:rPr>
          <w:color w:val="000000" w:themeColor="text1"/>
        </w:rPr>
        <w:t xml:space="preserve"> (9th Cir. Nov. 18, 2025) on compelled-interpretive-narrative grounds; California Senate Bill 253</w:t>
      </w:r>
      <w:r w:rsidR="00B62085">
        <w:rPr>
          <w:color w:val="000000" w:themeColor="text1"/>
        </w:rPr>
        <w:t>’</w:t>
      </w:r>
      <w:r w:rsidRPr="001A3FB3">
        <w:rPr>
          <w:color w:val="000000" w:themeColor="text1"/>
        </w:rPr>
        <w:t>s factual-emissions disclosure was not enjoined.</w:t>
      </w:r>
      <w:r w:rsidRPr="001A3FB3">
        <w:rPr>
          <w:rStyle w:val="FootnoteReference"/>
          <w:color w:val="000000" w:themeColor="text1"/>
        </w:rPr>
        <w:footnoteReference w:id="119"/>
      </w:r>
      <w:r w:rsidRPr="001A3FB3">
        <w:rPr>
          <w:color w:val="000000" w:themeColor="text1"/>
        </w:rPr>
        <w:t xml:space="preserve"> Pro-side compelled-narrative disclosure (CA SB 261) faces symmetric </w:t>
      </w:r>
      <w:r w:rsidRPr="001A3FB3">
        <w:rPr>
          <w:i/>
          <w:iCs/>
          <w:color w:val="000000" w:themeColor="text1"/>
        </w:rPr>
        <w:t>NIFLA</w:t>
      </w:r>
      <w:r w:rsidRPr="001A3FB3">
        <w:rPr>
          <w:color w:val="000000" w:themeColor="text1"/>
        </w:rPr>
        <w:t xml:space="preserve"> scrutiny</w:t>
      </w:r>
      <w:r w:rsidR="00B62085">
        <w:rPr>
          <w:color w:val="000000" w:themeColor="text1"/>
        </w:rPr>
        <w:t>—</w:t>
      </w:r>
      <w:r w:rsidRPr="001A3FB3">
        <w:rPr>
          <w:color w:val="000000" w:themeColor="text1"/>
        </w:rPr>
        <w:t xml:space="preserve">the </w:t>
      </w:r>
      <w:r w:rsidRPr="001A3FB3">
        <w:rPr>
          <w:i/>
          <w:iCs/>
          <w:color w:val="000000" w:themeColor="text1"/>
        </w:rPr>
        <w:t>Sanchez</w:t>
      </w:r>
      <w:r w:rsidRPr="001A3FB3">
        <w:rPr>
          <w:color w:val="000000" w:themeColor="text1"/>
        </w:rPr>
        <w:t xml:space="preserve"> split confirms the doctrinal line tracks content type, not stance (Part V).</w:t>
      </w:r>
    </w:p>
    <w:p w14:paraId="3F12B42A" w14:textId="77777777" w:rsidR="005F5ACD" w:rsidRPr="001A3FB3" w:rsidRDefault="00000000">
      <w:pPr>
        <w:pStyle w:val="BodyText"/>
        <w:rPr>
          <w:color w:val="000000" w:themeColor="text1"/>
        </w:rPr>
      </w:pPr>
      <w:r w:rsidRPr="001A3FB3">
        <w:rPr>
          <w:color w:val="000000" w:themeColor="text1"/>
        </w:rPr>
        <w:t xml:space="preserve">The </w:t>
      </w:r>
      <w:r w:rsidRPr="001A3FB3">
        <w:rPr>
          <w:i/>
          <w:iCs/>
          <w:color w:val="000000" w:themeColor="text1"/>
        </w:rPr>
        <w:t>Glass Lewis</w:t>
      </w:r>
      <w:r w:rsidRPr="001A3FB3">
        <w:rPr>
          <w:color w:val="000000" w:themeColor="text1"/>
        </w:rPr>
        <w:t xml:space="preserve"> and </w:t>
      </w:r>
      <w:r w:rsidRPr="001A3FB3">
        <w:rPr>
          <w:i/>
          <w:iCs/>
          <w:color w:val="000000" w:themeColor="text1"/>
        </w:rPr>
        <w:t>ISS v. Paxton</w:t>
      </w:r>
      <w:r w:rsidRPr="001A3FB3">
        <w:rPr>
          <w:color w:val="000000" w:themeColor="text1"/>
        </w:rPr>
        <w:t xml:space="preserve"> injunctions arrive in a market where the asymmetric written-financial-analysis duty, if enforced, would raise the operating cost of producing proxy recommendations against management on a per-recommendation basis. The cost is asymmetric in operation, independent of merits adjudication. Illinois Senate Bill 2152 imposes symmetric reporting duties on both pro- and anti-management positions; the Pro-side structure does not raise the same compelled-content concern.</w:t>
      </w:r>
      <w:r w:rsidRPr="001A3FB3">
        <w:rPr>
          <w:rStyle w:val="FootnoteReference"/>
          <w:color w:val="000000" w:themeColor="text1"/>
        </w:rPr>
        <w:footnoteReference w:id="120"/>
      </w:r>
    </w:p>
    <w:p w14:paraId="4B96814E" w14:textId="77777777" w:rsidR="005F5ACD" w:rsidRPr="001A3FB3" w:rsidRDefault="00000000" w:rsidP="001A3FB3">
      <w:pPr>
        <w:pStyle w:val="Heading2"/>
      </w:pPr>
      <w:bookmarkStart w:id="44" w:name="iii.e-banking-insurance-and-preemption"/>
      <w:bookmarkStart w:id="45" w:name="_Toc229502272"/>
      <w:bookmarkEnd w:id="42"/>
      <w:r w:rsidRPr="001A3FB3">
        <w:t>§III.E Banking / Insurance and Preemption</w:t>
      </w:r>
      <w:bookmarkEnd w:id="45"/>
    </w:p>
    <w:p w14:paraId="67EB7A34" w14:textId="77777777" w:rsidR="005F5ACD" w:rsidRPr="001A3FB3" w:rsidRDefault="00000000">
      <w:pPr>
        <w:pStyle w:val="FirstParagraph"/>
        <w:rPr>
          <w:color w:val="000000" w:themeColor="text1"/>
        </w:rPr>
      </w:pPr>
      <w:r w:rsidRPr="001A3FB3">
        <w:rPr>
          <w:color w:val="000000" w:themeColor="text1"/>
        </w:rPr>
        <w:t>The banking-and-insurance channel produces a genuinely mixed doctrinal record; no single categorical answer governs.</w:t>
      </w:r>
    </w:p>
    <w:p w14:paraId="4FBC1A2C" w14:textId="0D908840" w:rsidR="005F5ACD" w:rsidRPr="001A3FB3" w:rsidRDefault="00000000">
      <w:pPr>
        <w:pStyle w:val="BodyText"/>
        <w:rPr>
          <w:color w:val="000000" w:themeColor="text1"/>
        </w:rPr>
      </w:pPr>
      <w:r w:rsidRPr="001A3FB3">
        <w:rPr>
          <w:i/>
          <w:iCs/>
          <w:color w:val="000000" w:themeColor="text1"/>
        </w:rPr>
        <w:t xml:space="preserve">NBA / Dodd-Frank § 25b </w:t>
      </w:r>
      <w:r w:rsidR="00B62085">
        <w:rPr>
          <w:i/>
          <w:iCs/>
          <w:color w:val="000000" w:themeColor="text1"/>
        </w:rPr>
        <w:t>“</w:t>
      </w:r>
      <w:r w:rsidRPr="001A3FB3">
        <w:rPr>
          <w:i/>
          <w:iCs/>
          <w:color w:val="000000" w:themeColor="text1"/>
        </w:rPr>
        <w:t>significantly interferes</w:t>
      </w:r>
      <w:r w:rsidR="00B62085">
        <w:rPr>
          <w:i/>
          <w:iCs/>
          <w:color w:val="000000" w:themeColor="text1"/>
        </w:rPr>
        <w:t>”</w:t>
      </w:r>
      <w:r w:rsidRPr="001A3FB3">
        <w:rPr>
          <w:i/>
          <w:iCs/>
          <w:color w:val="000000" w:themeColor="text1"/>
        </w:rPr>
        <w:t xml:space="preserve"> preemption.</w:t>
      </w:r>
      <w:r w:rsidRPr="001A3FB3">
        <w:rPr>
          <w:color w:val="000000" w:themeColor="text1"/>
        </w:rPr>
        <w:t xml:space="preserve"> The post-</w:t>
      </w:r>
      <w:r w:rsidRPr="001A3FB3">
        <w:rPr>
          <w:i/>
          <w:iCs/>
          <w:color w:val="000000" w:themeColor="text1"/>
        </w:rPr>
        <w:t>Cantero v. Bank of America</w:t>
      </w:r>
      <w:r w:rsidRPr="001A3FB3">
        <w:rPr>
          <w:color w:val="000000" w:themeColor="text1"/>
        </w:rPr>
        <w:t xml:space="preserve"> framework requires case-by-case analysis rather than categorical resolution.</w:t>
      </w:r>
      <w:r w:rsidRPr="001A3FB3">
        <w:rPr>
          <w:rStyle w:val="FootnoteReference"/>
          <w:color w:val="000000" w:themeColor="text1"/>
        </w:rPr>
        <w:footnoteReference w:id="121"/>
      </w:r>
      <w:r w:rsidRPr="001A3FB3">
        <w:rPr>
          <w:color w:val="000000" w:themeColor="text1"/>
        </w:rPr>
        <w:t xml:space="preserve"> An anti-discrimination rule that prohibits viewpoint-based account terminations does not, on a reasonable reading, significantly interfere with authorized credit-allocation or risk-management functions; one that prevents a national bank from declining to underwrite a particular industry on credit grounds may.</w:t>
      </w:r>
    </w:p>
    <w:p w14:paraId="7E44D86E" w14:textId="12F94D4B" w:rsidR="005F5ACD" w:rsidRPr="001A3FB3" w:rsidRDefault="00000000">
      <w:pPr>
        <w:pStyle w:val="BodyText"/>
        <w:rPr>
          <w:color w:val="000000" w:themeColor="text1"/>
        </w:rPr>
      </w:pPr>
      <w:r w:rsidRPr="001A3FB3">
        <w:rPr>
          <w:i/>
          <w:iCs/>
          <w:color w:val="000000" w:themeColor="text1"/>
        </w:rPr>
        <w:t>McCarran-Ferguson reverse preemption.</w:t>
      </w:r>
      <w:r w:rsidRPr="001A3FB3">
        <w:rPr>
          <w:color w:val="000000" w:themeColor="text1"/>
        </w:rPr>
        <w:t xml:space="preserve"> The doctrine insulates state regulation of </w:t>
      </w:r>
      <w:r w:rsidR="00B62085">
        <w:rPr>
          <w:color w:val="000000" w:themeColor="text1"/>
        </w:rPr>
        <w:t>“</w:t>
      </w:r>
      <w:r w:rsidRPr="001A3FB3">
        <w:rPr>
          <w:color w:val="000000" w:themeColor="text1"/>
        </w:rPr>
        <w:t>the business of insurance</w:t>
      </w:r>
      <w:r w:rsidR="00B62085">
        <w:rPr>
          <w:color w:val="000000" w:themeColor="text1"/>
        </w:rPr>
        <w:t>”</w:t>
      </w:r>
      <w:r w:rsidRPr="001A3FB3">
        <w:rPr>
          <w:color w:val="000000" w:themeColor="text1"/>
        </w:rPr>
        <w:t xml:space="preserve"> from federal preemption that does not specifically address </w:t>
      </w:r>
      <w:proofErr w:type="gramStart"/>
      <w:r w:rsidRPr="001A3FB3">
        <w:rPr>
          <w:color w:val="000000" w:themeColor="text1"/>
        </w:rPr>
        <w:t>insurance, but</w:t>
      </w:r>
      <w:proofErr w:type="gramEnd"/>
      <w:r w:rsidRPr="001A3FB3">
        <w:rPr>
          <w:color w:val="000000" w:themeColor="text1"/>
        </w:rPr>
        <w:t xml:space="preserve"> does not confer constitutional immunity.</w:t>
      </w:r>
      <w:r w:rsidRPr="001A3FB3">
        <w:rPr>
          <w:rStyle w:val="FootnoteReference"/>
          <w:color w:val="000000" w:themeColor="text1"/>
        </w:rPr>
        <w:footnoteReference w:id="122"/>
      </w:r>
      <w:r w:rsidRPr="001A3FB3">
        <w:rPr>
          <w:color w:val="000000" w:themeColor="text1"/>
        </w:rPr>
        <w:t xml:space="preserve"> An insurance statute that prohibits coverage decisions based on protected expressive activity sits in a different posture from one adjusting permissible underwriting categories.</w:t>
      </w:r>
    </w:p>
    <w:p w14:paraId="322FFAFC" w14:textId="3AB2CA97" w:rsidR="005F5ACD" w:rsidRPr="001A3FB3" w:rsidRDefault="00000000">
      <w:pPr>
        <w:pStyle w:val="BodyText"/>
        <w:rPr>
          <w:color w:val="000000" w:themeColor="text1"/>
        </w:rPr>
      </w:pPr>
      <w:r w:rsidRPr="001A3FB3">
        <w:rPr>
          <w:i/>
          <w:iCs/>
          <w:color w:val="000000" w:themeColor="text1"/>
        </w:rPr>
        <w:t>Risk-based individualization carveouts.</w:t>
      </w:r>
      <w:r w:rsidRPr="001A3FB3">
        <w:rPr>
          <w:color w:val="000000" w:themeColor="text1"/>
        </w:rPr>
        <w:t xml:space="preserve"> Florida § 655.0323</w:t>
      </w:r>
      <w:r w:rsidR="00B62085">
        <w:rPr>
          <w:color w:val="000000" w:themeColor="text1"/>
        </w:rPr>
        <w:t>’</w:t>
      </w:r>
      <w:r w:rsidRPr="001A3FB3">
        <w:rPr>
          <w:color w:val="000000" w:themeColor="text1"/>
        </w:rPr>
        <w:t xml:space="preserve">s </w:t>
      </w:r>
      <w:r w:rsidR="00B62085">
        <w:rPr>
          <w:color w:val="000000" w:themeColor="text1"/>
        </w:rPr>
        <w:t>“</w:t>
      </w:r>
      <w:r w:rsidRPr="001A3FB3">
        <w:rPr>
          <w:color w:val="000000" w:themeColor="text1"/>
        </w:rPr>
        <w:t>quantitative, impartial, and risk-based</w:t>
      </w:r>
      <w:r w:rsidR="00B62085">
        <w:rPr>
          <w:color w:val="000000" w:themeColor="text1"/>
        </w:rPr>
        <w:t>”</w:t>
      </w:r>
      <w:r w:rsidRPr="001A3FB3">
        <w:rPr>
          <w:color w:val="000000" w:themeColor="text1"/>
        </w:rPr>
        <w:t xml:space="preserve"> formulation preserves underwriting discretion for individual transactions while disclaiming categorical political screens.</w:t>
      </w:r>
      <w:r w:rsidRPr="001A3FB3">
        <w:rPr>
          <w:rStyle w:val="FootnoteReference"/>
          <w:color w:val="000000" w:themeColor="text1"/>
        </w:rPr>
        <w:footnoteReference w:id="123"/>
      </w:r>
      <w:r w:rsidRPr="001A3FB3">
        <w:rPr>
          <w:color w:val="000000" w:themeColor="text1"/>
        </w:rPr>
        <w:t xml:space="preserve"> Whether a particular decision falls within the carveout is fact-intensive; the carveout forecloses the broadest facial challenges without saving every application.</w:t>
      </w:r>
    </w:p>
    <w:p w14:paraId="75BC5528" w14:textId="3D44AE8B" w:rsidR="005F5ACD" w:rsidRPr="001A3FB3" w:rsidRDefault="00000000">
      <w:pPr>
        <w:pStyle w:val="BodyText"/>
        <w:rPr>
          <w:color w:val="000000" w:themeColor="text1"/>
        </w:rPr>
      </w:pPr>
      <w:r w:rsidRPr="001A3FB3">
        <w:rPr>
          <w:i/>
          <w:iCs/>
          <w:color w:val="000000" w:themeColor="text1"/>
        </w:rPr>
        <w:t>Attestation and supervisory-cost design.</w:t>
      </w:r>
      <w:r w:rsidRPr="001A3FB3">
        <w:rPr>
          <w:color w:val="000000" w:themeColor="text1"/>
        </w:rPr>
        <w:t xml:space="preserve"> § 655.0323</w:t>
      </w:r>
      <w:r w:rsidR="00B62085">
        <w:rPr>
          <w:color w:val="000000" w:themeColor="text1"/>
        </w:rPr>
        <w:t>’</w:t>
      </w:r>
      <w:r w:rsidRPr="001A3FB3">
        <w:rPr>
          <w:color w:val="000000" w:themeColor="text1"/>
        </w:rPr>
        <w:t xml:space="preserve">s senior-officer perjury attestation is a compelled-speech analogue closer to </w:t>
      </w:r>
      <w:r w:rsidRPr="001A3FB3">
        <w:rPr>
          <w:i/>
          <w:iCs/>
          <w:color w:val="000000" w:themeColor="text1"/>
        </w:rPr>
        <w:t>NIFLA</w:t>
      </w:r>
      <w:r w:rsidRPr="001A3FB3">
        <w:rPr>
          <w:color w:val="000000" w:themeColor="text1"/>
        </w:rPr>
        <w:t xml:space="preserve"> than </w:t>
      </w:r>
      <w:r w:rsidRPr="001A3FB3">
        <w:rPr>
          <w:i/>
          <w:iCs/>
          <w:color w:val="000000" w:themeColor="text1"/>
        </w:rPr>
        <w:t>Zauderer</w:t>
      </w:r>
      <w:r w:rsidRPr="001A3FB3">
        <w:rPr>
          <w:color w:val="000000" w:themeColor="text1"/>
        </w:rPr>
        <w:t>: it requires recurring interpretive characterization of the firm</w:t>
      </w:r>
      <w:r w:rsidR="00B62085">
        <w:rPr>
          <w:color w:val="000000" w:themeColor="text1"/>
        </w:rPr>
        <w:t>’</w:t>
      </w:r>
      <w:r w:rsidRPr="001A3FB3">
        <w:rPr>
          <w:color w:val="000000" w:themeColor="text1"/>
        </w:rPr>
        <w:t>s conduct.</w:t>
      </w:r>
      <w:r w:rsidRPr="001A3FB3">
        <w:rPr>
          <w:rStyle w:val="FootnoteReference"/>
          <w:color w:val="000000" w:themeColor="text1"/>
        </w:rPr>
        <w:footnoteReference w:id="124"/>
      </w:r>
      <w:r w:rsidRPr="001A3FB3">
        <w:rPr>
          <w:color w:val="000000" w:themeColor="text1"/>
        </w:rPr>
        <w:t xml:space="preserve"> The case law has not yet adjudicated the question.</w:t>
      </w:r>
    </w:p>
    <w:p w14:paraId="551BE7E6" w14:textId="15C09D9C" w:rsidR="005F5ACD" w:rsidRPr="001A3FB3" w:rsidRDefault="00000000">
      <w:pPr>
        <w:pStyle w:val="BodyText"/>
        <w:rPr>
          <w:color w:val="000000" w:themeColor="text1"/>
        </w:rPr>
      </w:pPr>
      <w:r w:rsidRPr="001A3FB3">
        <w:rPr>
          <w:i/>
          <w:iCs/>
          <w:color w:val="000000" w:themeColor="text1"/>
        </w:rPr>
        <w:t>Preemption / compelled-speech intersections.</w:t>
      </w:r>
      <w:r w:rsidRPr="001A3FB3">
        <w:rPr>
          <w:color w:val="000000" w:themeColor="text1"/>
        </w:rPr>
        <w:t xml:space="preserve"> </w:t>
      </w:r>
      <w:r w:rsidRPr="001A3FB3">
        <w:rPr>
          <w:i/>
          <w:iCs/>
          <w:color w:val="000000" w:themeColor="text1"/>
        </w:rPr>
        <w:t>SIFMA v. Ashcroft</w:t>
      </w:r>
      <w:r w:rsidRPr="001A3FB3">
        <w:rPr>
          <w:color w:val="000000" w:themeColor="text1"/>
        </w:rPr>
        <w:t xml:space="preserve"> supplies an analogue rather than an anchor</w:t>
      </w:r>
      <w:r w:rsidR="00B62085">
        <w:rPr>
          <w:color w:val="000000" w:themeColor="text1"/>
        </w:rPr>
        <w:t>—</w:t>
      </w:r>
      <w:r w:rsidRPr="001A3FB3">
        <w:rPr>
          <w:color w:val="000000" w:themeColor="text1"/>
        </w:rPr>
        <w:t>a W.D. Mo. injunction of Missouri</w:t>
      </w:r>
      <w:r w:rsidR="00B62085">
        <w:rPr>
          <w:color w:val="000000" w:themeColor="text1"/>
        </w:rPr>
        <w:t>’</w:t>
      </w:r>
      <w:r w:rsidRPr="001A3FB3">
        <w:rPr>
          <w:color w:val="000000" w:themeColor="text1"/>
        </w:rPr>
        <w:t>s investment-adviser-disclosure rule on intersecting NSMIA-preemption and compelled-speech grounds; appeal abandoned, holding non-precedential in C3.</w:t>
      </w:r>
      <w:r w:rsidRPr="001A3FB3">
        <w:rPr>
          <w:rStyle w:val="FootnoteReference"/>
          <w:color w:val="000000" w:themeColor="text1"/>
        </w:rPr>
        <w:footnoteReference w:id="125"/>
      </w:r>
    </w:p>
    <w:p w14:paraId="2A9C52E0" w14:textId="77777777" w:rsidR="005F5ACD" w:rsidRPr="001A3FB3" w:rsidRDefault="00000000" w:rsidP="001A3FB3">
      <w:pPr>
        <w:pStyle w:val="Heading2"/>
      </w:pPr>
      <w:bookmarkStart w:id="46" w:name="iii.f-savings-clauses-and-mixed-validity"/>
      <w:bookmarkStart w:id="47" w:name="_Toc229502273"/>
      <w:bookmarkEnd w:id="44"/>
      <w:r w:rsidRPr="001A3FB3">
        <w:t>§III.F Savings Clauses and Mixed Validity</w:t>
      </w:r>
      <w:bookmarkEnd w:id="47"/>
    </w:p>
    <w:p w14:paraId="4A241991" w14:textId="47073CA9" w:rsidR="005F5ACD" w:rsidRPr="001A3FB3" w:rsidRDefault="00000000">
      <w:pPr>
        <w:pStyle w:val="FirstParagraph"/>
        <w:rPr>
          <w:color w:val="000000" w:themeColor="text1"/>
        </w:rPr>
      </w:pPr>
      <w:r w:rsidRPr="001A3FB3">
        <w:rPr>
          <w:color w:val="000000" w:themeColor="text1"/>
        </w:rPr>
        <w:t>The carveout typology and Savings-Clause Fit Test developed in §II.F apply symmetrically across the wave</w:t>
      </w:r>
      <w:r w:rsidR="00B62085">
        <w:rPr>
          <w:color w:val="000000" w:themeColor="text1"/>
        </w:rPr>
        <w:t>’</w:t>
      </w:r>
      <w:r w:rsidRPr="001A3FB3">
        <w:rPr>
          <w:color w:val="000000" w:themeColor="text1"/>
        </w:rPr>
        <w:t xml:space="preserve">s Anti and Pro statutes. Maine LD 99 § 1957(3), the Pro-side fossil-fuel divestment override, contains a fiduciary-duty savings clause whose practical force depends on whether </w:t>
      </w:r>
      <w:proofErr w:type="spellStart"/>
      <w:r w:rsidRPr="001A3FB3">
        <w:rPr>
          <w:color w:val="000000" w:themeColor="text1"/>
        </w:rPr>
        <w:t>MainePERS</w:t>
      </w:r>
      <w:proofErr w:type="spellEnd"/>
      <w:r w:rsidRPr="001A3FB3">
        <w:rPr>
          <w:color w:val="000000" w:themeColor="text1"/>
        </w:rPr>
        <w:t xml:space="preserve"> retains the analytical discretion to suspend or modify the divestment schedule on a documented financial-materiality showing.</w:t>
      </w:r>
      <w:r w:rsidRPr="001A3FB3">
        <w:rPr>
          <w:rStyle w:val="FootnoteReference"/>
          <w:color w:val="000000" w:themeColor="text1"/>
        </w:rPr>
        <w:footnoteReference w:id="126"/>
      </w:r>
      <w:r w:rsidRPr="001A3FB3">
        <w:rPr>
          <w:color w:val="000000" w:themeColor="text1"/>
        </w:rPr>
        <w:t xml:space="preserve"> If the savings clause requires only a written finding and produces an evidentiary presumption in favor of the trustees</w:t>
      </w:r>
      <w:r w:rsidR="00B62085">
        <w:rPr>
          <w:color w:val="000000" w:themeColor="text1"/>
        </w:rPr>
        <w:t>’</w:t>
      </w:r>
      <w:r w:rsidRPr="001A3FB3">
        <w:rPr>
          <w:color w:val="000000" w:themeColor="text1"/>
        </w:rPr>
        <w:t xml:space="preserve"> invocation, the clause scores well on the §II.F Fit Test; if the clause is nominal and does not specify a pathway, it scores poorly. The same questions apply to the savings clauses in Anti-side fiduciary statutes. The analysis applies symmetrically: no savings clause is automatically effective because the statute</w:t>
      </w:r>
      <w:r w:rsidR="00B62085">
        <w:rPr>
          <w:color w:val="000000" w:themeColor="text1"/>
        </w:rPr>
        <w:t>’</w:t>
      </w:r>
      <w:r w:rsidRPr="001A3FB3">
        <w:rPr>
          <w:color w:val="000000" w:themeColor="text1"/>
        </w:rPr>
        <w:t>s policy direction happens to be congenial, and no savings clause is automatically nominal because the statute</w:t>
      </w:r>
      <w:r w:rsidR="00B62085">
        <w:rPr>
          <w:color w:val="000000" w:themeColor="text1"/>
        </w:rPr>
        <w:t>’</w:t>
      </w:r>
      <w:r w:rsidRPr="001A3FB3">
        <w:rPr>
          <w:color w:val="000000" w:themeColor="text1"/>
        </w:rPr>
        <w:t>s policy direction is contested. The strongest documented case of a functioning Anti-side savings clause is Kentucky SB 205: the Kentucky County Employees Retirement System (CERS) determined that the statute</w:t>
      </w:r>
      <w:r w:rsidR="00B62085">
        <w:rPr>
          <w:color w:val="000000" w:themeColor="text1"/>
        </w:rPr>
        <w:t>’</w:t>
      </w:r>
      <w:r w:rsidRPr="001A3FB3">
        <w:rPr>
          <w:color w:val="000000" w:themeColor="text1"/>
        </w:rPr>
        <w:t>s requirements were inconsistent with its fiduciary responsibilities and declined to comply, invoking the self-exemption mechanism built into the statute</w:t>
      </w:r>
      <w:r w:rsidR="00B62085">
        <w:rPr>
          <w:color w:val="000000" w:themeColor="text1"/>
        </w:rPr>
        <w:t>’</w:t>
      </w:r>
      <w:r w:rsidRPr="001A3FB3">
        <w:rPr>
          <w:color w:val="000000" w:themeColor="text1"/>
        </w:rPr>
        <w:t xml:space="preserve">s text—the inverse of </w:t>
      </w:r>
      <w:r w:rsidRPr="001A3FB3">
        <w:rPr>
          <w:i/>
          <w:iCs/>
          <w:color w:val="000000" w:themeColor="text1"/>
        </w:rPr>
        <w:t>Keenan</w:t>
      </w:r>
      <w:r w:rsidR="00B62085">
        <w:rPr>
          <w:color w:val="000000" w:themeColor="text1"/>
        </w:rPr>
        <w:t>’</w:t>
      </w:r>
      <w:r w:rsidRPr="001A3FB3">
        <w:rPr>
          <w:color w:val="000000" w:themeColor="text1"/>
        </w:rPr>
        <w:t>s holding that a comparable savings clause could not preserve an otherwise unconstitutional scheme. The CERS invocation confirms a record-based fiduciary carveout operating as designed.</w:t>
      </w:r>
      <w:r w:rsidRPr="001A3FB3">
        <w:rPr>
          <w:rStyle w:val="FootnoteReference"/>
          <w:color w:val="000000" w:themeColor="text1"/>
        </w:rPr>
        <w:footnoteReference w:id="127"/>
      </w:r>
    </w:p>
    <w:p w14:paraId="65F5A05F" w14:textId="6A767F65" w:rsidR="005F5ACD" w:rsidRPr="001A3FB3" w:rsidRDefault="00000000" w:rsidP="001A3FB3">
      <w:pPr>
        <w:pStyle w:val="Heading1"/>
      </w:pPr>
      <w:bookmarkStart w:id="48" w:name="Xbd38e6955a6836c99d619c822fd8c972e787ef0"/>
      <w:bookmarkStart w:id="49" w:name="_Toc229502274"/>
      <w:bookmarkEnd w:id="33"/>
      <w:bookmarkEnd w:id="46"/>
      <w:r w:rsidRPr="001A3FB3">
        <w:t>PART IV</w:t>
      </w:r>
      <w:r w:rsidR="00B62085">
        <w:t>—</w:t>
      </w:r>
      <w:r w:rsidRPr="001A3FB3">
        <w:t>COMPLIANCE OVERHANG AND STRUCTURAL COSTS</w:t>
      </w:r>
      <w:bookmarkEnd w:id="49"/>
    </w:p>
    <w:p w14:paraId="1B164E68" w14:textId="77777777" w:rsidR="005F5ACD" w:rsidRPr="001A3FB3" w:rsidRDefault="00000000">
      <w:pPr>
        <w:pStyle w:val="FirstParagraph"/>
        <w:rPr>
          <w:color w:val="000000" w:themeColor="text1"/>
        </w:rPr>
      </w:pPr>
      <w:r w:rsidRPr="001A3FB3">
        <w:rPr>
          <w:color w:val="000000" w:themeColor="text1"/>
        </w:rPr>
        <w:t>The Anti-ESG statutory architecture imposes documentation, attestation, designation, and pre-adjudicative pressure costs whose transaction-cost and market-and-institutional consequences are independent of the magnitude of any behavioral effect attributable to the laws themselves.</w:t>
      </w:r>
    </w:p>
    <w:p w14:paraId="41CAA2DB" w14:textId="77777777" w:rsidR="005F5ACD" w:rsidRPr="0044669D" w:rsidRDefault="00000000" w:rsidP="001A3FB3">
      <w:pPr>
        <w:pStyle w:val="Heading2"/>
      </w:pPr>
      <w:bookmarkStart w:id="50" w:name="iv.a-the-empirical-record"/>
      <w:bookmarkStart w:id="51" w:name="_Toc229502275"/>
      <w:r w:rsidRPr="001A3FB3">
        <w:t>§IV.</w:t>
      </w:r>
      <w:r w:rsidRPr="0044669D">
        <w:t>A The Empirical Record</w:t>
      </w:r>
      <w:bookmarkEnd w:id="51"/>
    </w:p>
    <w:p w14:paraId="15D67272" w14:textId="162D7D01" w:rsidR="005F5ACD" w:rsidRPr="0044669D" w:rsidRDefault="0044669D">
      <w:pPr>
        <w:pStyle w:val="FirstParagraph"/>
        <w:rPr>
          <w:color w:val="000000" w:themeColor="text1"/>
        </w:rPr>
      </w:pPr>
      <w:r w:rsidRPr="0044669D">
        <w:t>The statutory design generates a determinate cost environment, a constructed</w:t>
      </w:r>
      <w:r w:rsidRPr="0044669D">
        <w:rPr>
          <w:i/>
          <w:iCs/>
        </w:rPr>
        <w:t xml:space="preserve"> compliance exposure</w:t>
      </w:r>
      <w:r w:rsidRPr="0044669D">
        <w:t xml:space="preserve">, and that exposure exists </w:t>
      </w:r>
      <w:r w:rsidR="00000000" w:rsidRPr="0044669D">
        <w:rPr>
          <w:color w:val="000000" w:themeColor="text1"/>
        </w:rPr>
        <w:t>independent of whether any particular firm</w:t>
      </w:r>
      <w:r w:rsidR="00B62085">
        <w:rPr>
          <w:color w:val="000000" w:themeColor="text1"/>
        </w:rPr>
        <w:t>’</w:t>
      </w:r>
      <w:r w:rsidR="00000000" w:rsidRPr="0044669D">
        <w:rPr>
          <w:color w:val="000000" w:themeColor="text1"/>
        </w:rPr>
        <w:t>s observed behavioral change traces specifically to it. Federal policy oscillation, commercial pressures, and coalition dynamics overdetermine the visible record of stewardship retrenchment. These channels are analytically distinct and may compound; disentangling their causal magnitudes lies beyond this Article</w:t>
      </w:r>
      <w:r w:rsidR="00B62085">
        <w:rPr>
          <w:color w:val="000000" w:themeColor="text1"/>
        </w:rPr>
        <w:t>’</w:t>
      </w:r>
      <w:r w:rsidR="00000000" w:rsidRPr="0044669D">
        <w:rPr>
          <w:color w:val="000000" w:themeColor="text1"/>
        </w:rPr>
        <w:t>s scope. The behavioral-retreat data is presented as showing the cost environment</w:t>
      </w:r>
      <w:r w:rsidR="00B62085">
        <w:rPr>
          <w:color w:val="000000" w:themeColor="text1"/>
        </w:rPr>
        <w:t>’</w:t>
      </w:r>
      <w:r w:rsidR="00000000" w:rsidRPr="0044669D">
        <w:rPr>
          <w:color w:val="000000" w:themeColor="text1"/>
        </w:rPr>
        <w:t>s salience, not as proving its causal magnitude.</w:t>
      </w:r>
    </w:p>
    <w:p w14:paraId="5EF12C72" w14:textId="6D005748" w:rsidR="005F5ACD" w:rsidRPr="001A3FB3" w:rsidRDefault="00000000">
      <w:pPr>
        <w:pStyle w:val="BodyText"/>
        <w:rPr>
          <w:color w:val="000000" w:themeColor="text1"/>
        </w:rPr>
      </w:pPr>
      <w:r w:rsidRPr="0044669D">
        <w:rPr>
          <w:color w:val="000000" w:themeColor="text1"/>
        </w:rPr>
        <w:t>The visible behavioral record across the legislation</w:t>
      </w:r>
      <w:r w:rsidR="00B62085">
        <w:rPr>
          <w:color w:val="000000" w:themeColor="text1"/>
        </w:rPr>
        <w:t>’</w:t>
      </w:r>
      <w:r w:rsidRPr="0044669D">
        <w:rPr>
          <w:color w:val="000000" w:themeColor="text1"/>
        </w:rPr>
        <w:t>s enactment period shows a sustained reduction in the public infrastructure of climate-coded stewardship. BlackRock</w:t>
      </w:r>
      <w:r w:rsidR="00B62085">
        <w:rPr>
          <w:color w:val="000000" w:themeColor="text1"/>
        </w:rPr>
        <w:t>’</w:t>
      </w:r>
      <w:r w:rsidRPr="0044669D">
        <w:rPr>
          <w:color w:val="000000" w:themeColor="text1"/>
        </w:rPr>
        <w:t>s own 2025 Investment Stewardship Annual Report records support for only 3 of 352 climate-and-natural-capital and company-impact shareholder proposals in 2025; its underlying market analysis reports median market support for U.S. environmental and social shareholder proposals falling from 15.8% in 2023 to 14.1% in 2024 to 8.9% in 2025.</w:t>
      </w:r>
      <w:r w:rsidRPr="0044669D">
        <w:rPr>
          <w:rStyle w:val="FootnoteReference"/>
          <w:color w:val="000000" w:themeColor="text1"/>
        </w:rPr>
        <w:footnoteReference w:id="128"/>
      </w:r>
      <w:r w:rsidRPr="0044669D">
        <w:rPr>
          <w:color w:val="000000" w:themeColor="text1"/>
        </w:rPr>
        <w:t xml:space="preserve"> Coalition affiliations have unwound through a sequence of high-profile exits: BlackRo</w:t>
      </w:r>
      <w:r w:rsidRPr="001A3FB3">
        <w:rPr>
          <w:color w:val="000000" w:themeColor="text1"/>
        </w:rPr>
        <w:t>ck</w:t>
      </w:r>
      <w:r w:rsidR="00B62085">
        <w:rPr>
          <w:color w:val="000000" w:themeColor="text1"/>
        </w:rPr>
        <w:t>’</w:t>
      </w:r>
      <w:r w:rsidRPr="001A3FB3">
        <w:rPr>
          <w:color w:val="000000" w:themeColor="text1"/>
        </w:rPr>
        <w:t>s NZAM withdrawal in January 2025; NZBA</w:t>
      </w:r>
      <w:r w:rsidR="00B62085">
        <w:rPr>
          <w:color w:val="000000" w:themeColor="text1"/>
        </w:rPr>
        <w:t>’</w:t>
      </w:r>
      <w:r w:rsidRPr="001A3FB3">
        <w:rPr>
          <w:color w:val="000000" w:themeColor="text1"/>
        </w:rPr>
        <w:t>s October 2025 suspension of its membership-based model; NZIA</w:t>
      </w:r>
      <w:r w:rsidR="00B62085">
        <w:rPr>
          <w:color w:val="000000" w:themeColor="text1"/>
        </w:rPr>
        <w:t>’</w:t>
      </w:r>
      <w:r w:rsidRPr="001A3FB3">
        <w:rPr>
          <w:color w:val="000000" w:themeColor="text1"/>
        </w:rPr>
        <w:t>s disbandment in April 2024; CA100+ departures by J.P. Morgan Asset Management, State Street Global Advisors, and PIMCO in February 2024. None of those exits has been reversed.</w:t>
      </w:r>
      <w:r w:rsidRPr="001A3FB3">
        <w:rPr>
          <w:rStyle w:val="FootnoteReference"/>
          <w:color w:val="000000" w:themeColor="text1"/>
        </w:rPr>
        <w:footnoteReference w:id="129"/>
      </w:r>
      <w:r w:rsidRPr="001A3FB3">
        <w:rPr>
          <w:color w:val="000000" w:themeColor="text1"/>
        </w:rPr>
        <w:t xml:space="preserve"> Sustainability-themed product launches have slowed, ESG-branded fund marketing has retreated, and the Conference Board</w:t>
      </w:r>
      <w:r w:rsidR="00B62085">
        <w:rPr>
          <w:color w:val="000000" w:themeColor="text1"/>
        </w:rPr>
        <w:t>’</w:t>
      </w:r>
      <w:r w:rsidRPr="001A3FB3">
        <w:rPr>
          <w:color w:val="000000" w:themeColor="text1"/>
        </w:rPr>
        <w:t>s 2024 ESG-backlash and 2025 sustainability-under-scrutiny work records the same retrenchment in survey form.</w:t>
      </w:r>
      <w:r w:rsidRPr="001A3FB3">
        <w:rPr>
          <w:rStyle w:val="FootnoteReference"/>
          <w:color w:val="000000" w:themeColor="text1"/>
        </w:rPr>
        <w:footnoteReference w:id="130"/>
      </w:r>
      <w:r w:rsidRPr="001A3FB3">
        <w:rPr>
          <w:color w:val="000000" w:themeColor="text1"/>
        </w:rPr>
        <w:t xml:space="preserve"> The patterns are contemporaneous with this legislative expansion and consistent with the operating-cost increases its mechanisms produce.</w:t>
      </w:r>
    </w:p>
    <w:p w14:paraId="6542F19F" w14:textId="2909D62C" w:rsidR="005F5ACD" w:rsidRPr="001A3FB3" w:rsidRDefault="00000000">
      <w:pPr>
        <w:pStyle w:val="BodyText"/>
        <w:rPr>
          <w:color w:val="000000" w:themeColor="text1"/>
        </w:rPr>
      </w:pPr>
      <w:r w:rsidRPr="001A3FB3">
        <w:rPr>
          <w:color w:val="000000" w:themeColor="text1"/>
        </w:rPr>
        <w:t>The concrete-cost record supplies an empirical anchor. The most visible fund-level exit in the corpus is the Texas Permanent School Fund</w:t>
      </w:r>
      <w:r w:rsidR="00B62085">
        <w:rPr>
          <w:color w:val="000000" w:themeColor="text1"/>
        </w:rPr>
        <w:t>’</w:t>
      </w:r>
      <w:r w:rsidRPr="001A3FB3">
        <w:rPr>
          <w:color w:val="000000" w:themeColor="text1"/>
        </w:rPr>
        <w:t>s termination of an approximately $8.5 billion BlackRock mandate in March 2024, with PSF officials attributing the action to the state</w:t>
      </w:r>
      <w:r w:rsidR="00B62085">
        <w:rPr>
          <w:color w:val="000000" w:themeColor="text1"/>
        </w:rPr>
        <w:t>’</w:t>
      </w:r>
      <w:r w:rsidRPr="001A3FB3">
        <w:rPr>
          <w:color w:val="000000" w:themeColor="text1"/>
        </w:rPr>
        <w:t>s energy-boycott framework—the largest documented single-fund action during the enactment period.</w:t>
      </w:r>
      <w:r w:rsidRPr="001A3FB3">
        <w:rPr>
          <w:rStyle w:val="FootnoteReference"/>
          <w:color w:val="000000" w:themeColor="text1"/>
        </w:rPr>
        <w:footnoteReference w:id="131"/>
      </w:r>
      <w:r w:rsidRPr="001A3FB3">
        <w:rPr>
          <w:color w:val="000000" w:themeColor="text1"/>
        </w:rPr>
        <w:t xml:space="preserve"> Garrett and Ivanov, in a Federal Reserve Bank of Chicago working paper not yet peer-reviewed, document a 10.3-basis-point increase in Texas municipal-bond yields for issuers with an additional standard deviation of reliance on the targeted underwriters (up to 38 basis points for issuers most reliant on those underwriters), five large underwriters exiting the Texas market, and an aggregate $300–500 million increase in borrowing costs on $31.8 billion borrowed during the first eight months after enactment of Texas SBs 13 and 19.</w:t>
      </w:r>
      <w:r w:rsidRPr="001A3FB3">
        <w:rPr>
          <w:rStyle w:val="FootnoteReference"/>
          <w:color w:val="000000" w:themeColor="text1"/>
        </w:rPr>
        <w:footnoteReference w:id="132"/>
      </w:r>
      <w:r w:rsidRPr="001A3FB3">
        <w:rPr>
          <w:color w:val="000000" w:themeColor="text1"/>
        </w:rPr>
        <w:t xml:space="preserve"> The cost is borne by Texas taxpayers and municipal borrowers</w:t>
      </w:r>
      <w:r w:rsidR="00B62085">
        <w:rPr>
          <w:color w:val="000000" w:themeColor="text1"/>
        </w:rPr>
        <w:t>—</w:t>
      </w:r>
      <w:r w:rsidRPr="001A3FB3">
        <w:rPr>
          <w:color w:val="000000" w:themeColor="text1"/>
        </w:rPr>
        <w:t>the same constituencies the statute claims to protect. Across additional state jurisdictions, documented fund-level responses during the enactment period include the Florida CFO</w:t>
      </w:r>
      <w:r w:rsidR="00B62085">
        <w:rPr>
          <w:color w:val="000000" w:themeColor="text1"/>
        </w:rPr>
        <w:t>’</w:t>
      </w:r>
      <w:r w:rsidRPr="001A3FB3">
        <w:rPr>
          <w:color w:val="000000" w:themeColor="text1"/>
        </w:rPr>
        <w:t>s December 2022 removal of approximately $2 billion from BlackRock;</w:t>
      </w:r>
      <w:r w:rsidRPr="001A3FB3">
        <w:rPr>
          <w:rStyle w:val="FootnoteReference"/>
          <w:color w:val="000000" w:themeColor="text1"/>
        </w:rPr>
        <w:footnoteReference w:id="133"/>
      </w:r>
      <w:r w:rsidRPr="001A3FB3">
        <w:rPr>
          <w:color w:val="000000" w:themeColor="text1"/>
        </w:rPr>
        <w:t xml:space="preserve"> Louisiana</w:t>
      </w:r>
      <w:r w:rsidR="00B62085">
        <w:rPr>
          <w:color w:val="000000" w:themeColor="text1"/>
        </w:rPr>
        <w:t>’</w:t>
      </w:r>
      <w:r w:rsidRPr="001A3FB3">
        <w:rPr>
          <w:color w:val="000000" w:themeColor="text1"/>
        </w:rPr>
        <w:t>s Treasurer</w:t>
      </w:r>
      <w:r w:rsidR="00B62085">
        <w:rPr>
          <w:color w:val="000000" w:themeColor="text1"/>
        </w:rPr>
        <w:t>’</w:t>
      </w:r>
      <w:r w:rsidRPr="001A3FB3">
        <w:rPr>
          <w:color w:val="000000" w:themeColor="text1"/>
        </w:rPr>
        <w:t>s targeting of $794 million from treasury funds;</w:t>
      </w:r>
      <w:r w:rsidRPr="001A3FB3">
        <w:rPr>
          <w:rStyle w:val="FootnoteReference"/>
          <w:color w:val="000000" w:themeColor="text1"/>
        </w:rPr>
        <w:footnoteReference w:id="134"/>
      </w:r>
      <w:r w:rsidRPr="001A3FB3">
        <w:rPr>
          <w:color w:val="000000" w:themeColor="text1"/>
        </w:rPr>
        <w:t xml:space="preserve"> Missouri MOSERS</w:t>
      </w:r>
      <w:r w:rsidR="00B62085">
        <w:rPr>
          <w:color w:val="000000" w:themeColor="text1"/>
        </w:rPr>
        <w:t>’</w:t>
      </w:r>
      <w:r w:rsidRPr="001A3FB3">
        <w:rPr>
          <w:color w:val="000000" w:themeColor="text1"/>
        </w:rPr>
        <w:t>s divestment of approximately $500 million in BlackRock-managed public equities;</w:t>
      </w:r>
      <w:r w:rsidRPr="001A3FB3">
        <w:rPr>
          <w:rStyle w:val="FootnoteReference"/>
          <w:color w:val="000000" w:themeColor="text1"/>
        </w:rPr>
        <w:footnoteReference w:id="135"/>
      </w:r>
      <w:r w:rsidRPr="001A3FB3">
        <w:rPr>
          <w:color w:val="000000" w:themeColor="text1"/>
        </w:rPr>
        <w:t xml:space="preserve"> South Carolina Treasurer</w:t>
      </w:r>
      <w:r w:rsidR="00B62085">
        <w:rPr>
          <w:color w:val="000000" w:themeColor="text1"/>
        </w:rPr>
        <w:t>’</w:t>
      </w:r>
      <w:r w:rsidRPr="001A3FB3">
        <w:rPr>
          <w:color w:val="000000" w:themeColor="text1"/>
        </w:rPr>
        <w:t>s approximately $200 million divestment;</w:t>
      </w:r>
      <w:r w:rsidRPr="001A3FB3">
        <w:rPr>
          <w:rStyle w:val="FootnoteReference"/>
          <w:color w:val="000000" w:themeColor="text1"/>
        </w:rPr>
        <w:footnoteReference w:id="136"/>
      </w:r>
      <w:r w:rsidRPr="001A3FB3">
        <w:rPr>
          <w:color w:val="000000" w:themeColor="text1"/>
        </w:rPr>
        <w:t xml:space="preserve"> and Indiana INPRS</w:t>
      </w:r>
      <w:r w:rsidR="00B62085">
        <w:rPr>
          <w:color w:val="000000" w:themeColor="text1"/>
        </w:rPr>
        <w:t>’</w:t>
      </w:r>
      <w:r w:rsidRPr="001A3FB3">
        <w:rPr>
          <w:color w:val="000000" w:themeColor="text1"/>
        </w:rPr>
        <w:t>s December 2024 unanimous board vote to remove BlackRock from an approximately $969 million mandate, with INPRS staff testifying the fund had performed well and at low fees—making the rationale explicitly policy-based rather than performance-based.</w:t>
      </w:r>
      <w:r w:rsidRPr="001A3FB3">
        <w:rPr>
          <w:rStyle w:val="FootnoteReference"/>
          <w:color w:val="000000" w:themeColor="text1"/>
        </w:rPr>
        <w:footnoteReference w:id="137"/>
      </w:r>
    </w:p>
    <w:p w14:paraId="543C434B" w14:textId="77777777" w:rsidR="005F5ACD" w:rsidRPr="001A3FB3" w:rsidRDefault="00000000">
      <w:pPr>
        <w:pStyle w:val="BodyText"/>
        <w:rPr>
          <w:color w:val="000000" w:themeColor="text1"/>
        </w:rPr>
      </w:pPr>
      <w:r w:rsidRPr="001A3FB3">
        <w:rPr>
          <w:color w:val="000000" w:themeColor="text1"/>
        </w:rPr>
        <w:t>These figures are not aggregable across different asset classes, fiscal years, and fund types. The point is qualitative and directional: the state-money channel produced documented behavioral responses across multiple jurisdictions and multiple years. Not every large fund withdrawal traces to a mandatory divestment command; the evidence does not permit precise causal attribution at the transaction level, and mandatory-statutory divestments should be distinguished from discretionary executive or board actions taken under statutory authority or political pressure.</w:t>
      </w:r>
    </w:p>
    <w:p w14:paraId="26EE689E" w14:textId="6EA75A1B" w:rsidR="005F5ACD" w:rsidRPr="001A3FB3" w:rsidRDefault="00000000">
      <w:pPr>
        <w:pStyle w:val="BodyText"/>
        <w:rPr>
          <w:color w:val="000000" w:themeColor="text1"/>
        </w:rPr>
      </w:pPr>
      <w:r w:rsidRPr="001A3FB3">
        <w:rPr>
          <w:i/>
          <w:iCs/>
          <w:color w:val="000000" w:themeColor="text1"/>
        </w:rPr>
        <w:t>Keenan v. Russ</w:t>
      </w:r>
      <w:r w:rsidR="00B62085">
        <w:rPr>
          <w:color w:val="000000" w:themeColor="text1"/>
        </w:rPr>
        <w:t>’</w:t>
      </w:r>
      <w:r w:rsidRPr="001A3FB3">
        <w:rPr>
          <w:color w:val="000000" w:themeColor="text1"/>
        </w:rPr>
        <w:t>s litigation record includes OPERS</w:t>
      </w:r>
      <w:r w:rsidR="00B62085">
        <w:rPr>
          <w:color w:val="000000" w:themeColor="text1"/>
        </w:rPr>
        <w:t>’</w:t>
      </w:r>
      <w:r w:rsidRPr="001A3FB3">
        <w:rPr>
          <w:color w:val="000000" w:themeColor="text1"/>
        </w:rPr>
        <w:t>s $9.7 million switching-cost estimate forward-looking estimate of one-time compliance costs if the fund were forced to divest under the EDEA. The figure was included in OPERS</w:t>
      </w:r>
      <w:r w:rsidR="00B62085">
        <w:rPr>
          <w:color w:val="000000" w:themeColor="text1"/>
        </w:rPr>
        <w:t>’</w:t>
      </w:r>
      <w:r w:rsidRPr="001A3FB3">
        <w:rPr>
          <w:color w:val="000000" w:themeColor="text1"/>
        </w:rPr>
        <w:t>s evidentiary submission rather than adopted as a merits finding by the Oklahoma Supreme Court.</w:t>
      </w:r>
      <w:r w:rsidRPr="001A3FB3">
        <w:rPr>
          <w:rStyle w:val="FootnoteReference"/>
          <w:color w:val="000000" w:themeColor="text1"/>
        </w:rPr>
        <w:footnoteReference w:id="138"/>
      </w:r>
      <w:r w:rsidRPr="001A3FB3">
        <w:rPr>
          <w:color w:val="000000" w:themeColor="text1"/>
        </w:rPr>
        <w:t xml:space="preserve"> </w:t>
      </w:r>
      <w:r w:rsidRPr="001A3FB3">
        <w:rPr>
          <w:i/>
          <w:iCs/>
          <w:color w:val="000000" w:themeColor="text1"/>
        </w:rPr>
        <w:t>American Sustainable Business Council v. Hegar</w:t>
      </w:r>
      <w:r w:rsidRPr="001A3FB3">
        <w:rPr>
          <w:color w:val="000000" w:themeColor="text1"/>
        </w:rPr>
        <w:t xml:space="preserve"> declared TX SB 13 unconstitutional and enjoined it in February 2026; the appeal is pending in the Fifth Circuit at No. 26-50111.</w:t>
      </w:r>
      <w:r w:rsidRPr="001A3FB3">
        <w:rPr>
          <w:rStyle w:val="FootnoteReference"/>
          <w:color w:val="000000" w:themeColor="text1"/>
        </w:rPr>
        <w:footnoteReference w:id="139"/>
      </w:r>
      <w:r w:rsidRPr="001A3FB3">
        <w:rPr>
          <w:color w:val="000000" w:themeColor="text1"/>
        </w:rPr>
        <w:t xml:space="preserve"> Indiana provides a third instance on the same evidentiary posture: the Indiana Legislative Services Agency</w:t>
      </w:r>
      <w:r w:rsidR="00B62085">
        <w:rPr>
          <w:color w:val="000000" w:themeColor="text1"/>
        </w:rPr>
        <w:t>’</w:t>
      </w:r>
      <w:r w:rsidRPr="001A3FB3">
        <w:rPr>
          <w:color w:val="000000" w:themeColor="text1"/>
        </w:rPr>
        <w:t>s February 2023 fiscal impact statement on HB 1008 as originally drafted projected an approximately $6.7 billion reduction in Indiana Public Retirement System returns over ten years; following carve-out amendments that narrowed statutory scope from firmwide-policy assessment to plan-specific asset management, the LSA</w:t>
      </w:r>
      <w:r w:rsidR="00B62085">
        <w:rPr>
          <w:color w:val="000000" w:themeColor="text1"/>
        </w:rPr>
        <w:t>’</w:t>
      </w:r>
      <w:r w:rsidRPr="001A3FB3">
        <w:rPr>
          <w:color w:val="000000" w:themeColor="text1"/>
        </w:rPr>
        <w:t>s revised analysis projected residual costs of approximately $5.5 million over ten years. That dramatic estimate-collapse is evidence that statutory scope</w:t>
      </w:r>
      <w:r w:rsidR="00B62085">
        <w:rPr>
          <w:color w:val="000000" w:themeColor="text1"/>
        </w:rPr>
        <w:t>—</w:t>
      </w:r>
      <w:r w:rsidRPr="001A3FB3">
        <w:rPr>
          <w:color w:val="000000" w:themeColor="text1"/>
        </w:rPr>
        <w:t>not substantive direction</w:t>
      </w:r>
      <w:r w:rsidR="00B62085">
        <w:rPr>
          <w:color w:val="000000" w:themeColor="text1"/>
        </w:rPr>
        <w:t>—</w:t>
      </w:r>
      <w:r w:rsidRPr="001A3FB3">
        <w:rPr>
          <w:color w:val="000000" w:themeColor="text1"/>
        </w:rPr>
        <w:t>drives the architectural-cost analysis.</w:t>
      </w:r>
      <w:r w:rsidRPr="001A3FB3">
        <w:rPr>
          <w:rStyle w:val="FootnoteReference"/>
          <w:color w:val="000000" w:themeColor="text1"/>
        </w:rPr>
        <w:footnoteReference w:id="140"/>
      </w:r>
      <w:r w:rsidRPr="001A3FB3">
        <w:rPr>
          <w:color w:val="000000" w:themeColor="text1"/>
        </w:rPr>
        <w:t xml:space="preserve"> These figures are derived under different methodologies and should not be aggregated; the statutory scheme is not costless, and its costs fall on the very beneficiaries and taxpayers the statutes claim to protect.</w:t>
      </w:r>
    </w:p>
    <w:p w14:paraId="23303D1B" w14:textId="71AE61F0" w:rsidR="005F5ACD" w:rsidRPr="001A3FB3" w:rsidRDefault="00000000">
      <w:pPr>
        <w:pStyle w:val="BodyText"/>
        <w:rPr>
          <w:color w:val="000000" w:themeColor="text1"/>
        </w:rPr>
      </w:pPr>
      <w:r w:rsidRPr="001A3FB3">
        <w:rPr>
          <w:color w:val="000000" w:themeColor="text1"/>
        </w:rPr>
        <w:t>A regulated firm operating across multiple state jurisdictions faces structurally inconsistent mandates that cannot be jointly satisfied through a single firmwide policy.</w:t>
      </w:r>
      <w:r w:rsidRPr="001A3FB3">
        <w:rPr>
          <w:rStyle w:val="FootnoteReference"/>
          <w:color w:val="000000" w:themeColor="text1"/>
        </w:rPr>
        <w:footnoteReference w:id="141"/>
      </w:r>
      <w:r w:rsidRPr="001A3FB3">
        <w:rPr>
          <w:color w:val="000000" w:themeColor="text1"/>
        </w:rPr>
        <w:t xml:space="preserve"> On the Anti side, TX SB 13 creates designation, divestment, and contracting consequences for financial firms determined to boycott energy companies; OK HB 2034 (the Energy Discrimination Elimination Act) imposes parallel divestment in the public-pension channel; KY SB 205 and WV SB 262 attach contracting-eligibility consequences; FL § 655.0323 imposes attestation-and-supervisory obligations on depository conduct. </w:t>
      </w:r>
      <w:r w:rsidRPr="001A3FB3">
        <w:rPr>
          <w:i/>
          <w:iCs/>
          <w:color w:val="000000" w:themeColor="text1"/>
        </w:rPr>
        <w:t>Keenan</w:t>
      </w:r>
      <w:r w:rsidR="00B62085">
        <w:rPr>
          <w:color w:val="000000" w:themeColor="text1"/>
        </w:rPr>
        <w:t>’</w:t>
      </w:r>
      <w:r w:rsidRPr="001A3FB3">
        <w:rPr>
          <w:color w:val="000000" w:themeColor="text1"/>
        </w:rPr>
        <w:t>s dual-purpose holding makes the consequence concrete: compliance with the Anti regime can in some State environments violate exclusive-purpose constitutional commands, leaving no firmwide policy that simultaneously satisfies both regimes. The structural-choice problem is independent of behavioral-magnitude effects.</w:t>
      </w:r>
    </w:p>
    <w:p w14:paraId="0CA50822" w14:textId="49F024BB" w:rsidR="005F5ACD" w:rsidRPr="001A3FB3" w:rsidRDefault="00000000">
      <w:pPr>
        <w:pStyle w:val="BodyText"/>
        <w:rPr>
          <w:color w:val="000000" w:themeColor="text1"/>
        </w:rPr>
      </w:pPr>
      <w:r w:rsidRPr="001A3FB3">
        <w:rPr>
          <w:color w:val="000000" w:themeColor="text1"/>
        </w:rPr>
        <w:t xml:space="preserve">Three contemporaneous pressures plausibly contribute to the same observed retrenchment, and the available evidence does not isolate any single channel. Federal-policy oscillation across the same window operated as an independent signal: the DOL 2020 fiduciary rule restricted ERISA fiduciary consideration of nonpecuniary factors; the 2022 revision restored discretion; </w:t>
      </w:r>
      <w:r w:rsidRPr="001A3FB3">
        <w:rPr>
          <w:i/>
          <w:iCs/>
          <w:color w:val="000000" w:themeColor="text1"/>
        </w:rPr>
        <w:t xml:space="preserve">Utah v. </w:t>
      </w:r>
      <w:proofErr w:type="spellStart"/>
      <w:r w:rsidRPr="001A3FB3">
        <w:rPr>
          <w:i/>
          <w:iCs/>
          <w:color w:val="000000" w:themeColor="text1"/>
        </w:rPr>
        <w:t>Micone</w:t>
      </w:r>
      <w:proofErr w:type="spellEnd"/>
      <w:r w:rsidRPr="001A3FB3">
        <w:rPr>
          <w:color w:val="000000" w:themeColor="text1"/>
        </w:rPr>
        <w:t xml:space="preserve"> upheld the 2022 rule on remand under post-</w:t>
      </w:r>
      <w:r w:rsidRPr="001A3FB3">
        <w:rPr>
          <w:i/>
          <w:iCs/>
          <w:color w:val="000000" w:themeColor="text1"/>
        </w:rPr>
        <w:t>Loper Bright</w:t>
      </w:r>
      <w:r w:rsidRPr="001A3FB3">
        <w:rPr>
          <w:color w:val="000000" w:themeColor="text1"/>
        </w:rPr>
        <w:t xml:space="preserve"> de novo review;</w:t>
      </w:r>
      <w:r w:rsidRPr="001A3FB3">
        <w:rPr>
          <w:rStyle w:val="FootnoteReference"/>
          <w:color w:val="000000" w:themeColor="text1"/>
        </w:rPr>
        <w:footnoteReference w:id="142"/>
      </w:r>
      <w:r w:rsidRPr="001A3FB3">
        <w:rPr>
          <w:color w:val="000000" w:themeColor="text1"/>
        </w:rPr>
        <w:t xml:space="preserve"> DOL Technical Release 2026-01 took the position that proxy advisers may function as ERISA fiduciaries and that state proxy-adviser disclosure laws are generally not preempted;</w:t>
      </w:r>
      <w:r w:rsidRPr="001A3FB3">
        <w:rPr>
          <w:rStyle w:val="FootnoteReference"/>
          <w:color w:val="000000" w:themeColor="text1"/>
        </w:rPr>
        <w:footnoteReference w:id="143"/>
      </w:r>
      <w:r w:rsidRPr="001A3FB3">
        <w:rPr>
          <w:color w:val="000000" w:themeColor="text1"/>
        </w:rPr>
        <w:t xml:space="preserve"> the SEC</w:t>
      </w:r>
      <w:r w:rsidR="00B62085">
        <w:rPr>
          <w:color w:val="000000" w:themeColor="text1"/>
        </w:rPr>
        <w:t>’</w:t>
      </w:r>
      <w:r w:rsidRPr="001A3FB3">
        <w:rPr>
          <w:color w:val="000000" w:themeColor="text1"/>
        </w:rPr>
        <w:t xml:space="preserve">s 2024 climate-disclosure rule was stayed pending consolidated litigation in </w:t>
      </w:r>
      <w:r w:rsidRPr="001A3FB3">
        <w:rPr>
          <w:i/>
          <w:iCs/>
          <w:color w:val="000000" w:themeColor="text1"/>
        </w:rPr>
        <w:t>Iowa v. SEC</w:t>
      </w:r>
      <w:r w:rsidRPr="001A3FB3">
        <w:rPr>
          <w:color w:val="000000" w:themeColor="text1"/>
        </w:rPr>
        <w:t>, and on March 27, 2025 the SEC ended its defense of the rules.</w:t>
      </w:r>
      <w:r w:rsidRPr="001A3FB3">
        <w:rPr>
          <w:rStyle w:val="FootnoteReference"/>
          <w:color w:val="000000" w:themeColor="text1"/>
        </w:rPr>
        <w:footnoteReference w:id="144"/>
      </w:r>
      <w:r w:rsidRPr="001A3FB3">
        <w:rPr>
          <w:color w:val="000000" w:themeColor="text1"/>
        </w:rPr>
        <w:t xml:space="preserve"> Macroeconomic and commercial pressures operated in the same direction: the 2022–2024 interest-rate cycle disadvantaged long-duration low-carbon investment, energy-sector returns ran ahead of broader benchmarks, and institutional-client ESG-fatigue reduced demand for ESG-branded product. Coalition-internal governance dynamics</w:t>
      </w:r>
      <w:r w:rsidR="00B62085">
        <w:rPr>
          <w:color w:val="000000" w:themeColor="text1"/>
        </w:rPr>
        <w:t>—</w:t>
      </w:r>
      <w:r w:rsidRPr="001A3FB3">
        <w:rPr>
          <w:color w:val="000000" w:themeColor="text1"/>
        </w:rPr>
        <w:t>coordination costs, voting-independence disagreements, antitrust-risk perception</w:t>
      </w:r>
      <w:r w:rsidR="00B62085">
        <w:rPr>
          <w:color w:val="000000" w:themeColor="text1"/>
        </w:rPr>
        <w:t>—</w:t>
      </w:r>
      <w:r w:rsidRPr="001A3FB3">
        <w:rPr>
          <w:color w:val="000000" w:themeColor="text1"/>
        </w:rPr>
        <w:t>overlapped with the same period.</w:t>
      </w:r>
      <w:r w:rsidRPr="001A3FB3">
        <w:rPr>
          <w:rStyle w:val="FootnoteReference"/>
          <w:color w:val="000000" w:themeColor="text1"/>
        </w:rPr>
        <w:footnoteReference w:id="145"/>
      </w:r>
      <w:r w:rsidRPr="001A3FB3">
        <w:rPr>
          <w:color w:val="000000" w:themeColor="text1"/>
        </w:rPr>
        <w:t xml:space="preserve"> The Article does not disentangle these channels; the magnitude-independent claim Part IV develops does not require it.</w:t>
      </w:r>
    </w:p>
    <w:p w14:paraId="3235B33B" w14:textId="77777777" w:rsidR="005F5ACD" w:rsidRPr="001A3FB3" w:rsidRDefault="00000000" w:rsidP="001A3FB3">
      <w:pPr>
        <w:pStyle w:val="Heading2"/>
      </w:pPr>
      <w:bookmarkStart w:id="52" w:name="Xfc120fdd27a577283a9070e5c203d19dcbc723a"/>
      <w:bookmarkStart w:id="53" w:name="_Toc229502276"/>
      <w:bookmarkEnd w:id="50"/>
      <w:r w:rsidRPr="001A3FB3">
        <w:t>§IV.B What Drives the Effects (Compliance Overhang)</w:t>
      </w:r>
      <w:bookmarkEnd w:id="53"/>
    </w:p>
    <w:p w14:paraId="51299EB9" w14:textId="60F22BC1" w:rsidR="005F5ACD" w:rsidRPr="001A3FB3" w:rsidRDefault="00000000">
      <w:pPr>
        <w:pStyle w:val="FirstParagraph"/>
        <w:rPr>
          <w:color w:val="000000" w:themeColor="text1"/>
        </w:rPr>
      </w:pPr>
      <w:r w:rsidRPr="001A3FB3">
        <w:rPr>
          <w:color w:val="000000" w:themeColor="text1"/>
        </w:rPr>
        <w:t>The wave</w:t>
      </w:r>
      <w:r w:rsidR="00B62085">
        <w:rPr>
          <w:color w:val="000000" w:themeColor="text1"/>
        </w:rPr>
        <w:t>’</w:t>
      </w:r>
      <w:r w:rsidRPr="001A3FB3">
        <w:rPr>
          <w:color w:val="000000" w:themeColor="text1"/>
        </w:rPr>
        <w:t xml:space="preserve">s architecture operates as a transaction-cost regime independent of any </w:t>
      </w:r>
      <w:proofErr w:type="gramStart"/>
      <w:r w:rsidRPr="001A3FB3">
        <w:rPr>
          <w:color w:val="000000" w:themeColor="text1"/>
        </w:rPr>
        <w:t>merits</w:t>
      </w:r>
      <w:proofErr w:type="gramEnd"/>
      <w:r w:rsidRPr="001A3FB3">
        <w:rPr>
          <w:color w:val="000000" w:themeColor="text1"/>
        </w:rPr>
        <w:t xml:space="preserve"> adjudication. Each component is identifiable in the statutory text or in the non-statutory pressure apparatus that surrounds it; none requires inference about firm motive.</w:t>
      </w:r>
    </w:p>
    <w:p w14:paraId="44BAF334" w14:textId="77777777" w:rsidR="005F5ACD" w:rsidRPr="001A3FB3" w:rsidRDefault="00000000">
      <w:pPr>
        <w:pStyle w:val="BodyText"/>
        <w:rPr>
          <w:color w:val="000000" w:themeColor="text1"/>
        </w:rPr>
      </w:pPr>
      <w:r w:rsidRPr="001A3FB3">
        <w:rPr>
          <w:color w:val="000000" w:themeColor="text1"/>
        </w:rPr>
        <w:t xml:space="preserve">Why retreat persists is separate from whether any single statute caused retreat to begin. Section IV.A identifies a contemporaneous cost environment consistent with the observed pullback; it does not isolate a </w:t>
      </w:r>
      <w:proofErr w:type="spellStart"/>
      <w:r w:rsidRPr="001A3FB3">
        <w:rPr>
          <w:color w:val="000000" w:themeColor="text1"/>
        </w:rPr>
        <w:t>but</w:t>
      </w:r>
      <w:proofErr w:type="spellEnd"/>
      <w:r w:rsidRPr="001A3FB3">
        <w:rPr>
          <w:color w:val="000000" w:themeColor="text1"/>
        </w:rPr>
        <w:t>-for causal channel. The persistence question is narrower: why firms continue to step back from climate-coded analysis, coalition participation, and active proxy engagement even after several signature instruments have been enjoined, invalidated, or placed under serious doctrinal pressure.</w:t>
      </w:r>
    </w:p>
    <w:p w14:paraId="48FFAFD3" w14:textId="63701B02" w:rsidR="005F5ACD" w:rsidRPr="001A3FB3" w:rsidRDefault="00000000" w:rsidP="00B20F3D">
      <w:pPr>
        <w:pStyle w:val="BodyText"/>
        <w:rPr>
          <w:color w:val="000000" w:themeColor="text1"/>
        </w:rPr>
      </w:pPr>
      <w:r w:rsidRPr="001A3FB3">
        <w:rPr>
          <w:color w:val="000000" w:themeColor="text1"/>
        </w:rPr>
        <w:t xml:space="preserve">The </w:t>
      </w:r>
      <w:r w:rsidR="00F07281">
        <w:rPr>
          <w:color w:val="000000" w:themeColor="text1"/>
        </w:rPr>
        <w:t>record</w:t>
      </w:r>
      <w:r w:rsidRPr="001A3FB3">
        <w:rPr>
          <w:color w:val="000000" w:themeColor="text1"/>
        </w:rPr>
        <w:t xml:space="preserve"> </w:t>
      </w:r>
      <w:r w:rsidR="00F07281">
        <w:rPr>
          <w:color w:val="000000" w:themeColor="text1"/>
        </w:rPr>
        <w:t>could also partially be explained by</w:t>
      </w:r>
      <w:r w:rsidRPr="001A3FB3">
        <w:rPr>
          <w:color w:val="000000" w:themeColor="text1"/>
        </w:rPr>
        <w:t xml:space="preserve"> the expressive function of statutory design. Legal commands carry social meaning and sanction-risk signals beyond their behavioral mandates; a statute that produces small expected enforcement costs can produce far larger expected reputational and political-exposure costs once its existence reframes the social meaning of the conduct it addresses.</w:t>
      </w:r>
      <w:r w:rsidRPr="001A3FB3">
        <w:rPr>
          <w:rStyle w:val="FootnoteReference"/>
          <w:color w:val="000000" w:themeColor="text1"/>
        </w:rPr>
        <w:footnoteReference w:id="146"/>
      </w:r>
      <w:r w:rsidRPr="001A3FB3">
        <w:rPr>
          <w:color w:val="000000" w:themeColor="text1"/>
        </w:rPr>
        <w:t xml:space="preserve"> Kuran and Sunstein</w:t>
      </w:r>
      <w:r w:rsidR="00B62085">
        <w:rPr>
          <w:color w:val="000000" w:themeColor="text1"/>
        </w:rPr>
        <w:t>’</w:t>
      </w:r>
      <w:r w:rsidRPr="001A3FB3">
        <w:rPr>
          <w:color w:val="000000" w:themeColor="text1"/>
        </w:rPr>
        <w:t>s work on availability cascades describes the complementary dynamic: a contested social position becomes rapidly entrenched once it crosses a perceptual threshold of salience, information about regulatory risk propagates faster than information about regulatory resolution, and equilibrium expectation overshoots actual enforcement probability.</w:t>
      </w:r>
      <w:r w:rsidRPr="001A3FB3">
        <w:rPr>
          <w:rStyle w:val="FootnoteReference"/>
          <w:color w:val="000000" w:themeColor="text1"/>
        </w:rPr>
        <w:footnoteReference w:id="147"/>
      </w:r>
      <w:r w:rsidR="00B20F3D">
        <w:rPr>
          <w:color w:val="000000" w:themeColor="text1"/>
        </w:rPr>
        <w:t xml:space="preserve"> </w:t>
      </w:r>
      <w:r w:rsidRPr="001A3FB3">
        <w:rPr>
          <w:color w:val="000000" w:themeColor="text1"/>
        </w:rPr>
        <w:t>That expressive layer is amplified by features specific to this wave. The signaling function does not wait on enactment. Within the climate-facing ESG universe, Anti-side annual observations substantially exceed enacted output, which matters because introduction itself can signal legal contestation even when a bill never becomes law.</w:t>
      </w:r>
      <w:r w:rsidRPr="001A3FB3">
        <w:rPr>
          <w:rStyle w:val="FootnoteReference"/>
          <w:color w:val="000000" w:themeColor="text1"/>
        </w:rPr>
        <w:footnoteReference w:id="148"/>
      </w:r>
    </w:p>
    <w:p w14:paraId="39ABD6B7" w14:textId="54CB3E40" w:rsidR="005F5ACD" w:rsidRPr="001A3FB3" w:rsidRDefault="00000000" w:rsidP="00267DE5">
      <w:pPr>
        <w:pStyle w:val="BodyText"/>
        <w:rPr>
          <w:color w:val="000000" w:themeColor="text1"/>
        </w:rPr>
      </w:pPr>
      <w:r w:rsidRPr="001A3FB3">
        <w:rPr>
          <w:color w:val="000000" w:themeColor="text1"/>
        </w:rPr>
        <w:t>Evidentiary-conversion devices then translate that signal into forward-looking cost across distinct actor categories. Coalition-membership-as-evidence of the KY HB 236 type treats associational and behavioral conduct as evidence of improper motive—conduct frequently undertaken outside the enacting state by corporate signatories, asset managers, and other institutional actors whose Net Zero or stewardship-coalition affiliations sit on global records. The provision exposes the signatory</w:t>
      </w:r>
      <w:r w:rsidR="00B62085">
        <w:rPr>
          <w:color w:val="000000" w:themeColor="text1"/>
        </w:rPr>
        <w:t>’</w:t>
      </w:r>
      <w:r w:rsidRPr="001A3FB3">
        <w:rPr>
          <w:color w:val="000000" w:themeColor="text1"/>
        </w:rPr>
        <w:t>s posture wherever it operates, not only its in-state activity. Texas SB 2337</w:t>
      </w:r>
      <w:r w:rsidR="00B62085">
        <w:rPr>
          <w:color w:val="000000" w:themeColor="text1"/>
        </w:rPr>
        <w:t>’</w:t>
      </w:r>
      <w:r w:rsidRPr="001A3FB3">
        <w:rPr>
          <w:color w:val="000000" w:themeColor="text1"/>
        </w:rPr>
        <w:t>s written-financial-analysis duty operates one layer further from the fiduciary itself: it regulates proxy advisers as a distinct industry—the third-party firms whose recommendations institutional investors, including but not limited to ERISA and state-pension fiduciaries, depend on for proxy-voting decisions. By requiring each recommendation be documented in financial-only terms, the statute imposes a per-vote compliance cost on the advisory firm, and the chilling effect propagates through the advisory channel to every investor whose voting practices depend on it. Even actors confident of prevailing at trial face years of regulatory exposure on horizons that exceed any single statute</w:t>
      </w:r>
      <w:r w:rsidR="00B62085">
        <w:rPr>
          <w:color w:val="000000" w:themeColor="text1"/>
        </w:rPr>
        <w:t>’</w:t>
      </w:r>
      <w:r w:rsidRPr="001A3FB3">
        <w:rPr>
          <w:color w:val="000000" w:themeColor="text1"/>
        </w:rPr>
        <w:t>s litigation calendar; stepping back can be cheaper than continued engagement.</w:t>
      </w:r>
      <w:r w:rsidRPr="001A3FB3">
        <w:rPr>
          <w:rStyle w:val="FootnoteReference"/>
          <w:color w:val="000000" w:themeColor="text1"/>
        </w:rPr>
        <w:footnoteReference w:id="149"/>
      </w:r>
      <w:r w:rsidRPr="001A3FB3">
        <w:rPr>
          <w:color w:val="000000" w:themeColor="text1"/>
        </w:rPr>
        <w:t xml:space="preserve"> And where formal statutory exposure thins, informal coercion fills the space: AG investigations, settlement covenants, and designated-list pressure, for which </w:t>
      </w:r>
      <w:r w:rsidRPr="001A3FB3">
        <w:rPr>
          <w:i/>
          <w:iCs/>
          <w:color w:val="000000" w:themeColor="text1"/>
        </w:rPr>
        <w:t>Bantam Books v. Sullivan</w:t>
      </w:r>
      <w:r w:rsidRPr="001A3FB3">
        <w:rPr>
          <w:color w:val="000000" w:themeColor="text1"/>
        </w:rPr>
        <w:t xml:space="preserve"> and </w:t>
      </w:r>
      <w:r w:rsidRPr="001A3FB3">
        <w:rPr>
          <w:i/>
          <w:iCs/>
          <w:color w:val="000000" w:themeColor="text1"/>
        </w:rPr>
        <w:t>NRA v. Vullo</w:t>
      </w:r>
      <w:r w:rsidRPr="001A3FB3">
        <w:rPr>
          <w:color w:val="000000" w:themeColor="text1"/>
        </w:rPr>
        <w:t xml:space="preserve"> supply the constitutional category.</w:t>
      </w:r>
      <w:r w:rsidRPr="001A3FB3">
        <w:rPr>
          <w:rStyle w:val="FootnoteReference"/>
          <w:color w:val="000000" w:themeColor="text1"/>
        </w:rPr>
        <w:footnoteReference w:id="150"/>
      </w:r>
      <w:r w:rsidR="00267DE5">
        <w:rPr>
          <w:color w:val="000000" w:themeColor="text1"/>
        </w:rPr>
        <w:t xml:space="preserve"> </w:t>
      </w:r>
      <w:r w:rsidRPr="001A3FB3">
        <w:rPr>
          <w:color w:val="000000" w:themeColor="text1"/>
        </w:rPr>
        <w:t xml:space="preserve">Doctrine identifies the legal category; the expressive-function account </w:t>
      </w:r>
      <w:r w:rsidR="00267DE5">
        <w:rPr>
          <w:color w:val="000000" w:themeColor="text1"/>
        </w:rPr>
        <w:t xml:space="preserve">may also </w:t>
      </w:r>
      <w:r w:rsidRPr="001A3FB3">
        <w:rPr>
          <w:color w:val="000000" w:themeColor="text1"/>
        </w:rPr>
        <w:t>explain</w:t>
      </w:r>
      <w:r w:rsidR="00267DE5">
        <w:rPr>
          <w:color w:val="000000" w:themeColor="text1"/>
        </w:rPr>
        <w:t xml:space="preserve"> </w:t>
      </w:r>
      <w:r w:rsidRPr="001A3FB3">
        <w:rPr>
          <w:color w:val="000000" w:themeColor="text1"/>
        </w:rPr>
        <w:t>why firms step back even after individual statutes are enjoined.</w:t>
      </w:r>
    </w:p>
    <w:p w14:paraId="1058F26A" w14:textId="77777777" w:rsidR="005F5ACD" w:rsidRPr="001A3FB3" w:rsidRDefault="00000000">
      <w:pPr>
        <w:pStyle w:val="BodyText"/>
        <w:rPr>
          <w:color w:val="000000" w:themeColor="text1"/>
        </w:rPr>
      </w:pPr>
      <w:r w:rsidRPr="001A3FB3">
        <w:rPr>
          <w:i/>
          <w:iCs/>
          <w:color w:val="000000" w:themeColor="text1"/>
        </w:rPr>
        <w:t>Documentation cost.</w:t>
      </w:r>
      <w:r w:rsidRPr="001A3FB3">
        <w:rPr>
          <w:color w:val="000000" w:themeColor="text1"/>
        </w:rPr>
        <w:t xml:space="preserve"> Texas SB 2337 imposes a written-financial-analysis duty on proxy advisers whose advice diverges from a state-prescribed state-defined pecuniary criteria. Tex. Bus. Orgs. Code §§ 6A.101(a)(2), (b)(1)(A)–(B), (b)(3) attach the duty to each advice instance; §§ 6A.201, 6A.202 supply private and AG enforcement.</w:t>
      </w:r>
      <w:r w:rsidRPr="001A3FB3">
        <w:rPr>
          <w:rStyle w:val="FootnoteReference"/>
          <w:color w:val="000000" w:themeColor="text1"/>
        </w:rPr>
        <w:footnoteReference w:id="151"/>
      </w:r>
      <w:r w:rsidRPr="001A3FB3">
        <w:rPr>
          <w:color w:val="000000" w:themeColor="text1"/>
        </w:rPr>
        <w:t xml:space="preserve"> The cost is the per-instance documentary record demanding contemporaneous justification of analytical choices, applicable regardless of whether the underlying advice would survive ordinary fiduciary review.</w:t>
      </w:r>
    </w:p>
    <w:p w14:paraId="3F588E5F" w14:textId="77777777" w:rsidR="005F5ACD" w:rsidRPr="001A3FB3" w:rsidRDefault="00000000">
      <w:pPr>
        <w:pStyle w:val="BodyText"/>
        <w:rPr>
          <w:color w:val="000000" w:themeColor="text1"/>
        </w:rPr>
      </w:pPr>
      <w:r w:rsidRPr="001A3FB3">
        <w:rPr>
          <w:i/>
          <w:iCs/>
          <w:color w:val="000000" w:themeColor="text1"/>
        </w:rPr>
        <w:t>CEO attestation cost.</w:t>
      </w:r>
      <w:r w:rsidRPr="001A3FB3">
        <w:rPr>
          <w:color w:val="000000" w:themeColor="text1"/>
        </w:rPr>
        <w:t xml:space="preserve"> Florida Statutes § 655.0323 attaches firm-level supervisory and perjury exposure to depository conduct toward state funds, requiring senior-officer attestation of compliance with state ESG-discrimination prohibitions.</w:t>
      </w:r>
      <w:r w:rsidRPr="001A3FB3">
        <w:rPr>
          <w:rStyle w:val="FootnoteReference"/>
          <w:color w:val="000000" w:themeColor="text1"/>
        </w:rPr>
        <w:footnoteReference w:id="152"/>
      </w:r>
      <w:r w:rsidRPr="001A3FB3">
        <w:rPr>
          <w:color w:val="000000" w:themeColor="text1"/>
        </w:rPr>
        <w:t xml:space="preserve"> Attestation costs are sticky because the attesting officer cannot delegate the personal-liability tail.</w:t>
      </w:r>
    </w:p>
    <w:p w14:paraId="435A9F63" w14:textId="097F9A32" w:rsidR="005F5ACD" w:rsidRPr="001A3FB3" w:rsidRDefault="00000000">
      <w:pPr>
        <w:pStyle w:val="BodyText"/>
        <w:rPr>
          <w:color w:val="000000" w:themeColor="text1"/>
        </w:rPr>
      </w:pPr>
      <w:r w:rsidRPr="001A3FB3">
        <w:rPr>
          <w:i/>
          <w:iCs/>
          <w:color w:val="000000" w:themeColor="text1"/>
        </w:rPr>
        <w:t>Designation-list architecture.</w:t>
      </w:r>
      <w:r w:rsidRPr="001A3FB3">
        <w:rPr>
          <w:color w:val="000000" w:themeColor="text1"/>
        </w:rPr>
        <w:t xml:space="preserve"> Texas SB 13 directs the Comptroller to maintain a list of financial firms determined to </w:t>
      </w:r>
      <w:r w:rsidR="00B62085">
        <w:rPr>
          <w:color w:val="000000" w:themeColor="text1"/>
        </w:rPr>
        <w:t>“</w:t>
      </w:r>
      <w:r w:rsidRPr="001A3FB3">
        <w:rPr>
          <w:color w:val="000000" w:themeColor="text1"/>
        </w:rPr>
        <w:t>boycott</w:t>
      </w:r>
      <w:r w:rsidR="00B62085">
        <w:rPr>
          <w:color w:val="000000" w:themeColor="text1"/>
        </w:rPr>
        <w:t>”</w:t>
      </w:r>
      <w:r w:rsidRPr="001A3FB3">
        <w:rPr>
          <w:color w:val="000000" w:themeColor="text1"/>
        </w:rPr>
        <w:t xml:space="preserve"> energy companies; Tex. Gov</w:t>
      </w:r>
      <w:r w:rsidR="00B62085">
        <w:rPr>
          <w:color w:val="000000" w:themeColor="text1"/>
        </w:rPr>
        <w:t>’</w:t>
      </w:r>
      <w:r w:rsidRPr="001A3FB3">
        <w:rPr>
          <w:color w:val="000000" w:themeColor="text1"/>
        </w:rPr>
        <w:t>t Code § 809.001 et seq. governs designation methodology, and § 809.005 supplies an ordinary-business-purpose carveout the Comptroller has interpreted to require firmwide demonstration of analytical conduct. Oklahoma</w:t>
      </w:r>
      <w:r w:rsidR="00B62085">
        <w:rPr>
          <w:color w:val="000000" w:themeColor="text1"/>
        </w:rPr>
        <w:t>’</w:t>
      </w:r>
      <w:r w:rsidRPr="001A3FB3">
        <w:rPr>
          <w:color w:val="000000" w:themeColor="text1"/>
        </w:rPr>
        <w:t>s EDEA operates similarly. The Texas Comptroller</w:t>
      </w:r>
      <w:r w:rsidR="00B62085">
        <w:rPr>
          <w:color w:val="000000" w:themeColor="text1"/>
        </w:rPr>
        <w:t>’</w:t>
      </w:r>
      <w:r w:rsidRPr="001A3FB3">
        <w:rPr>
          <w:color w:val="000000" w:themeColor="text1"/>
        </w:rPr>
        <w:t>s June 2025 delisting of BlackRock relied on demonstration of altered public artifacts</w:t>
      </w:r>
      <w:r w:rsidR="00B62085">
        <w:rPr>
          <w:color w:val="000000" w:themeColor="text1"/>
        </w:rPr>
        <w:t>—</w:t>
      </w:r>
      <w:r w:rsidRPr="001A3FB3">
        <w:rPr>
          <w:color w:val="000000" w:themeColor="text1"/>
        </w:rPr>
        <w:t>coalition memberships, public statements, fund product lines</w:t>
      </w:r>
      <w:r w:rsidR="00B62085">
        <w:rPr>
          <w:color w:val="000000" w:themeColor="text1"/>
        </w:rPr>
        <w:t>—</w:t>
      </w:r>
      <w:r w:rsidRPr="001A3FB3">
        <w:rPr>
          <w:color w:val="000000" w:themeColor="text1"/>
        </w:rPr>
        <w:t>rather than altered analytical methodology, and state officials characterized the delisting as evidence of changed firm conduct.</w:t>
      </w:r>
      <w:r w:rsidRPr="001A3FB3">
        <w:rPr>
          <w:rStyle w:val="FootnoteReference"/>
          <w:color w:val="000000" w:themeColor="text1"/>
        </w:rPr>
        <w:footnoteReference w:id="153"/>
      </w:r>
    </w:p>
    <w:p w14:paraId="06A180BF" w14:textId="1383F5AD" w:rsidR="005F5ACD" w:rsidRPr="001A3FB3" w:rsidRDefault="00000000">
      <w:pPr>
        <w:pStyle w:val="BodyText"/>
        <w:rPr>
          <w:color w:val="000000" w:themeColor="text1"/>
        </w:rPr>
      </w:pPr>
      <w:r w:rsidRPr="001A3FB3">
        <w:rPr>
          <w:i/>
          <w:iCs/>
          <w:color w:val="000000" w:themeColor="text1"/>
        </w:rPr>
        <w:t>Pre-adjudicative pressure.</w:t>
      </w:r>
      <w:r w:rsidRPr="001A3FB3">
        <w:rPr>
          <w:color w:val="000000" w:themeColor="text1"/>
        </w:rPr>
        <w:t xml:space="preserve"> The category is narrower than ordinary regulatory inquiry. It captures configurations in which state actors combine formal legal uncertainty with </w:t>
      </w:r>
      <w:proofErr w:type="spellStart"/>
      <w:r w:rsidRPr="001A3FB3">
        <w:rPr>
          <w:color w:val="000000" w:themeColor="text1"/>
        </w:rPr>
        <w:t>listmaking</w:t>
      </w:r>
      <w:proofErr w:type="spellEnd"/>
      <w:r w:rsidRPr="001A3FB3">
        <w:rPr>
          <w:color w:val="000000" w:themeColor="text1"/>
        </w:rPr>
        <w:t>, public threat, settlement covenant, or certification structure to raise the cost of otherwise lawful climate- or ESG-coded analysis before merits adjudication. The March 30, 2023 letter from twenty-one State Attorneys General to Larry Fink and to more than fifty large asset managers asserted that NZAM participation required stewardship and voting policies inconsistent with fiduciary obligations to State pension beneficiaries and demanded substantial documentary production.</w:t>
      </w:r>
      <w:r w:rsidRPr="001A3FB3">
        <w:rPr>
          <w:rStyle w:val="FootnoteReference"/>
          <w:color w:val="000000" w:themeColor="text1"/>
        </w:rPr>
        <w:footnoteReference w:id="154"/>
      </w:r>
      <w:r w:rsidRPr="001A3FB3">
        <w:rPr>
          <w:color w:val="000000" w:themeColor="text1"/>
        </w:rPr>
        <w:t xml:space="preserve"> The May 15, 2023 Utah-led 23-state letter from State Attorneys General to NZIA members operated similarly; the Kentucky Attorney General</w:t>
      </w:r>
      <w:r w:rsidR="00B62085">
        <w:rPr>
          <w:color w:val="000000" w:themeColor="text1"/>
        </w:rPr>
        <w:t>’</w:t>
      </w:r>
      <w:r w:rsidRPr="001A3FB3">
        <w:rPr>
          <w:color w:val="000000" w:themeColor="text1"/>
        </w:rPr>
        <w:t xml:space="preserve">s November 10, 2022 Civil Investigative Demand to State Street Corp. defined </w:t>
      </w:r>
      <w:r w:rsidR="00B62085">
        <w:rPr>
          <w:color w:val="000000" w:themeColor="text1"/>
        </w:rPr>
        <w:t>“</w:t>
      </w:r>
      <w:r w:rsidRPr="001A3FB3">
        <w:rPr>
          <w:color w:val="000000" w:themeColor="text1"/>
        </w:rPr>
        <w:t>ESG Integration Practices</w:t>
      </w:r>
      <w:r w:rsidR="00B62085">
        <w:rPr>
          <w:color w:val="000000" w:themeColor="text1"/>
        </w:rPr>
        <w:t>”</w:t>
      </w:r>
      <w:r w:rsidRPr="001A3FB3">
        <w:rPr>
          <w:color w:val="000000" w:themeColor="text1"/>
        </w:rPr>
        <w:t xml:space="preserve"> broadly to reach both investment decisions and corporate engagement; Texas Attorney General Civil Investigative Demands to multiple asset managers covered overlapping ground, and a separate Texas AG investigation reached S&amp;P </w:t>
      </w:r>
      <w:proofErr w:type="spellStart"/>
      <w:r w:rsidRPr="001A3FB3">
        <w:rPr>
          <w:color w:val="000000" w:themeColor="text1"/>
        </w:rPr>
        <w:t>Global</w:t>
      </w:r>
      <w:r w:rsidR="00B62085">
        <w:rPr>
          <w:color w:val="000000" w:themeColor="text1"/>
        </w:rPr>
        <w:t>’</w:t>
      </w:r>
      <w:r w:rsidRPr="001A3FB3">
        <w:rPr>
          <w:color w:val="000000" w:themeColor="text1"/>
        </w:rPr>
        <w:t>s</w:t>
      </w:r>
      <w:proofErr w:type="spellEnd"/>
      <w:r w:rsidRPr="001A3FB3">
        <w:rPr>
          <w:color w:val="000000" w:themeColor="text1"/>
        </w:rPr>
        <w:t xml:space="preserve"> use of ESG factors in credit ratings. Each instrument imposes costs on regulated firms before any court reaches the merits.</w:t>
      </w:r>
      <w:r w:rsidRPr="001A3FB3">
        <w:rPr>
          <w:rStyle w:val="FootnoteReference"/>
          <w:color w:val="000000" w:themeColor="text1"/>
        </w:rPr>
        <w:footnoteReference w:id="155"/>
      </w:r>
      <w:r w:rsidRPr="001A3FB3">
        <w:rPr>
          <w:color w:val="000000" w:themeColor="text1"/>
        </w:rPr>
        <w:t xml:space="preserve"> The </w:t>
      </w:r>
      <w:r w:rsidRPr="001A3FB3">
        <w:rPr>
          <w:i/>
          <w:iCs/>
          <w:color w:val="000000" w:themeColor="text1"/>
        </w:rPr>
        <w:t>Texas v. BlackRock</w:t>
      </w:r>
      <w:r w:rsidRPr="001A3FB3">
        <w:rPr>
          <w:color w:val="000000" w:themeColor="text1"/>
        </w:rPr>
        <w:t xml:space="preserve"> multi-state antitrust action (E.D. Tex. No. 6:24-cv-00437-JDK) alleges that the defendants </w:t>
      </w:r>
      <w:r w:rsidR="00B62085">
        <w:rPr>
          <w:color w:val="000000" w:themeColor="text1"/>
        </w:rPr>
        <w:t>“</w:t>
      </w:r>
      <w:r w:rsidRPr="001A3FB3">
        <w:rPr>
          <w:color w:val="000000" w:themeColor="text1"/>
        </w:rPr>
        <w:t>effectively formed a syndicate</w:t>
      </w:r>
      <w:r w:rsidR="00B62085">
        <w:rPr>
          <w:color w:val="000000" w:themeColor="text1"/>
        </w:rPr>
        <w:t>”</w:t>
      </w:r>
      <w:r w:rsidRPr="001A3FB3">
        <w:rPr>
          <w:color w:val="000000" w:themeColor="text1"/>
        </w:rPr>
        <w:t xml:space="preserve"> using their coal-company holdings to suppress fossil-fuel output through proxy voting and engagement; the complaint remains at the pleading stage, and the Article treats the action as a multi-state antitrust pressure vehicle, not as authority for any antitrust holding.</w:t>
      </w:r>
      <w:r w:rsidRPr="001A3FB3">
        <w:rPr>
          <w:rStyle w:val="FootnoteReference"/>
          <w:color w:val="000000" w:themeColor="text1"/>
        </w:rPr>
        <w:footnoteReference w:id="156"/>
      </w:r>
      <w:r w:rsidRPr="001A3FB3">
        <w:rPr>
          <w:color w:val="000000" w:themeColor="text1"/>
        </w:rPr>
        <w:t xml:space="preserve"> The Vanguard 13-Attorney-General settlement of February 25, 2026 ($29.5 million; no admission of liability) converted contested enforcement allegations into a package of forward-looking behavioral covenants—stewardship passivity, coalition withdrawal, prescribed engagement-language, and proxy-voting-choice commitments extending through at least June 2032.</w:t>
      </w:r>
      <w:r w:rsidRPr="001A3FB3">
        <w:rPr>
          <w:rStyle w:val="FootnoteReference"/>
          <w:color w:val="000000" w:themeColor="text1"/>
        </w:rPr>
        <w:footnoteReference w:id="157"/>
      </w:r>
      <w:r w:rsidRPr="001A3FB3">
        <w:rPr>
          <w:color w:val="000000" w:themeColor="text1"/>
        </w:rPr>
        <w:t xml:space="preserve"> The Tennessee Attorney General</w:t>
      </w:r>
      <w:r w:rsidR="00B62085">
        <w:rPr>
          <w:color w:val="000000" w:themeColor="text1"/>
        </w:rPr>
        <w:t>’</w:t>
      </w:r>
      <w:r w:rsidRPr="001A3FB3">
        <w:rPr>
          <w:color w:val="000000" w:themeColor="text1"/>
        </w:rPr>
        <w:t>s January 2025 resolution with BlackRock, announced by press release, is characterized as producing enhanced-transparency, compliance-oversight, investor-communication, and financial-interest voting commitments without admission of liability; the Article relies on press-release confirmation rather than on a signed settlement document.</w:t>
      </w:r>
      <w:r w:rsidRPr="001A3FB3">
        <w:rPr>
          <w:rStyle w:val="FootnoteReference"/>
          <w:color w:val="000000" w:themeColor="text1"/>
        </w:rPr>
        <w:footnoteReference w:id="158"/>
      </w:r>
      <w:r w:rsidRPr="001A3FB3">
        <w:rPr>
          <w:color w:val="000000" w:themeColor="text1"/>
        </w:rPr>
        <w:t xml:space="preserve"> The shift from statutory divestment mandates—which produced </w:t>
      </w:r>
      <w:r w:rsidRPr="001A3FB3">
        <w:rPr>
          <w:i/>
          <w:iCs/>
          <w:color w:val="000000" w:themeColor="text1"/>
        </w:rPr>
        <w:t>Keenan v. Russ</w:t>
      </w:r>
      <w:r w:rsidR="00B62085">
        <w:rPr>
          <w:color w:val="000000" w:themeColor="text1"/>
        </w:rPr>
        <w:t>’</w:t>
      </w:r>
      <w:r w:rsidRPr="001A3FB3">
        <w:rPr>
          <w:color w:val="000000" w:themeColor="text1"/>
        </w:rPr>
        <w:t>s constitutional invalidation—toward settlement-covenant architecture that extracts forward-looking behavioral commitments through antitrust enforcement reveals how the pressure apparatus adapts when individual statutory channels face doctrinal resistance. Within the climate-facing ESG universe, the Anti-side wave alone runs 549 annual bill attempts across 2021–2026 (12 / 62 / 313 / 162 by wave cohort, the last partial and right-censored), substantially exceeding its companion-collapsed enacted output. Even non-enacted introduction performs an expressive function, signaling that climate-coded stewardship is legally contested.</w:t>
      </w:r>
      <w:r w:rsidRPr="001A3FB3">
        <w:rPr>
          <w:rStyle w:val="FootnoteReference"/>
          <w:color w:val="000000" w:themeColor="text1"/>
        </w:rPr>
        <w:footnoteReference w:id="159"/>
      </w:r>
    </w:p>
    <w:p w14:paraId="7CD4C273" w14:textId="77777777" w:rsidR="005F5ACD" w:rsidRPr="001A3FB3" w:rsidRDefault="00000000">
      <w:pPr>
        <w:pStyle w:val="BodyText"/>
        <w:rPr>
          <w:color w:val="000000" w:themeColor="text1"/>
        </w:rPr>
      </w:pPr>
      <w:r w:rsidRPr="001A3FB3">
        <w:rPr>
          <w:i/>
          <w:iCs/>
          <w:color w:val="000000" w:themeColor="text1"/>
        </w:rPr>
        <w:t>Compliance Overhang.</w:t>
      </w:r>
      <w:r w:rsidRPr="001A3FB3">
        <w:rPr>
          <w:color w:val="000000" w:themeColor="text1"/>
        </w:rPr>
        <w:t xml:space="preserve"> As defined throughout this Part, </w:t>
      </w:r>
      <w:r w:rsidRPr="001A3FB3">
        <w:rPr>
          <w:i/>
          <w:iCs/>
          <w:color w:val="000000" w:themeColor="text1"/>
        </w:rPr>
        <w:t>Compliance Overhang</w:t>
      </w:r>
      <w:r w:rsidRPr="001A3FB3">
        <w:rPr>
          <w:color w:val="000000" w:themeColor="text1"/>
        </w:rPr>
        <w:t xml:space="preserve"> is the </w:t>
      </w:r>
      <w:proofErr w:type="spellStart"/>
      <w:proofErr w:type="gramStart"/>
      <w:r w:rsidRPr="001A3FB3">
        <w:rPr>
          <w:color w:val="000000" w:themeColor="text1"/>
        </w:rPr>
        <w:t>ex ante</w:t>
      </w:r>
      <w:proofErr w:type="spellEnd"/>
      <w:proofErr w:type="gramEnd"/>
      <w:r w:rsidRPr="001A3FB3">
        <w:rPr>
          <w:color w:val="000000" w:themeColor="text1"/>
        </w:rPr>
        <w:t xml:space="preserve"> cost of continuing to use or publicly document climate-coded financial analysis once statutes, designations, attestation regimes, proxy-adviser duties, attorney-general investigations, and settlement covenants have made that analysis potential regulatory evidence. The claim is not a quantified causal share of observed retreat; it is a structural cost that precedes any adjudicative resolution.</w:t>
      </w:r>
    </w:p>
    <w:p w14:paraId="0934B648" w14:textId="2A130323" w:rsidR="005F5ACD" w:rsidRPr="001A3FB3" w:rsidRDefault="00B62085">
      <w:pPr>
        <w:pStyle w:val="BodyText"/>
        <w:rPr>
          <w:color w:val="000000" w:themeColor="text1"/>
        </w:rPr>
      </w:pPr>
      <w:r>
        <w:rPr>
          <w:color w:val="000000" w:themeColor="text1"/>
        </w:rPr>
        <w:t>“</w:t>
      </w:r>
      <w:r w:rsidR="00000000" w:rsidRPr="001A3FB3">
        <w:rPr>
          <w:color w:val="000000" w:themeColor="text1"/>
        </w:rPr>
        <w:t>Consequential</w:t>
      </w:r>
      <w:r>
        <w:rPr>
          <w:color w:val="000000" w:themeColor="text1"/>
        </w:rPr>
        <w:t>”</w:t>
      </w:r>
      <w:r w:rsidR="00000000" w:rsidRPr="001A3FB3">
        <w:rPr>
          <w:color w:val="000000" w:themeColor="text1"/>
        </w:rPr>
        <w:t xml:space="preserve"> or </w:t>
      </w:r>
      <w:r>
        <w:rPr>
          <w:color w:val="000000" w:themeColor="text1"/>
        </w:rPr>
        <w:t>“</w:t>
      </w:r>
      <w:r w:rsidR="00000000" w:rsidRPr="001A3FB3">
        <w:rPr>
          <w:color w:val="000000" w:themeColor="text1"/>
        </w:rPr>
        <w:t>material</w:t>
      </w:r>
      <w:r>
        <w:rPr>
          <w:color w:val="000000" w:themeColor="text1"/>
        </w:rPr>
        <w:t>”</w:t>
      </w:r>
      <w:r w:rsidR="00000000" w:rsidRPr="001A3FB3">
        <w:rPr>
          <w:color w:val="000000" w:themeColor="text1"/>
        </w:rPr>
        <w:t xml:space="preserve"> here means doctrinally and structurally significant</w:t>
      </w:r>
      <w:r>
        <w:rPr>
          <w:color w:val="000000" w:themeColor="text1"/>
        </w:rPr>
        <w:t>—</w:t>
      </w:r>
      <w:r w:rsidR="00000000" w:rsidRPr="001A3FB3">
        <w:rPr>
          <w:color w:val="000000" w:themeColor="text1"/>
        </w:rPr>
        <w:t>a cumulative increase in cost, uncertainty, and legal exposure across channels</w:t>
      </w:r>
      <w:r>
        <w:rPr>
          <w:color w:val="000000" w:themeColor="text1"/>
        </w:rPr>
        <w:t>—</w:t>
      </w:r>
      <w:r w:rsidR="00000000" w:rsidRPr="001A3FB3">
        <w:rPr>
          <w:color w:val="000000" w:themeColor="text1"/>
        </w:rPr>
        <w:t>not a quantified causal share of any observed behavioral retreat. The analysis draws on Berger, Webber, and Young</w:t>
      </w:r>
      <w:r>
        <w:rPr>
          <w:color w:val="000000" w:themeColor="text1"/>
        </w:rPr>
        <w:t>’</w:t>
      </w:r>
      <w:r w:rsidR="00000000" w:rsidRPr="001A3FB3">
        <w:rPr>
          <w:color w:val="000000" w:themeColor="text1"/>
        </w:rPr>
        <w:t>s liability-trap analysis, which identified a multi-channel cost environment whose interaction effects generate exposure that individual provisions, viewed in isolation, would not predict.</w:t>
      </w:r>
      <w:r w:rsidR="00000000" w:rsidRPr="001A3FB3">
        <w:rPr>
          <w:rStyle w:val="FootnoteReference"/>
          <w:color w:val="000000" w:themeColor="text1"/>
        </w:rPr>
        <w:footnoteReference w:id="160"/>
      </w:r>
      <w:r w:rsidR="00000000" w:rsidRPr="001A3FB3">
        <w:rPr>
          <w:color w:val="000000" w:themeColor="text1"/>
        </w:rPr>
        <w:t xml:space="preserve"> Compliance Overhang operates through eight identifiable cost channels:</w:t>
      </w:r>
    </w:p>
    <w:p w14:paraId="4641AF6A" w14:textId="77777777" w:rsidR="005F5ACD" w:rsidRPr="001A3FB3" w:rsidRDefault="00000000">
      <w:pPr>
        <w:pStyle w:val="Compact"/>
        <w:numPr>
          <w:ilvl w:val="0"/>
          <w:numId w:val="7"/>
        </w:numPr>
        <w:rPr>
          <w:color w:val="000000" w:themeColor="text1"/>
        </w:rPr>
      </w:pPr>
      <w:r w:rsidRPr="001A3FB3">
        <w:rPr>
          <w:i/>
          <w:iCs/>
          <w:color w:val="000000" w:themeColor="text1"/>
        </w:rPr>
        <w:t>Analytical-input cost</w:t>
      </w:r>
      <w:r w:rsidRPr="001A3FB3">
        <w:rPr>
          <w:color w:val="000000" w:themeColor="text1"/>
        </w:rPr>
        <w:t>: SAF removes climate-coded factors from the financial-relevance category before motive can be tested.</w:t>
      </w:r>
    </w:p>
    <w:p w14:paraId="60F34561" w14:textId="77777777" w:rsidR="005F5ACD" w:rsidRPr="001A3FB3" w:rsidRDefault="00000000">
      <w:pPr>
        <w:pStyle w:val="Compact"/>
        <w:numPr>
          <w:ilvl w:val="0"/>
          <w:numId w:val="7"/>
        </w:numPr>
        <w:rPr>
          <w:color w:val="000000" w:themeColor="text1"/>
        </w:rPr>
      </w:pPr>
      <w:r w:rsidRPr="001A3FB3">
        <w:rPr>
          <w:i/>
          <w:iCs/>
          <w:color w:val="000000" w:themeColor="text1"/>
        </w:rPr>
        <w:t>Documentation cost</w:t>
      </w:r>
      <w:r w:rsidRPr="001A3FB3">
        <w:rPr>
          <w:color w:val="000000" w:themeColor="text1"/>
        </w:rPr>
        <w:t>: Evidentiary Conversion turns ordinary analytical artifacts into statutory evidence of forbidden purpose.</w:t>
      </w:r>
    </w:p>
    <w:p w14:paraId="6FB98C34" w14:textId="77777777" w:rsidR="005F5ACD" w:rsidRPr="001A3FB3" w:rsidRDefault="00000000">
      <w:pPr>
        <w:pStyle w:val="Compact"/>
        <w:numPr>
          <w:ilvl w:val="0"/>
          <w:numId w:val="7"/>
        </w:numPr>
        <w:rPr>
          <w:color w:val="000000" w:themeColor="text1"/>
        </w:rPr>
      </w:pPr>
      <w:r w:rsidRPr="001A3FB3">
        <w:rPr>
          <w:i/>
          <w:iCs/>
          <w:color w:val="000000" w:themeColor="text1"/>
        </w:rPr>
        <w:t>Risk-pricing cost</w:t>
      </w:r>
      <w:r w:rsidRPr="001A3FB3">
        <w:rPr>
          <w:color w:val="000000" w:themeColor="text1"/>
        </w:rPr>
        <w:t>: Banking and insurance access mechanisms tax climate-coded inputs in underwriting and pricing.</w:t>
      </w:r>
    </w:p>
    <w:p w14:paraId="3C448B4C" w14:textId="77777777" w:rsidR="005F5ACD" w:rsidRPr="001A3FB3" w:rsidRDefault="00000000">
      <w:pPr>
        <w:pStyle w:val="Compact"/>
        <w:numPr>
          <w:ilvl w:val="0"/>
          <w:numId w:val="7"/>
        </w:numPr>
        <w:rPr>
          <w:color w:val="000000" w:themeColor="text1"/>
        </w:rPr>
      </w:pPr>
      <w:r w:rsidRPr="001A3FB3">
        <w:rPr>
          <w:i/>
          <w:iCs/>
          <w:color w:val="000000" w:themeColor="text1"/>
        </w:rPr>
        <w:t>Association cost</w:t>
      </w:r>
      <w:r w:rsidRPr="001A3FB3">
        <w:rPr>
          <w:color w:val="000000" w:themeColor="text1"/>
        </w:rPr>
        <w:t>: Blacklist designation, AG investigation, and settlement-covenant pressure attach to coalition membership and public stewardship affiliation.</w:t>
      </w:r>
    </w:p>
    <w:p w14:paraId="2CA0A55F" w14:textId="77777777" w:rsidR="005F5ACD" w:rsidRPr="001A3FB3" w:rsidRDefault="00000000">
      <w:pPr>
        <w:pStyle w:val="Compact"/>
        <w:numPr>
          <w:ilvl w:val="0"/>
          <w:numId w:val="7"/>
        </w:numPr>
        <w:rPr>
          <w:color w:val="000000" w:themeColor="text1"/>
        </w:rPr>
      </w:pPr>
      <w:r w:rsidRPr="001A3FB3">
        <w:rPr>
          <w:i/>
          <w:iCs/>
          <w:color w:val="000000" w:themeColor="text1"/>
        </w:rPr>
        <w:t>Market-access cost</w:t>
      </w:r>
      <w:r w:rsidRPr="001A3FB3">
        <w:rPr>
          <w:color w:val="000000" w:themeColor="text1"/>
        </w:rPr>
        <w:t>: Procurement bars, depository-designation removals, and licensing eligibility requirements condition continued state-relationship participation on altered firmwide conduct.</w:t>
      </w:r>
    </w:p>
    <w:p w14:paraId="29F50149" w14:textId="77777777" w:rsidR="005F5ACD" w:rsidRPr="001A3FB3" w:rsidRDefault="00000000">
      <w:pPr>
        <w:pStyle w:val="Compact"/>
        <w:numPr>
          <w:ilvl w:val="0"/>
          <w:numId w:val="7"/>
        </w:numPr>
        <w:rPr>
          <w:color w:val="000000" w:themeColor="text1"/>
        </w:rPr>
      </w:pPr>
      <w:r w:rsidRPr="001A3FB3">
        <w:rPr>
          <w:i/>
          <w:iCs/>
          <w:color w:val="000000" w:themeColor="text1"/>
        </w:rPr>
        <w:t>Proxy and stewardship-advice cost</w:t>
      </w:r>
      <w:r w:rsidRPr="001A3FB3">
        <w:rPr>
          <w:color w:val="000000" w:themeColor="text1"/>
        </w:rPr>
        <w:t>: Written-analysis duties, disclaimers, and per-investment certification regimes raise the cost of climate-coded recommendations.</w:t>
      </w:r>
    </w:p>
    <w:p w14:paraId="373F03D8" w14:textId="77777777" w:rsidR="005F5ACD" w:rsidRPr="001A3FB3" w:rsidRDefault="00000000">
      <w:pPr>
        <w:pStyle w:val="Compact"/>
        <w:numPr>
          <w:ilvl w:val="0"/>
          <w:numId w:val="7"/>
        </w:numPr>
        <w:rPr>
          <w:color w:val="000000" w:themeColor="text1"/>
        </w:rPr>
      </w:pPr>
      <w:r w:rsidRPr="001A3FB3">
        <w:rPr>
          <w:i/>
          <w:iCs/>
          <w:color w:val="000000" w:themeColor="text1"/>
        </w:rPr>
        <w:t>Certification cost</w:t>
      </w:r>
      <w:r w:rsidRPr="001A3FB3">
        <w:rPr>
          <w:color w:val="000000" w:themeColor="text1"/>
        </w:rPr>
        <w:t>: Personal-liability and contracting-loss exposure attach to firmwide conduct through contracting-eligibility certifications.</w:t>
      </w:r>
    </w:p>
    <w:p w14:paraId="07834366" w14:textId="77777777" w:rsidR="005F5ACD" w:rsidRPr="001A3FB3" w:rsidRDefault="00000000">
      <w:pPr>
        <w:pStyle w:val="Compact"/>
        <w:numPr>
          <w:ilvl w:val="0"/>
          <w:numId w:val="7"/>
        </w:numPr>
        <w:rPr>
          <w:color w:val="000000" w:themeColor="text1"/>
        </w:rPr>
      </w:pPr>
      <w:r w:rsidRPr="001A3FB3">
        <w:rPr>
          <w:i/>
          <w:iCs/>
          <w:color w:val="000000" w:themeColor="text1"/>
        </w:rPr>
        <w:t>Pre-adjudicative-pressure cost</w:t>
      </w:r>
      <w:r w:rsidRPr="001A3FB3">
        <w:rPr>
          <w:color w:val="000000" w:themeColor="text1"/>
        </w:rPr>
        <w:t>: The non-statutory enforcement and litigation pressure cataloged above.</w:t>
      </w:r>
    </w:p>
    <w:p w14:paraId="51BD4FEF" w14:textId="77777777" w:rsidR="005F5ACD" w:rsidRPr="001A3FB3" w:rsidRDefault="00000000">
      <w:pPr>
        <w:pStyle w:val="FirstParagraph"/>
        <w:rPr>
          <w:color w:val="000000" w:themeColor="text1"/>
        </w:rPr>
      </w:pPr>
      <w:r w:rsidRPr="001A3FB3">
        <w:rPr>
          <w:color w:val="000000" w:themeColor="text1"/>
        </w:rPr>
        <w:t>The channels are not independent. A bank facing FL § 655.0323 attestation simultaneously faces TX SB 13 designation exposure on its asset-manager subsidiary; a proxy adviser facing TX SB 2337 duties simultaneously faces fiduciary-voting policy obligations in client mandates; documentation under one statute supplies discovery material for enforcement under another. The cumulative cost across channels exceeds the sum of channel-level costs.</w:t>
      </w:r>
    </w:p>
    <w:p w14:paraId="66B06049" w14:textId="2897B832" w:rsidR="005F5ACD" w:rsidRPr="001A3FB3" w:rsidRDefault="00000000">
      <w:pPr>
        <w:pStyle w:val="BodyText"/>
        <w:rPr>
          <w:color w:val="000000" w:themeColor="text1"/>
        </w:rPr>
      </w:pPr>
      <w:r w:rsidRPr="001A3FB3">
        <w:rPr>
          <w:color w:val="000000" w:themeColor="text1"/>
        </w:rPr>
        <w:t xml:space="preserve">Financial institutions toning down ESG-coded public stewardship language while maintaining underlying climate-risk analysis—the phenomenon practitioners call </w:t>
      </w:r>
      <w:r w:rsidR="00B62085">
        <w:rPr>
          <w:color w:val="000000" w:themeColor="text1"/>
        </w:rPr>
        <w:t>“</w:t>
      </w:r>
      <w:r w:rsidRPr="001A3FB3">
        <w:rPr>
          <w:color w:val="000000" w:themeColor="text1"/>
        </w:rPr>
        <w:t>greenhushing</w:t>
      </w:r>
      <w:r w:rsidR="00B62085">
        <w:rPr>
          <w:color w:val="000000" w:themeColor="text1"/>
        </w:rPr>
        <w:t>”</w:t>
      </w:r>
      <w:r w:rsidRPr="001A3FB3">
        <w:rPr>
          <w:color w:val="000000" w:themeColor="text1"/>
        </w:rPr>
        <w:t xml:space="preserve">—is the most direct market signature of Compliance Overhang. The label captures a behavioral pattern the statutory scheme is designed to </w:t>
      </w:r>
      <w:proofErr w:type="gramStart"/>
      <w:r w:rsidRPr="001A3FB3">
        <w:rPr>
          <w:color w:val="000000" w:themeColor="text1"/>
        </w:rPr>
        <w:t>produce:</w:t>
      </w:r>
      <w:proofErr w:type="gramEnd"/>
      <w:r w:rsidRPr="001A3FB3">
        <w:rPr>
          <w:color w:val="000000" w:themeColor="text1"/>
        </w:rPr>
        <w:t xml:space="preserve"> not the elimination of climate-risk analysis as an analytical matter, but its removal from the public documentary record in which evidentiary-conversion statutes would otherwise find it.</w:t>
      </w:r>
    </w:p>
    <w:p w14:paraId="176AAFE8" w14:textId="3C460BE3" w:rsidR="005F5ACD" w:rsidRPr="001A3FB3" w:rsidRDefault="00000000">
      <w:pPr>
        <w:pStyle w:val="BodyText"/>
        <w:rPr>
          <w:color w:val="000000" w:themeColor="text1"/>
        </w:rPr>
      </w:pPr>
      <w:r w:rsidRPr="001A3FB3">
        <w:rPr>
          <w:color w:val="000000" w:themeColor="text1"/>
        </w:rPr>
        <w:t xml:space="preserve">First Amendment chilling-effects doctrine frames the structural-pressure claim. </w:t>
      </w:r>
      <w:r w:rsidRPr="001A3FB3">
        <w:rPr>
          <w:i/>
          <w:iCs/>
          <w:color w:val="000000" w:themeColor="text1"/>
        </w:rPr>
        <w:t>Wooley v. Maynard</w:t>
      </w:r>
      <w:r w:rsidRPr="001A3FB3">
        <w:rPr>
          <w:color w:val="000000" w:themeColor="text1"/>
        </w:rPr>
        <w:t xml:space="preserve">, </w:t>
      </w:r>
      <w:r w:rsidRPr="001A3FB3">
        <w:rPr>
          <w:i/>
          <w:iCs/>
          <w:color w:val="000000" w:themeColor="text1"/>
        </w:rPr>
        <w:t>NIFLA v. Becerra</w:t>
      </w:r>
      <w:r w:rsidRPr="001A3FB3">
        <w:rPr>
          <w:color w:val="000000" w:themeColor="text1"/>
        </w:rPr>
        <w:t xml:space="preserve">, and </w:t>
      </w:r>
      <w:r w:rsidRPr="001A3FB3">
        <w:rPr>
          <w:i/>
          <w:iCs/>
          <w:color w:val="000000" w:themeColor="text1"/>
        </w:rPr>
        <w:t>West Virginia State Board of Education v. Barnette</w:t>
      </w:r>
      <w:r w:rsidRPr="001A3FB3">
        <w:rPr>
          <w:color w:val="000000" w:themeColor="text1"/>
        </w:rPr>
        <w:t xml:space="preserve"> anchor the principle that the State may not compel a speaker to articulate an interpretive position on a contested subject without overriding justification.</w:t>
      </w:r>
      <w:r w:rsidRPr="001A3FB3">
        <w:rPr>
          <w:rStyle w:val="FootnoteReference"/>
          <w:color w:val="000000" w:themeColor="text1"/>
        </w:rPr>
        <w:footnoteReference w:id="161"/>
      </w:r>
      <w:r w:rsidRPr="001A3FB3">
        <w:rPr>
          <w:color w:val="000000" w:themeColor="text1"/>
        </w:rPr>
        <w:t xml:space="preserve"> Sunstein</w:t>
      </w:r>
      <w:r w:rsidR="00B62085">
        <w:rPr>
          <w:color w:val="000000" w:themeColor="text1"/>
        </w:rPr>
        <w:t>’</w:t>
      </w:r>
      <w:r w:rsidRPr="001A3FB3">
        <w:rPr>
          <w:color w:val="000000" w:themeColor="text1"/>
        </w:rPr>
        <w:t>s expressive-function analysis shows why the coordinated deployment of compelled-speech vectors across channels compounds chilling effects rather than presenting a single rule for facial challenge.</w:t>
      </w:r>
      <w:r w:rsidRPr="001A3FB3">
        <w:rPr>
          <w:rStyle w:val="FootnoteReference"/>
          <w:color w:val="000000" w:themeColor="text1"/>
        </w:rPr>
        <w:footnoteReference w:id="162"/>
      </w:r>
      <w:r w:rsidRPr="001A3FB3">
        <w:rPr>
          <w:color w:val="000000" w:themeColor="text1"/>
        </w:rPr>
        <w:t xml:space="preserve"> Pro-side compelled-narrative architecture (CA SB 261) operates in the same doctrinal space, as the </w:t>
      </w:r>
      <w:r w:rsidRPr="001A3FB3">
        <w:rPr>
          <w:i/>
          <w:iCs/>
          <w:color w:val="000000" w:themeColor="text1"/>
        </w:rPr>
        <w:t>Chamber v. Sanchez</w:t>
      </w:r>
      <w:r w:rsidRPr="001A3FB3">
        <w:rPr>
          <w:color w:val="000000" w:themeColor="text1"/>
        </w:rPr>
        <w:t xml:space="preserve"> partial preliminary injunction confirms; Part V develops the symmetric application.</w:t>
      </w:r>
      <w:r w:rsidRPr="001A3FB3">
        <w:rPr>
          <w:rStyle w:val="FootnoteReference"/>
          <w:color w:val="000000" w:themeColor="text1"/>
        </w:rPr>
        <w:footnoteReference w:id="163"/>
      </w:r>
    </w:p>
    <w:p w14:paraId="72EB1385" w14:textId="77777777" w:rsidR="005F5ACD" w:rsidRPr="001A3FB3" w:rsidRDefault="00000000" w:rsidP="001A3FB3">
      <w:pPr>
        <w:pStyle w:val="Heading2"/>
      </w:pPr>
      <w:bookmarkStart w:id="54" w:name="iv.c-cumulative-effects"/>
      <w:bookmarkStart w:id="55" w:name="_Toc229502277"/>
      <w:bookmarkEnd w:id="52"/>
      <w:r w:rsidRPr="001A3FB3">
        <w:t>§IV.C Cumulative Effects</w:t>
      </w:r>
      <w:bookmarkEnd w:id="55"/>
    </w:p>
    <w:p w14:paraId="3F58D705" w14:textId="26CA24FB" w:rsidR="005F5ACD" w:rsidRPr="001A3FB3" w:rsidRDefault="00000000">
      <w:pPr>
        <w:pStyle w:val="FirstParagraph"/>
        <w:rPr>
          <w:color w:val="000000" w:themeColor="text1"/>
        </w:rPr>
      </w:pPr>
      <w:r w:rsidRPr="001A3FB3">
        <w:rPr>
          <w:i/>
          <w:iCs/>
          <w:color w:val="000000" w:themeColor="text1"/>
        </w:rPr>
        <w:t>Risk-pricing distortion.</w:t>
      </w:r>
      <w:r w:rsidRPr="001A3FB3">
        <w:rPr>
          <w:color w:val="000000" w:themeColor="text1"/>
        </w:rPr>
        <w:t xml:space="preserve"> The banking and insurance channel</w:t>
      </w:r>
      <w:r w:rsidR="00B62085">
        <w:rPr>
          <w:color w:val="000000" w:themeColor="text1"/>
        </w:rPr>
        <w:t>’</w:t>
      </w:r>
      <w:r w:rsidRPr="001A3FB3">
        <w:rPr>
          <w:color w:val="000000" w:themeColor="text1"/>
        </w:rPr>
        <w:t>s primary doctrinal anchor is risk-based individualization (cross-reference §III.E). These access provisions create a labeling seam: a bank deploying identical climate-risk-based pricing under § 655.0323</w:t>
      </w:r>
      <w:r w:rsidR="00B62085">
        <w:rPr>
          <w:color w:val="000000" w:themeColor="text1"/>
        </w:rPr>
        <w:t>’</w:t>
      </w:r>
      <w:r w:rsidRPr="001A3FB3">
        <w:rPr>
          <w:color w:val="000000" w:themeColor="text1"/>
        </w:rPr>
        <w:t xml:space="preserve">s </w:t>
      </w:r>
      <w:r w:rsidR="00B62085">
        <w:rPr>
          <w:color w:val="000000" w:themeColor="text1"/>
        </w:rPr>
        <w:t>“</w:t>
      </w:r>
      <w:r w:rsidRPr="001A3FB3">
        <w:rPr>
          <w:color w:val="000000" w:themeColor="text1"/>
        </w:rPr>
        <w:t>quantitative, impartial, and risk-based</w:t>
      </w:r>
      <w:r w:rsidR="00B62085">
        <w:rPr>
          <w:color w:val="000000" w:themeColor="text1"/>
        </w:rPr>
        <w:t>”</w:t>
      </w:r>
      <w:r w:rsidRPr="001A3FB3">
        <w:rPr>
          <w:color w:val="000000" w:themeColor="text1"/>
        </w:rPr>
        <w:t xml:space="preserve"> formulation is safe; the same analysis deployed under an ESG label faces substantially greater enforcement exposure. The in-channel cost falls on analytical labeling rather than analytical content; the available evidence does not permit causal attribution of specific market exits to individual statutes. The structural claim is cabined: that gap may degrade the analytical clarity of climate-coded risk assessment, raising the operating cost of the underlying risk-management practice.</w:t>
      </w:r>
      <w:r w:rsidRPr="001A3FB3">
        <w:rPr>
          <w:rStyle w:val="FootnoteReference"/>
          <w:color w:val="000000" w:themeColor="text1"/>
        </w:rPr>
        <w:footnoteReference w:id="164"/>
      </w:r>
    </w:p>
    <w:p w14:paraId="4E3D9E7A" w14:textId="1FA242A6" w:rsidR="005F5ACD" w:rsidRPr="001A3FB3" w:rsidRDefault="00000000">
      <w:pPr>
        <w:pStyle w:val="BodyText"/>
        <w:rPr>
          <w:color w:val="000000" w:themeColor="text1"/>
        </w:rPr>
      </w:pPr>
      <w:r w:rsidRPr="001A3FB3">
        <w:rPr>
          <w:i/>
          <w:iCs/>
          <w:color w:val="000000" w:themeColor="text1"/>
        </w:rPr>
        <w:t>Association and speech costs.</w:t>
      </w:r>
      <w:r w:rsidRPr="001A3FB3">
        <w:rPr>
          <w:color w:val="000000" w:themeColor="text1"/>
        </w:rPr>
        <w:t xml:space="preserve"> This statutory pressure apparatus implicates association and speech at the structural level </w:t>
      </w:r>
      <w:r w:rsidRPr="001A3FB3">
        <w:rPr>
          <w:i/>
          <w:iCs/>
          <w:color w:val="000000" w:themeColor="text1"/>
        </w:rPr>
        <w:t>NRA v. Vullo</w:t>
      </w:r>
      <w:r w:rsidRPr="001A3FB3">
        <w:rPr>
          <w:color w:val="000000" w:themeColor="text1"/>
        </w:rPr>
        <w:t xml:space="preserve"> identified, together with </w:t>
      </w:r>
      <w:r w:rsidRPr="001A3FB3">
        <w:rPr>
          <w:i/>
          <w:iCs/>
          <w:color w:val="000000" w:themeColor="text1"/>
        </w:rPr>
        <w:t>Bantam Books</w:t>
      </w:r>
      <w:r w:rsidRPr="001A3FB3">
        <w:rPr>
          <w:color w:val="000000" w:themeColor="text1"/>
        </w:rPr>
        <w:t xml:space="preserve"> and </w:t>
      </w:r>
      <w:r w:rsidRPr="001A3FB3">
        <w:rPr>
          <w:i/>
          <w:iCs/>
          <w:color w:val="000000" w:themeColor="text1"/>
        </w:rPr>
        <w:t>Speiser</w:t>
      </w:r>
      <w:r w:rsidRPr="001A3FB3">
        <w:rPr>
          <w:color w:val="000000" w:themeColor="text1"/>
        </w:rPr>
        <w:t>.</w:t>
      </w:r>
      <w:r w:rsidRPr="001A3FB3">
        <w:rPr>
          <w:rStyle w:val="FootnoteReference"/>
          <w:color w:val="000000" w:themeColor="text1"/>
        </w:rPr>
        <w:footnoteReference w:id="165"/>
      </w:r>
      <w:r w:rsidRPr="001A3FB3">
        <w:rPr>
          <w:color w:val="000000" w:themeColor="text1"/>
        </w:rPr>
        <w:t xml:space="preserve"> The coalition-exit chronology is consistent with the structural pressure those cases describe</w:t>
      </w:r>
      <w:r w:rsidR="00B62085">
        <w:rPr>
          <w:color w:val="000000" w:themeColor="text1"/>
        </w:rPr>
        <w:t>—</w:t>
      </w:r>
      <w:r w:rsidRPr="001A3FB3">
        <w:rPr>
          <w:color w:val="000000" w:themeColor="text1"/>
        </w:rPr>
        <w:t>designation-list statutes and AG civil-investigative-demand activity together impose substantial expected-cost exposure on coalition affiliation regardless of whether any underlying enforcement theory survives merits review. Institutional-stewardship vocabulary is itself a form of public speech whose suppression imposes social-meaning costs distinct from the underlying analytical-conduct costs.</w:t>
      </w:r>
      <w:r w:rsidRPr="001A3FB3">
        <w:rPr>
          <w:rStyle w:val="FootnoteReference"/>
          <w:color w:val="000000" w:themeColor="text1"/>
        </w:rPr>
        <w:footnoteReference w:id="166"/>
      </w:r>
    </w:p>
    <w:p w14:paraId="2CF588FC" w14:textId="7F99BEF9" w:rsidR="005F5ACD" w:rsidRPr="001A3FB3" w:rsidRDefault="00000000">
      <w:pPr>
        <w:pStyle w:val="BodyText"/>
        <w:rPr>
          <w:color w:val="000000" w:themeColor="text1"/>
        </w:rPr>
      </w:pPr>
      <w:r w:rsidRPr="001A3FB3">
        <w:rPr>
          <w:i/>
          <w:iCs/>
          <w:color w:val="000000" w:themeColor="text1"/>
        </w:rPr>
        <w:t>Pro-management asymmetry and process taxation.</w:t>
      </w:r>
      <w:r w:rsidRPr="001A3FB3">
        <w:rPr>
          <w:color w:val="000000" w:themeColor="text1"/>
        </w:rPr>
        <w:t xml:space="preserve"> TX SB 2337</w:t>
      </w:r>
      <w:r w:rsidR="00B62085">
        <w:rPr>
          <w:color w:val="000000" w:themeColor="text1"/>
        </w:rPr>
        <w:t>’</w:t>
      </w:r>
      <w:r w:rsidRPr="001A3FB3">
        <w:rPr>
          <w:color w:val="000000" w:themeColor="text1"/>
        </w:rPr>
        <w:t xml:space="preserve">s written-financial-analysis duty applies asymmetrically: advice recommending against management triggers the duty in ways advice supporting management does not. The asymmetry converts a facially neutral procedural requirement into a substantive process tax. </w:t>
      </w:r>
      <w:r w:rsidR="00B62085">
        <w:rPr>
          <w:color w:val="000000" w:themeColor="text1"/>
        </w:rPr>
        <w:t>“</w:t>
      </w:r>
      <w:r w:rsidRPr="001A3FB3">
        <w:rPr>
          <w:color w:val="000000" w:themeColor="text1"/>
        </w:rPr>
        <w:t>Written financial analysis</w:t>
      </w:r>
      <w:r w:rsidR="00B62085">
        <w:rPr>
          <w:color w:val="000000" w:themeColor="text1"/>
        </w:rPr>
        <w:t>”</w:t>
      </w:r>
      <w:r w:rsidRPr="001A3FB3">
        <w:rPr>
          <w:color w:val="000000" w:themeColor="text1"/>
        </w:rPr>
        <w:t xml:space="preserve"> sounds like ordinary professional discipline, but the standard proxy-adviser product is data-rich research and recommendation, not bespoke per-vote financial cost-benefit analysis with analyst-personnel disclosure.</w:t>
      </w:r>
      <w:r w:rsidRPr="001A3FB3">
        <w:rPr>
          <w:rStyle w:val="FootnoteReference"/>
          <w:color w:val="000000" w:themeColor="text1"/>
        </w:rPr>
        <w:footnoteReference w:id="167"/>
      </w:r>
      <w:r w:rsidRPr="001A3FB3">
        <w:rPr>
          <w:color w:val="000000" w:themeColor="text1"/>
        </w:rPr>
        <w:t xml:space="preserve"> Kansas</w:t>
      </w:r>
      <w:r w:rsidR="00B62085">
        <w:rPr>
          <w:color w:val="000000" w:themeColor="text1"/>
        </w:rPr>
        <w:t>’</w:t>
      </w:r>
      <w:r w:rsidRPr="001A3FB3">
        <w:rPr>
          <w:color w:val="000000" w:themeColor="text1"/>
        </w:rPr>
        <w:t>s enacted Proxy Advisor Transparency Act recites this point as a legislative finding: the legislature codified, as a statutory finding, that the chief operating officer of Glass Lewis attested, in a sworn declaration executed under 28 U.S.C. § 1746, that Glass Lewis does not conduct a written financial analysis before recommending votes on shareholder proposals.</w:t>
      </w:r>
      <w:r w:rsidRPr="001A3FB3">
        <w:rPr>
          <w:rStyle w:val="FootnoteReference"/>
          <w:color w:val="000000" w:themeColor="text1"/>
        </w:rPr>
        <w:footnoteReference w:id="168"/>
      </w:r>
      <w:r w:rsidRPr="001A3FB3">
        <w:rPr>
          <w:color w:val="000000" w:themeColor="text1"/>
        </w:rPr>
        <w:t xml:space="preserve"> The magnitude of the in-terrorem effect is documented in Glass Lewis</w:t>
      </w:r>
      <w:r w:rsidR="00B62085">
        <w:rPr>
          <w:color w:val="000000" w:themeColor="text1"/>
        </w:rPr>
        <w:t>’</w:t>
      </w:r>
      <w:r w:rsidRPr="001A3FB3">
        <w:rPr>
          <w:color w:val="000000" w:themeColor="text1"/>
        </w:rPr>
        <w:t>s preliminary-injunction record: if each proxy report to each client were counted as a separate violation, the Deceptive Trade Practices Act penalties for the firm</w:t>
      </w:r>
      <w:r w:rsidR="00B62085">
        <w:rPr>
          <w:color w:val="000000" w:themeColor="text1"/>
        </w:rPr>
        <w:t>’</w:t>
      </w:r>
      <w:r w:rsidRPr="001A3FB3">
        <w:rPr>
          <w:color w:val="000000" w:themeColor="text1"/>
        </w:rPr>
        <w:t xml:space="preserve">s September 2025 reports alone would total at least $130 million, and Glass Lewis points to a separate recent Texas DTPA enforcement matter </w:t>
      </w:r>
      <w:r w:rsidR="00676FC6">
        <w:rPr>
          <w:color w:val="000000" w:themeColor="text1"/>
        </w:rPr>
        <w:t xml:space="preserve">that was even more coercively foreclosing </w:t>
      </w:r>
      <w:r w:rsidRPr="001A3FB3">
        <w:rPr>
          <w:color w:val="000000" w:themeColor="text1"/>
        </w:rPr>
        <w:t>in which the State</w:t>
      </w:r>
      <w:r w:rsidR="00B62085">
        <w:rPr>
          <w:color w:val="000000" w:themeColor="text1"/>
        </w:rPr>
        <w:t>’</w:t>
      </w:r>
      <w:r w:rsidRPr="001A3FB3">
        <w:rPr>
          <w:color w:val="000000" w:themeColor="text1"/>
        </w:rPr>
        <w:t xml:space="preserve">s method for counting violations yielded potential statutory penalties of </w:t>
      </w:r>
      <w:r w:rsidR="00B62085">
        <w:rPr>
          <w:color w:val="000000" w:themeColor="text1"/>
        </w:rPr>
        <w:t>“</w:t>
      </w:r>
      <w:r w:rsidRPr="001A3FB3">
        <w:rPr>
          <w:color w:val="000000" w:themeColor="text1"/>
        </w:rPr>
        <w:t>$230 quadrillion.</w:t>
      </w:r>
      <w:r w:rsidR="00B62085">
        <w:rPr>
          <w:color w:val="000000" w:themeColor="text1"/>
        </w:rPr>
        <w:t>”</w:t>
      </w:r>
      <w:r w:rsidRPr="001A3FB3">
        <w:rPr>
          <w:rStyle w:val="FootnoteReference"/>
          <w:color w:val="000000" w:themeColor="text1"/>
        </w:rPr>
        <w:footnoteReference w:id="169"/>
      </w:r>
      <w:r w:rsidRPr="001A3FB3">
        <w:rPr>
          <w:color w:val="000000" w:themeColor="text1"/>
        </w:rPr>
        <w:t xml:space="preserve"> The compelled-disclaimer alternative</w:t>
      </w:r>
      <w:r w:rsidR="00B62085">
        <w:rPr>
          <w:color w:val="000000" w:themeColor="text1"/>
        </w:rPr>
        <w:t>—</w:t>
      </w:r>
      <w:r w:rsidRPr="001A3FB3">
        <w:rPr>
          <w:color w:val="000000" w:themeColor="text1"/>
        </w:rPr>
        <w:t>declining the bespoke analysis and attaching a state-prescribed scripted disclaimer</w:t>
      </w:r>
      <w:r w:rsidR="00B62085">
        <w:rPr>
          <w:color w:val="000000" w:themeColor="text1"/>
        </w:rPr>
        <w:t>—</w:t>
      </w:r>
      <w:r w:rsidRPr="001A3FB3">
        <w:rPr>
          <w:color w:val="000000" w:themeColor="text1"/>
        </w:rPr>
        <w:t>degrades the analytical product in the eyes of clients without solving the underlying objection. This statutory scheme taxes dissenting recommendations, raises the cost of contrarian advice, and restructures the proxy-advice industry</w:t>
      </w:r>
      <w:r w:rsidR="00B62085">
        <w:rPr>
          <w:color w:val="000000" w:themeColor="text1"/>
        </w:rPr>
        <w:t>’</w:t>
      </w:r>
      <w:r w:rsidRPr="001A3FB3">
        <w:rPr>
          <w:color w:val="000000" w:themeColor="text1"/>
        </w:rPr>
        <w:t xml:space="preserve">s incentive to produce them. </w:t>
      </w:r>
      <w:r w:rsidR="00676FC6">
        <w:rPr>
          <w:color w:val="000000" w:themeColor="text1"/>
        </w:rPr>
        <w:t>The</w:t>
      </w:r>
      <w:r w:rsidRPr="001A3FB3">
        <w:rPr>
          <w:color w:val="000000" w:themeColor="text1"/>
        </w:rPr>
        <w:t xml:space="preserve"> process burden differential to one substantive direction operates as a substantive tilt regardless of facial neutrality. The </w:t>
      </w:r>
      <w:r w:rsidRPr="001A3FB3">
        <w:rPr>
          <w:i/>
          <w:iCs/>
          <w:color w:val="000000" w:themeColor="text1"/>
        </w:rPr>
        <w:t>Glass Lewis v. Paxton</w:t>
      </w:r>
      <w:r w:rsidRPr="001A3FB3">
        <w:rPr>
          <w:color w:val="000000" w:themeColor="text1"/>
        </w:rPr>
        <w:t xml:space="preserve"> / </w:t>
      </w:r>
      <w:r w:rsidRPr="001A3FB3">
        <w:rPr>
          <w:i/>
          <w:iCs/>
          <w:color w:val="000000" w:themeColor="text1"/>
        </w:rPr>
        <w:t>ISS v. Paxton</w:t>
      </w:r>
      <w:r w:rsidRPr="001A3FB3">
        <w:rPr>
          <w:color w:val="000000" w:themeColor="text1"/>
        </w:rPr>
        <w:t xml:space="preserve"> injunctions address the core compelled-speech defect, and </w:t>
      </w:r>
      <w:r w:rsidRPr="001A3FB3">
        <w:rPr>
          <w:i/>
          <w:iCs/>
          <w:color w:val="000000" w:themeColor="text1"/>
        </w:rPr>
        <w:t>ISS v. SEC</w:t>
      </w:r>
      <w:r w:rsidR="00B62085">
        <w:rPr>
          <w:color w:val="000000" w:themeColor="text1"/>
        </w:rPr>
        <w:t>’</w:t>
      </w:r>
      <w:r w:rsidRPr="001A3FB3">
        <w:rPr>
          <w:color w:val="000000" w:themeColor="text1"/>
        </w:rPr>
        <w:t>s textualist § 14(a) holding closes off one preemption-based defense.</w:t>
      </w:r>
      <w:r w:rsidRPr="001A3FB3">
        <w:rPr>
          <w:rStyle w:val="FootnoteReference"/>
          <w:color w:val="000000" w:themeColor="text1"/>
        </w:rPr>
        <w:footnoteReference w:id="170"/>
      </w:r>
      <w:r w:rsidRPr="001A3FB3">
        <w:rPr>
          <w:color w:val="000000" w:themeColor="text1"/>
        </w:rPr>
        <w:t xml:space="preserve"> Whether asymmetric process burdens will force structural transformation of independent proxy-advisory services remains an empirical question this record cannot yet resolve.</w:t>
      </w:r>
      <w:r w:rsidRPr="001A3FB3">
        <w:rPr>
          <w:rStyle w:val="FootnoteReference"/>
          <w:color w:val="000000" w:themeColor="text1"/>
        </w:rPr>
        <w:footnoteReference w:id="171"/>
      </w:r>
    </w:p>
    <w:p w14:paraId="6294FD24" w14:textId="58F055B6" w:rsidR="005F5ACD" w:rsidRPr="001A3FB3" w:rsidRDefault="00000000">
      <w:pPr>
        <w:pStyle w:val="BodyText"/>
        <w:rPr>
          <w:color w:val="000000" w:themeColor="text1"/>
        </w:rPr>
      </w:pPr>
      <w:r w:rsidRPr="001A3FB3">
        <w:rPr>
          <w:i/>
          <w:iCs/>
          <w:color w:val="000000" w:themeColor="text1"/>
        </w:rPr>
        <w:t>Berle-Means accountability.</w:t>
      </w:r>
      <w:r w:rsidRPr="001A3FB3">
        <w:rPr>
          <w:color w:val="000000" w:themeColor="text1"/>
        </w:rPr>
        <w:t xml:space="preserve"> This statutory regime raises the operating cost of the proxy-and-stewardship infrastructure contemporary corporate-governance scholarship has identified as the central response to the Berle-Means accountability problem.</w:t>
      </w:r>
      <w:r w:rsidRPr="001A3FB3">
        <w:rPr>
          <w:rStyle w:val="FootnoteReference"/>
          <w:color w:val="000000" w:themeColor="text1"/>
        </w:rPr>
        <w:footnoteReference w:id="172"/>
      </w:r>
      <w:r w:rsidRPr="001A3FB3">
        <w:rPr>
          <w:color w:val="000000" w:themeColor="text1"/>
        </w:rPr>
        <w:t xml:space="preserve"> Whether stewardship generates large or modest returns is disputed; the legal </w:t>
      </w:r>
      <w:r w:rsidR="00B550D5">
        <w:rPr>
          <w:color w:val="000000" w:themeColor="text1"/>
        </w:rPr>
        <w:t xml:space="preserve">and political economy policy </w:t>
      </w:r>
      <w:r w:rsidRPr="001A3FB3">
        <w:rPr>
          <w:color w:val="000000" w:themeColor="text1"/>
        </w:rPr>
        <w:t xml:space="preserve">analysis does not depend on resolving it. Bebchuk and Hirst identify structural underinvestment and management-deference incentives in index-fund stewardship; Gordon supplies the affirmative theory for systematic-risk stewardship by diversified investors; Lund and Pollman describe the institutional infrastructure as a </w:t>
      </w:r>
      <w:r w:rsidR="00B62085">
        <w:rPr>
          <w:color w:val="000000" w:themeColor="text1"/>
        </w:rPr>
        <w:t>“</w:t>
      </w:r>
      <w:r w:rsidRPr="001A3FB3">
        <w:rPr>
          <w:color w:val="000000" w:themeColor="text1"/>
        </w:rPr>
        <w:t>corporate governance machine</w:t>
      </w:r>
      <w:r w:rsidR="00B62085">
        <w:rPr>
          <w:color w:val="000000" w:themeColor="text1"/>
        </w:rPr>
        <w:t>”</w:t>
      </w:r>
      <w:r w:rsidRPr="001A3FB3">
        <w:rPr>
          <w:color w:val="000000" w:themeColor="text1"/>
        </w:rPr>
        <w:t xml:space="preserve">; </w:t>
      </w:r>
      <w:proofErr w:type="spellStart"/>
      <w:r w:rsidRPr="001A3FB3">
        <w:rPr>
          <w:color w:val="000000" w:themeColor="text1"/>
        </w:rPr>
        <w:t>Tallarita</w:t>
      </w:r>
      <w:proofErr w:type="spellEnd"/>
      <w:r w:rsidRPr="001A3FB3">
        <w:rPr>
          <w:color w:val="000000" w:themeColor="text1"/>
        </w:rPr>
        <w:t xml:space="preserve"> limits portfolio-primacy claims.</w:t>
      </w:r>
      <w:r w:rsidRPr="001A3FB3">
        <w:rPr>
          <w:rStyle w:val="FootnoteReference"/>
          <w:color w:val="000000" w:themeColor="text1"/>
        </w:rPr>
        <w:footnoteReference w:id="173"/>
      </w:r>
      <w:r w:rsidRPr="001A3FB3">
        <w:rPr>
          <w:color w:val="000000" w:themeColor="text1"/>
        </w:rPr>
        <w:t xml:space="preserve"> State-law architecture can tax whatever stewardship infrastructure exists, and that cost matters even on a skeptical account of stewardship efficacy. The architecture</w:t>
      </w:r>
      <w:r w:rsidR="00B62085">
        <w:rPr>
          <w:color w:val="000000" w:themeColor="text1"/>
        </w:rPr>
        <w:t>’</w:t>
      </w:r>
      <w:r w:rsidRPr="001A3FB3">
        <w:rPr>
          <w:color w:val="000000" w:themeColor="text1"/>
        </w:rPr>
        <w:t>s effect on operating cost is doctrinally significant whether the disputed underlying value of stewardship is high or low.</w:t>
      </w:r>
      <w:r w:rsidRPr="001A3FB3">
        <w:rPr>
          <w:rStyle w:val="FootnoteReference"/>
          <w:color w:val="000000" w:themeColor="text1"/>
        </w:rPr>
        <w:footnoteReference w:id="174"/>
      </w:r>
    </w:p>
    <w:p w14:paraId="08C046DE" w14:textId="7606F40B" w:rsidR="005F5ACD" w:rsidRPr="001A3FB3" w:rsidRDefault="00000000">
      <w:pPr>
        <w:pStyle w:val="BodyText"/>
        <w:rPr>
          <w:color w:val="000000" w:themeColor="text1"/>
        </w:rPr>
      </w:pPr>
      <w:r w:rsidRPr="001A3FB3">
        <w:rPr>
          <w:color w:val="000000" w:themeColor="text1"/>
        </w:rPr>
        <w:t xml:space="preserve">Two distinct questions must be separated. The first is whether climate-stewardship has produced large or modest </w:t>
      </w:r>
      <w:r w:rsidRPr="001A3FB3">
        <w:rPr>
          <w:i/>
          <w:iCs/>
          <w:color w:val="000000" w:themeColor="text1"/>
        </w:rPr>
        <w:t>climate outcomes</w:t>
      </w:r>
      <w:r w:rsidRPr="001A3FB3">
        <w:rPr>
          <w:color w:val="000000" w:themeColor="text1"/>
        </w:rPr>
        <w:t>—a contested empirical question this Article does not resolve, and on which findings such as Hund et al.</w:t>
      </w:r>
      <w:r w:rsidR="00B62085">
        <w:rPr>
          <w:color w:val="000000" w:themeColor="text1"/>
        </w:rPr>
        <w:t>’</w:t>
      </w:r>
      <w:r w:rsidRPr="001A3FB3">
        <w:rPr>
          <w:color w:val="000000" w:themeColor="text1"/>
        </w:rPr>
        <w:t>s aggregate-population null result carry weight.</w:t>
      </w:r>
      <w:r w:rsidRPr="001A3FB3">
        <w:rPr>
          <w:rStyle w:val="FootnoteReference"/>
          <w:color w:val="000000" w:themeColor="text1"/>
        </w:rPr>
        <w:footnoteReference w:id="175"/>
      </w:r>
      <w:r w:rsidRPr="001A3FB3">
        <w:rPr>
          <w:color w:val="000000" w:themeColor="text1"/>
        </w:rPr>
        <w:t xml:space="preserve"> The second is whether the institutional infrastructure of stewardship serves a </w:t>
      </w:r>
      <w:r w:rsidRPr="001A3FB3">
        <w:rPr>
          <w:i/>
          <w:iCs/>
          <w:color w:val="000000" w:themeColor="text1"/>
        </w:rPr>
        <w:t>Berle-Means accountability function</w:t>
      </w:r>
      <w:r w:rsidRPr="001A3FB3">
        <w:rPr>
          <w:color w:val="000000" w:themeColor="text1"/>
        </w:rPr>
        <w:t xml:space="preserve"> regardless of climate outcomes—a structural question that does not turn on outcome magnitude. The Anti-ESG architecture taxes the </w:t>
      </w:r>
      <w:r w:rsidRPr="001A3FB3">
        <w:rPr>
          <w:i/>
          <w:iCs/>
          <w:color w:val="000000" w:themeColor="text1"/>
        </w:rPr>
        <w:t>institutional infrastructure</w:t>
      </w:r>
      <w:r w:rsidRPr="001A3FB3">
        <w:rPr>
          <w:color w:val="000000" w:themeColor="text1"/>
        </w:rPr>
        <w:t xml:space="preserve"> of stewardship and creates regulatory exposure on the analytical inputs the infrastructure uses. That cost matters even on a skeptical account of climate-outcome efficacy.</w:t>
      </w:r>
    </w:p>
    <w:p w14:paraId="536B5EA1" w14:textId="1C731ADB" w:rsidR="005F5ACD" w:rsidRPr="001A3FB3" w:rsidRDefault="00000000">
      <w:pPr>
        <w:pStyle w:val="BodyText"/>
        <w:rPr>
          <w:color w:val="000000" w:themeColor="text1"/>
        </w:rPr>
      </w:pPr>
      <w:r w:rsidRPr="001A3FB3">
        <w:rPr>
          <w:color w:val="000000" w:themeColor="text1"/>
        </w:rPr>
        <w:t>A potential objection, developed most prominently by Bebchuk and Tallarita, is that pre-wave ESG stewardship may have had modest real effects: public voting records were often thin, climate-coded engagement may have exceeded in rhetoric what it delivered in governance change, and observed retrenchment may therefore unwind a smaller phenomenon than its proponents claimed.</w:t>
      </w:r>
      <w:r w:rsidRPr="001A3FB3">
        <w:rPr>
          <w:rStyle w:val="FootnoteReference"/>
          <w:color w:val="000000" w:themeColor="text1"/>
        </w:rPr>
        <w:footnoteReference w:id="176"/>
      </w:r>
      <w:r w:rsidRPr="001A3FB3">
        <w:rPr>
          <w:color w:val="000000" w:themeColor="text1"/>
        </w:rPr>
        <w:t xml:space="preserve"> The objection has force. The Article</w:t>
      </w:r>
      <w:r w:rsidR="00B62085">
        <w:rPr>
          <w:color w:val="000000" w:themeColor="text1"/>
        </w:rPr>
        <w:t>’</w:t>
      </w:r>
      <w:r w:rsidRPr="001A3FB3">
        <w:rPr>
          <w:color w:val="000000" w:themeColor="text1"/>
        </w:rPr>
        <w:t>s claim is narrower: even if stewardship</w:t>
      </w:r>
      <w:r w:rsidR="00B62085">
        <w:rPr>
          <w:color w:val="000000" w:themeColor="text1"/>
        </w:rPr>
        <w:t>’</w:t>
      </w:r>
      <w:r w:rsidRPr="001A3FB3">
        <w:rPr>
          <w:color w:val="000000" w:themeColor="text1"/>
        </w:rPr>
        <w:t>s visible impact is discounted, a state-law regime that selectively raises the cost of the monitoring infrastructure still imposes a governance cost.</w:t>
      </w:r>
    </w:p>
    <w:p w14:paraId="591A383A" w14:textId="37EDEEFC" w:rsidR="005F5ACD" w:rsidRPr="001A3FB3" w:rsidRDefault="00000000">
      <w:pPr>
        <w:pStyle w:val="BodyText"/>
        <w:rPr>
          <w:color w:val="000000" w:themeColor="text1"/>
        </w:rPr>
      </w:pPr>
      <w:r w:rsidRPr="001A3FB3">
        <w:rPr>
          <w:color w:val="000000" w:themeColor="text1"/>
        </w:rPr>
        <w:t>The record, however, does not support the stronger inference that the apparatus has been a governance nullity. Quasi-experimental work exploiting Russell 1000/2000 index reconstitutions documents that exogenous increases in passive mutual-fund ownership produce more independent boards, removal of takeover defenses, more equal voting rights, and improved long-run operating performance</w:t>
      </w:r>
      <w:r w:rsidR="00B62085">
        <w:rPr>
          <w:color w:val="000000" w:themeColor="text1"/>
        </w:rPr>
        <w:t>—</w:t>
      </w:r>
      <w:r w:rsidRPr="001A3FB3">
        <w:rPr>
          <w:color w:val="000000" w:themeColor="text1"/>
        </w:rPr>
        <w:t>governance effects attributable to the concentration of voting blocs rather than to the rhetoric that accompanied them.</w:t>
      </w:r>
      <w:r w:rsidRPr="001A3FB3">
        <w:rPr>
          <w:rStyle w:val="FootnoteReference"/>
          <w:color w:val="000000" w:themeColor="text1"/>
        </w:rPr>
        <w:footnoteReference w:id="177"/>
      </w:r>
      <w:r w:rsidRPr="001A3FB3">
        <w:rPr>
          <w:color w:val="000000" w:themeColor="text1"/>
        </w:rPr>
        <w:t xml:space="preserve"> A long-running proprietary engagement database covering 1999–2009 records a dose-response pattern: successful institutional engagements, most conducted through private rather than public channels, are followed by positive abnormal returns and measurable improvements in accounting performance and governance, while unsuccessful engagements show no such effect</w:t>
      </w:r>
      <w:r w:rsidR="00B62085">
        <w:rPr>
          <w:color w:val="000000" w:themeColor="text1"/>
        </w:rPr>
        <w:t>—</w:t>
      </w:r>
      <w:r w:rsidRPr="001A3FB3">
        <w:rPr>
          <w:color w:val="000000" w:themeColor="text1"/>
        </w:rPr>
        <w:t>a signature inconsistent with pure window-dressing.</w:t>
      </w:r>
      <w:r w:rsidRPr="001A3FB3">
        <w:rPr>
          <w:rStyle w:val="FootnoteReference"/>
          <w:color w:val="000000" w:themeColor="text1"/>
        </w:rPr>
        <w:footnoteReference w:id="178"/>
      </w:r>
      <w:r w:rsidRPr="001A3FB3">
        <w:rPr>
          <w:color w:val="000000" w:themeColor="text1"/>
        </w:rPr>
        <w:t xml:space="preserve"> At the Fortune 250 level, the Big Three</w:t>
      </w:r>
      <w:r w:rsidR="00B62085">
        <w:rPr>
          <w:color w:val="000000" w:themeColor="text1"/>
        </w:rPr>
        <w:t>’</w:t>
      </w:r>
      <w:r w:rsidRPr="001A3FB3">
        <w:rPr>
          <w:color w:val="000000" w:themeColor="text1"/>
        </w:rPr>
        <w:t>s combined stake makes them the largest shareholder in roughly 96 percent of firms, with voting blocs that proposal-by-proposal margin analysis finds frequently outcome-determinative or outcome-deterrent.</w:t>
      </w:r>
      <w:r w:rsidRPr="001A3FB3">
        <w:rPr>
          <w:rStyle w:val="FootnoteReference"/>
          <w:color w:val="000000" w:themeColor="text1"/>
        </w:rPr>
        <w:footnoteReference w:id="179"/>
      </w:r>
      <w:r w:rsidRPr="001A3FB3">
        <w:rPr>
          <w:color w:val="000000" w:themeColor="text1"/>
        </w:rPr>
        <w:t xml:space="preserve"> Even Bebchuk and Hirst, pressing the agency-cost critique, concede that the Big Three exert </w:t>
      </w:r>
      <w:r w:rsidR="00B62085">
        <w:rPr>
          <w:color w:val="000000" w:themeColor="text1"/>
        </w:rPr>
        <w:t>“</w:t>
      </w:r>
      <w:r w:rsidRPr="001A3FB3">
        <w:rPr>
          <w:color w:val="000000" w:themeColor="text1"/>
        </w:rPr>
        <w:t>considerable influence on corporate outcomes through both what they do and what they fail to do.</w:t>
      </w:r>
      <w:r w:rsidR="00B62085">
        <w:rPr>
          <w:color w:val="000000" w:themeColor="text1"/>
        </w:rPr>
        <w:t>”</w:t>
      </w:r>
      <w:r w:rsidRPr="001A3FB3">
        <w:rPr>
          <w:rStyle w:val="FootnoteReference"/>
          <w:color w:val="000000" w:themeColor="text1"/>
        </w:rPr>
        <w:footnoteReference w:id="180"/>
      </w:r>
      <w:r w:rsidRPr="001A3FB3">
        <w:rPr>
          <w:color w:val="000000" w:themeColor="text1"/>
        </w:rPr>
        <w:t xml:space="preserve"> The disagreement in </w:t>
      </w:r>
      <w:r w:rsidRPr="001A3FB3">
        <w:rPr>
          <w:i/>
          <w:iCs/>
          <w:color w:val="000000" w:themeColor="text1"/>
        </w:rPr>
        <w:t>Illusory Promise</w:t>
      </w:r>
      <w:r w:rsidRPr="001A3FB3">
        <w:rPr>
          <w:color w:val="000000" w:themeColor="text1"/>
        </w:rPr>
        <w:t xml:space="preserve"> runs to utilization and incentive design; it does not dissolve the architecture or the governance changes already attributable to it.</w:t>
      </w:r>
    </w:p>
    <w:p w14:paraId="5DEBFEEE" w14:textId="47143E3A" w:rsidR="005F5ACD" w:rsidRPr="001A3FB3" w:rsidRDefault="00000000">
      <w:pPr>
        <w:pStyle w:val="BodyText"/>
        <w:rPr>
          <w:color w:val="000000" w:themeColor="text1"/>
        </w:rPr>
      </w:pPr>
      <w:r w:rsidRPr="001A3FB3">
        <w:rPr>
          <w:color w:val="000000" w:themeColor="text1"/>
        </w:rPr>
        <w:t>The critique does not reach the structure of the engagement system this legislation targets. The published record</w:t>
      </w:r>
      <w:r w:rsidR="00B62085">
        <w:rPr>
          <w:color w:val="000000" w:themeColor="text1"/>
        </w:rPr>
        <w:t>—</w:t>
      </w:r>
      <w:r w:rsidRPr="001A3FB3">
        <w:rPr>
          <w:color w:val="000000" w:themeColor="text1"/>
        </w:rPr>
        <w:t>proposals filed, public votes, joint coalition statements</w:t>
      </w:r>
      <w:r w:rsidR="00B62085">
        <w:rPr>
          <w:color w:val="000000" w:themeColor="text1"/>
        </w:rPr>
        <w:t>—</w:t>
      </w:r>
      <w:r w:rsidRPr="001A3FB3">
        <w:rPr>
          <w:color w:val="000000" w:themeColor="text1"/>
        </w:rPr>
        <w:t>is, by the design of the institutional-stewardship system, the surface signal</w:t>
      </w:r>
      <w:r w:rsidR="00B550D5">
        <w:rPr>
          <w:color w:val="000000" w:themeColor="text1"/>
        </w:rPr>
        <w:t xml:space="preserve"> or tip of the visible iceberg </w:t>
      </w:r>
      <w:r w:rsidRPr="001A3FB3">
        <w:rPr>
          <w:color w:val="000000" w:themeColor="text1"/>
        </w:rPr>
        <w:t>of an engagement process running predominantly through private bilateral company-level dialogue and the standing capacity to escalate to a public stewardship statement, a contested proxy vote, or a position exit.</w:t>
      </w:r>
      <w:r w:rsidRPr="001A3FB3">
        <w:rPr>
          <w:rStyle w:val="FootnoteReference"/>
          <w:color w:val="000000" w:themeColor="text1"/>
        </w:rPr>
        <w:footnoteReference w:id="181"/>
      </w:r>
      <w:r w:rsidRPr="001A3FB3">
        <w:rPr>
          <w:color w:val="000000" w:themeColor="text1"/>
        </w:rPr>
        <w:t xml:space="preserve"> The deterrent function of that standing capacity does not require its public exercise; ex ante, the credible possibility of escalation shapes managerial behavior on entrenchment and short-termism even where every observed escalation event remains zero.</w:t>
      </w:r>
      <w:r w:rsidRPr="001A3FB3">
        <w:rPr>
          <w:rStyle w:val="FootnoteReference"/>
          <w:color w:val="000000" w:themeColor="text1"/>
        </w:rPr>
        <w:footnoteReference w:id="182"/>
      </w:r>
      <w:r w:rsidRPr="001A3FB3">
        <w:rPr>
          <w:color w:val="000000" w:themeColor="text1"/>
        </w:rPr>
        <w:t xml:space="preserve"> The bilateral-channel record is structurally non-public; visible-proposal data is </w:t>
      </w:r>
      <w:r w:rsidR="00B550D5">
        <w:rPr>
          <w:color w:val="000000" w:themeColor="text1"/>
        </w:rPr>
        <w:t>an inadequate</w:t>
      </w:r>
      <w:r w:rsidRPr="001A3FB3">
        <w:rPr>
          <w:color w:val="000000" w:themeColor="text1"/>
        </w:rPr>
        <w:t xml:space="preserve"> instrument for measuring </w:t>
      </w:r>
      <w:r w:rsidR="00B550D5">
        <w:rPr>
          <w:color w:val="000000" w:themeColor="text1"/>
        </w:rPr>
        <w:t>its true impact</w:t>
      </w:r>
      <w:r w:rsidRPr="001A3FB3">
        <w:rPr>
          <w:color w:val="000000" w:themeColor="text1"/>
        </w:rPr>
        <w:t xml:space="preserve">. Bebchuk and Hirst on stewardship underinvestment, Gordon on systematic-risk theory, and Lund and Pollman on institutional infrastructure each develop different facets of this architecture; none of them collapses to the visible-record metric on which </w:t>
      </w:r>
      <w:r w:rsidRPr="001A3FB3">
        <w:rPr>
          <w:i/>
          <w:iCs/>
          <w:color w:val="000000" w:themeColor="text1"/>
        </w:rPr>
        <w:t>Illusory Promise</w:t>
      </w:r>
      <w:r w:rsidRPr="001A3FB3">
        <w:rPr>
          <w:color w:val="000000" w:themeColor="text1"/>
        </w:rPr>
        <w:t xml:space="preserve"> presses.</w:t>
      </w:r>
      <w:r w:rsidRPr="001A3FB3">
        <w:rPr>
          <w:rStyle w:val="FootnoteReference"/>
          <w:color w:val="000000" w:themeColor="text1"/>
        </w:rPr>
        <w:footnoteReference w:id="183"/>
      </w:r>
    </w:p>
    <w:p w14:paraId="419FE5F3" w14:textId="77777777" w:rsidR="005F5ACD" w:rsidRPr="001A3FB3" w:rsidRDefault="00000000">
      <w:pPr>
        <w:pStyle w:val="BodyText"/>
        <w:rPr>
          <w:color w:val="000000" w:themeColor="text1"/>
        </w:rPr>
      </w:pPr>
      <w:r w:rsidRPr="001A3FB3">
        <w:rPr>
          <w:color w:val="000000" w:themeColor="text1"/>
        </w:rPr>
        <w:t xml:space="preserve">The deterrence pathway has a parallel institutional logic: concentrated </w:t>
      </w:r>
      <w:proofErr w:type="spellStart"/>
      <w:r w:rsidRPr="001A3FB3">
        <w:rPr>
          <w:color w:val="000000" w:themeColor="text1"/>
        </w:rPr>
        <w:t>blockholders</w:t>
      </w:r>
      <w:proofErr w:type="spellEnd"/>
      <w:r w:rsidRPr="001A3FB3">
        <w:rPr>
          <w:color w:val="000000" w:themeColor="text1"/>
        </w:rPr>
        <w:t xml:space="preserve"> can discipline management through the credible </w:t>
      </w:r>
      <w:r w:rsidRPr="001A3FB3">
        <w:rPr>
          <w:i/>
          <w:iCs/>
          <w:color w:val="000000" w:themeColor="text1"/>
        </w:rPr>
        <w:t>option</w:t>
      </w:r>
      <w:r w:rsidRPr="001A3FB3">
        <w:rPr>
          <w:color w:val="000000" w:themeColor="text1"/>
        </w:rPr>
        <w:t xml:space="preserve"> to escalate—through exit, voice, or proxy contest—without exercising that option in any given year.</w:t>
      </w:r>
      <w:r w:rsidRPr="001A3FB3">
        <w:rPr>
          <w:rStyle w:val="FootnoteReference"/>
          <w:color w:val="000000" w:themeColor="text1"/>
        </w:rPr>
        <w:footnoteReference w:id="184"/>
      </w:r>
      <w:r w:rsidRPr="001A3FB3">
        <w:rPr>
          <w:color w:val="000000" w:themeColor="text1"/>
        </w:rPr>
        <w:t xml:space="preserve"> The absence of observed escalation does not measure the absence of governance effect, and the pre-conflict managerial adjustments documented in the activist literature confirm the point.</w:t>
      </w:r>
      <w:r w:rsidRPr="001A3FB3">
        <w:rPr>
          <w:rStyle w:val="FootnoteReference"/>
          <w:color w:val="000000" w:themeColor="text1"/>
        </w:rPr>
        <w:footnoteReference w:id="185"/>
      </w:r>
    </w:p>
    <w:p w14:paraId="2E456DED" w14:textId="67BF3C3A" w:rsidR="005F5ACD" w:rsidRPr="001A3FB3" w:rsidRDefault="00000000">
      <w:pPr>
        <w:pStyle w:val="BodyText"/>
        <w:rPr>
          <w:color w:val="000000" w:themeColor="text1"/>
        </w:rPr>
      </w:pPr>
      <w:r w:rsidRPr="001A3FB3">
        <w:rPr>
          <w:color w:val="000000" w:themeColor="text1"/>
        </w:rPr>
        <w:t xml:space="preserve">Even granting the agency-cost critique in full, the post-1980 institutional ownership and stewardship apparatus (concentrated index-fund ownership, the surrounding proxy-advisory infrastructure, and the disclosure regimes feeding both) represented a partial structural remedy for the Berle-Means baseline of dispersed-shareholder unaccountability that early-twentieth-century corporate-governance scholarship described. That apparatus is a partial remediation of a documented institutional defect, not a discretionary policy preference. Erosion of part of it imposes a cost on the broader accountability architecture even if any particular </w:t>
      </w:r>
      <w:r w:rsidR="00916642">
        <w:rPr>
          <w:color w:val="000000" w:themeColor="text1"/>
        </w:rPr>
        <w:t xml:space="preserve">discrete </w:t>
      </w:r>
      <w:r w:rsidRPr="001A3FB3">
        <w:rPr>
          <w:color w:val="000000" w:themeColor="text1"/>
        </w:rPr>
        <w:t>stewardship interaction would have generated modest substantive impact.</w:t>
      </w:r>
    </w:p>
    <w:p w14:paraId="3896DDFD" w14:textId="77777777" w:rsidR="005F5ACD" w:rsidRPr="001A3FB3" w:rsidRDefault="00000000">
      <w:pPr>
        <w:pStyle w:val="BodyText"/>
        <w:rPr>
          <w:color w:val="000000" w:themeColor="text1"/>
        </w:rPr>
      </w:pPr>
      <w:r w:rsidRPr="001A3FB3">
        <w:rPr>
          <w:color w:val="000000" w:themeColor="text1"/>
        </w:rPr>
        <w:t>The legal consequence of the architecture is most visible at this register. The distinctive feature of the legislation is not its substantive position on climate-coded analysis but the asymmetric direction of its monitoring-channel effects: the proxy-advisory regulation in Texas SB 2337, Indiana HB 1273, and Kentucky SB 183; the coalition-membership evidence-enumeration regime in Kentucky HB 236; the asymmetric written-financial-analysis duties imposed on rationale-bearing voting; and the disclosure-channel architecture running across the package.</w:t>
      </w:r>
      <w:r w:rsidRPr="001A3FB3">
        <w:rPr>
          <w:rStyle w:val="FootnoteReference"/>
          <w:color w:val="000000" w:themeColor="text1"/>
        </w:rPr>
        <w:footnoteReference w:id="186"/>
      </w:r>
      <w:r w:rsidRPr="001A3FB3">
        <w:rPr>
          <w:color w:val="000000" w:themeColor="text1"/>
        </w:rPr>
        <w:t xml:space="preserve"> These provisions do not target climate analysis as a topic; they reduce the operational capacity of the apparatus that produces </w:t>
      </w:r>
      <w:r w:rsidRPr="001A3FB3">
        <w:rPr>
          <w:i/>
          <w:iCs/>
          <w:color w:val="000000" w:themeColor="text1"/>
        </w:rPr>
        <w:t>any</w:t>
      </w:r>
      <w:r w:rsidRPr="001A3FB3">
        <w:rPr>
          <w:color w:val="000000" w:themeColor="text1"/>
        </w:rPr>
        <w:t xml:space="preserve"> institutional monitoring of management, of which climate-coded analysis is one application. The same statutory move directed against a Pro-side selectively burdening monitoring channels would carry the same institutional cost; direction does not change the analysis.</w:t>
      </w:r>
    </w:p>
    <w:p w14:paraId="0ECEF1EE" w14:textId="77777777" w:rsidR="005F5ACD" w:rsidRPr="001A3FB3" w:rsidRDefault="00000000">
      <w:pPr>
        <w:pStyle w:val="BodyText"/>
        <w:rPr>
          <w:color w:val="000000" w:themeColor="text1"/>
        </w:rPr>
      </w:pPr>
      <w:r w:rsidRPr="001A3FB3">
        <w:rPr>
          <w:color w:val="000000" w:themeColor="text1"/>
        </w:rPr>
        <w:t>And the cost the wave imposes on that apparatus is not extinguished by the doctrinal vulnerability of the individual statutes that compose it. Compliance officers, in-house counsel, fiduciary committees, and stewardship teams reorient ex ante to reduce statutory exposure across long horizons; that reorientation does not wait on litigation outcomes, and a later judicial invalidation does not retroactively unwind the engagement that was foregone, the coalition memberships that were exited, or the proxy-vote rationales that were never put on paper. The chilling operates on the institutional-design level on which courts rule after the compliance costs have already been incurred—regulated actors adjust before courts rule.</w:t>
      </w:r>
    </w:p>
    <w:p w14:paraId="3423E1B9" w14:textId="18D59F70" w:rsidR="005F5ACD" w:rsidRPr="001A3FB3" w:rsidRDefault="00000000" w:rsidP="001A3FB3">
      <w:pPr>
        <w:pStyle w:val="Heading1"/>
      </w:pPr>
      <w:bookmarkStart w:id="56" w:name="X570ba06fe517363ca6f37e2798f295a999267ed"/>
      <w:bookmarkStart w:id="57" w:name="_Toc229502278"/>
      <w:bookmarkEnd w:id="48"/>
      <w:bookmarkEnd w:id="54"/>
      <w:r w:rsidRPr="001A3FB3">
        <w:t>PART V</w:t>
      </w:r>
      <w:r w:rsidR="00B62085">
        <w:t>—</w:t>
      </w:r>
      <w:r w:rsidRPr="001A3FB3">
        <w:t>REGULATORY DESIGN, POLITICAL ECONOMY, AND FRAMEWORK NEUTRALITY</w:t>
      </w:r>
      <w:bookmarkEnd w:id="57"/>
    </w:p>
    <w:p w14:paraId="47B652C2" w14:textId="77777777" w:rsidR="005F5ACD" w:rsidRPr="001A3FB3" w:rsidRDefault="00000000" w:rsidP="001A3FB3">
      <w:pPr>
        <w:pStyle w:val="Heading2"/>
      </w:pPr>
      <w:bookmarkStart w:id="58" w:name="v.a-reversed-accountability-equilibrium"/>
      <w:bookmarkStart w:id="59" w:name="_Toc229502279"/>
      <w:r w:rsidRPr="001A3FB3">
        <w:t>§V.A Reversed Accountability Equilibrium</w:t>
      </w:r>
      <w:bookmarkEnd w:id="59"/>
    </w:p>
    <w:p w14:paraId="3891C959" w14:textId="77777777" w:rsidR="005F5ACD" w:rsidRPr="001A3FB3" w:rsidRDefault="00000000">
      <w:pPr>
        <w:pStyle w:val="FirstParagraph"/>
        <w:rPr>
          <w:color w:val="000000" w:themeColor="text1"/>
        </w:rPr>
      </w:pPr>
      <w:r w:rsidRPr="001A3FB3">
        <w:rPr>
          <w:color w:val="000000" w:themeColor="text1"/>
        </w:rPr>
        <w:t xml:space="preserve">The behavioral retrenchment documented in §IV.A is not a transient feature of the current political cycle. Three structural factors anchor it beyond any single election or administration: the enacted statutory architecture creates ongoing compliance obligations independent of enforcement posture; the threat of private enforcement under statutes like Utah HB 0449 persists regardless of attorney-general discretion; and the multi-state inconsistency landscape creates a cross-state legal constraint that cannot be dissolved by subsequent federal rulemaking. The reversed accountability equilibrium is accordingly a structural realignment rather than an interim disruption—one that gives state architectural choices their practical force before courts </w:t>
      </w:r>
      <w:proofErr w:type="gramStart"/>
      <w:r w:rsidRPr="001A3FB3">
        <w:rPr>
          <w:color w:val="000000" w:themeColor="text1"/>
        </w:rPr>
        <w:t>resolve</w:t>
      </w:r>
      <w:proofErr w:type="gramEnd"/>
      <w:r w:rsidRPr="001A3FB3">
        <w:rPr>
          <w:color w:val="000000" w:themeColor="text1"/>
        </w:rPr>
        <w:t xml:space="preserve"> the validity of any individual statute.</w:t>
      </w:r>
    </w:p>
    <w:p w14:paraId="4BE63240" w14:textId="239BF4A0" w:rsidR="005F5ACD" w:rsidRPr="001A3FB3" w:rsidRDefault="00000000">
      <w:pPr>
        <w:pStyle w:val="BodyText"/>
        <w:rPr>
          <w:color w:val="000000" w:themeColor="text1"/>
        </w:rPr>
      </w:pPr>
      <w:r w:rsidRPr="001A3FB3">
        <w:rPr>
          <w:color w:val="000000" w:themeColor="text1"/>
        </w:rPr>
        <w:t xml:space="preserve">The political-economy architecture under which state Anti-ESG legislation operates differs structurally from the pre-2021 baseline. For most of the post-New Deal period, the federal </w:t>
      </w:r>
      <w:r w:rsidR="00916642">
        <w:rPr>
          <w:color w:val="000000" w:themeColor="text1"/>
        </w:rPr>
        <w:t>baseline functionally</w:t>
      </w:r>
      <w:r w:rsidRPr="001A3FB3">
        <w:rPr>
          <w:color w:val="000000" w:themeColor="text1"/>
        </w:rPr>
        <w:t xml:space="preserve"> defined the substantive boundaries of fiduciary, banking, and securities-disclosure conduct, and state legislature</w:t>
      </w:r>
      <w:r w:rsidR="00916642">
        <w:rPr>
          <w:color w:val="000000" w:themeColor="text1"/>
        </w:rPr>
        <w:t xml:space="preserve">s while heterogenous, still </w:t>
      </w:r>
      <w:r w:rsidRPr="001A3FB3">
        <w:rPr>
          <w:color w:val="000000" w:themeColor="text1"/>
        </w:rPr>
        <w:t xml:space="preserve">operated </w:t>
      </w:r>
      <w:r w:rsidR="00916642">
        <w:rPr>
          <w:color w:val="000000" w:themeColor="text1"/>
        </w:rPr>
        <w:t>with largely mirroring frameworks</w:t>
      </w:r>
      <w:r w:rsidRPr="001A3FB3">
        <w:rPr>
          <w:color w:val="000000" w:themeColor="text1"/>
        </w:rPr>
        <w:t>. ERISA § 514(a) preempted competing state fiduciary regimes for private plans; NSMIA preempted state interference with the substantive content of securities offerings; the National Bank Act and Dodd-Frank § 25b preempted state interference with national-bank credit-pricing discretion.</w:t>
      </w:r>
      <w:r w:rsidRPr="001A3FB3">
        <w:rPr>
          <w:rStyle w:val="FootnoteReference"/>
          <w:color w:val="000000" w:themeColor="text1"/>
        </w:rPr>
        <w:footnoteReference w:id="187"/>
      </w:r>
      <w:r w:rsidRPr="001A3FB3">
        <w:rPr>
          <w:color w:val="000000" w:themeColor="text1"/>
        </w:rPr>
        <w:t xml:space="preserve"> State-level fragmentation was a feature of the system, but federal preemption converted state heterogeneity into compatible state regimes.</w:t>
      </w:r>
    </w:p>
    <w:p w14:paraId="59228FB3" w14:textId="2B6528F1" w:rsidR="005F5ACD" w:rsidRPr="001A3FB3" w:rsidRDefault="00000000">
      <w:pPr>
        <w:pStyle w:val="BodyText"/>
        <w:rPr>
          <w:color w:val="000000" w:themeColor="text1"/>
        </w:rPr>
      </w:pPr>
      <w:r w:rsidRPr="001A3FB3">
        <w:rPr>
          <w:color w:val="000000" w:themeColor="text1"/>
        </w:rPr>
        <w:t>That equilibrium has reversed during this legislative period. Federal regulatory retreat</w:t>
      </w:r>
      <w:r w:rsidR="00B62085">
        <w:rPr>
          <w:color w:val="000000" w:themeColor="text1"/>
        </w:rPr>
        <w:t>—</w:t>
      </w:r>
      <w:r w:rsidRPr="001A3FB3">
        <w:rPr>
          <w:color w:val="000000" w:themeColor="text1"/>
        </w:rPr>
        <w:t>the SEC</w:t>
      </w:r>
      <w:r w:rsidR="00B62085">
        <w:rPr>
          <w:color w:val="000000" w:themeColor="text1"/>
        </w:rPr>
        <w:t>’</w:t>
      </w:r>
      <w:r w:rsidRPr="001A3FB3">
        <w:rPr>
          <w:color w:val="000000" w:themeColor="text1"/>
        </w:rPr>
        <w:t>s March 2025 abandonment of its climate-disclosure rule defense; the DOL</w:t>
      </w:r>
      <w:r w:rsidR="00B62085">
        <w:rPr>
          <w:color w:val="000000" w:themeColor="text1"/>
        </w:rPr>
        <w:t>’</w:t>
      </w:r>
      <w:r w:rsidRPr="001A3FB3">
        <w:rPr>
          <w:color w:val="000000" w:themeColor="text1"/>
        </w:rPr>
        <w:t>s regulatory oscillation between the 2020 fiduciary rule and the 2022 revision (the 2022 rule upheld on post-</w:t>
      </w:r>
      <w:r w:rsidRPr="001A3FB3">
        <w:rPr>
          <w:i/>
          <w:iCs/>
          <w:color w:val="000000" w:themeColor="text1"/>
        </w:rPr>
        <w:t>Loper Bright</w:t>
      </w:r>
      <w:r w:rsidRPr="001A3FB3">
        <w:rPr>
          <w:color w:val="000000" w:themeColor="text1"/>
        </w:rPr>
        <w:t xml:space="preserve"> remand in </w:t>
      </w:r>
      <w:r w:rsidRPr="001A3FB3">
        <w:rPr>
          <w:i/>
          <w:iCs/>
          <w:color w:val="000000" w:themeColor="text1"/>
        </w:rPr>
        <w:t xml:space="preserve">Utah v. </w:t>
      </w:r>
      <w:proofErr w:type="spellStart"/>
      <w:r w:rsidRPr="001A3FB3">
        <w:rPr>
          <w:i/>
          <w:iCs/>
          <w:color w:val="000000" w:themeColor="text1"/>
        </w:rPr>
        <w:t>Micone</w:t>
      </w:r>
      <w:proofErr w:type="spellEnd"/>
      <w:r w:rsidRPr="001A3FB3">
        <w:rPr>
          <w:color w:val="000000" w:themeColor="text1"/>
        </w:rPr>
        <w:t>); the Federal Reserve</w:t>
      </w:r>
      <w:r w:rsidR="00B62085">
        <w:rPr>
          <w:color w:val="000000" w:themeColor="text1"/>
        </w:rPr>
        <w:t>’</w:t>
      </w:r>
      <w:r w:rsidRPr="001A3FB3">
        <w:rPr>
          <w:color w:val="000000" w:themeColor="text1"/>
        </w:rPr>
        <w:t>s withdrawal from international climate-finance coordination</w:t>
      </w:r>
      <w:r w:rsidR="00B62085">
        <w:rPr>
          <w:color w:val="000000" w:themeColor="text1"/>
        </w:rPr>
        <w:t>—</w:t>
      </w:r>
      <w:r w:rsidRPr="001A3FB3">
        <w:rPr>
          <w:color w:val="000000" w:themeColor="text1"/>
        </w:rPr>
        <w:t>has occurred contemporaneously with aggressive state legislative expansion across exactly the substantive domains federal preemption historically managed.</w:t>
      </w:r>
      <w:r w:rsidRPr="001A3FB3">
        <w:rPr>
          <w:rStyle w:val="FootnoteReference"/>
          <w:color w:val="000000" w:themeColor="text1"/>
        </w:rPr>
        <w:footnoteReference w:id="188"/>
      </w:r>
      <w:r w:rsidRPr="001A3FB3">
        <w:rPr>
          <w:color w:val="000000" w:themeColor="text1"/>
        </w:rPr>
        <w:t xml:space="preserve"> Where the pre-2021 architecture produced state-level fragmentation but federal-floor compatibility, the post-2021 architecture produces state-level fragmentation without</w:t>
      </w:r>
      <w:r w:rsidR="00916642">
        <w:rPr>
          <w:color w:val="000000" w:themeColor="text1"/>
        </w:rPr>
        <w:t xml:space="preserve"> </w:t>
      </w:r>
      <w:r w:rsidRPr="001A3FB3">
        <w:rPr>
          <w:color w:val="000000" w:themeColor="text1"/>
        </w:rPr>
        <w:t>compatibility. Regulated firms operating across multiple state jurisdictions face mandates that cannot be jointly satisfied through a single firmwide policy, and federal regulatory authority is no longer reliably available to resolve the conflict.</w:t>
      </w:r>
    </w:p>
    <w:p w14:paraId="1DEFA6B0" w14:textId="77777777" w:rsidR="005F5ACD" w:rsidRPr="001A3FB3" w:rsidRDefault="00000000">
      <w:pPr>
        <w:pStyle w:val="BodyText"/>
        <w:rPr>
          <w:color w:val="000000" w:themeColor="text1"/>
        </w:rPr>
      </w:pPr>
      <w:r w:rsidRPr="001A3FB3">
        <w:rPr>
          <w:color w:val="000000" w:themeColor="text1"/>
        </w:rPr>
        <w:t xml:space="preserve">The pre-wave heterogeneity among state public-pension regimes was real but structurally contained. Because ERISA does not preempt governmental plans, </w:t>
      </w:r>
      <w:r w:rsidRPr="001A3FB3">
        <w:rPr>
          <w:i/>
          <w:iCs/>
          <w:color w:val="000000" w:themeColor="text1"/>
        </w:rPr>
        <w:t>see</w:t>
      </w:r>
      <w:r w:rsidRPr="001A3FB3">
        <w:rPr>
          <w:color w:val="000000" w:themeColor="text1"/>
        </w:rPr>
        <w:t xml:space="preserve"> 29 U.S.C. § 1003(b), state pension fiduciary standards developed independently—but converged voluntarily toward ERISA-style prudence and loyalty requirements in thirty-six or more states, allowing a multistate financial intermediary to design broadly consistent products.</w:t>
      </w:r>
      <w:r w:rsidRPr="001A3FB3">
        <w:rPr>
          <w:rStyle w:val="FootnoteReference"/>
          <w:color w:val="000000" w:themeColor="text1"/>
        </w:rPr>
        <w:footnoteReference w:id="189"/>
      </w:r>
    </w:p>
    <w:p w14:paraId="0DDA6D8E" w14:textId="31BBEEC6" w:rsidR="005F5ACD" w:rsidRPr="001A3FB3" w:rsidRDefault="00000000">
      <w:pPr>
        <w:pStyle w:val="BodyText"/>
        <w:rPr>
          <w:color w:val="000000" w:themeColor="text1"/>
        </w:rPr>
      </w:pPr>
      <w:r w:rsidRPr="001A3FB3">
        <w:rPr>
          <w:color w:val="000000" w:themeColor="text1"/>
        </w:rPr>
        <w:t>The present wave converts that practical convergence into structural conflict. Anti-ESG fiduciary-duty statutes in states such as Texas (SB 13), Kentucky (SB 205), and West Virginia (SB 262) prohibit or penalize ESG-inflected investment reasoning that public-pension plans in states such as Maine and New York have simultaneously adopted or mandated. A multistate investment manager operating under both regimes cannot satisfy both sets of obligations through a single firmwide policy. Practitioner commentary describes the resulting compliance bind at the wave</w:t>
      </w:r>
      <w:r w:rsidR="00B62085">
        <w:rPr>
          <w:color w:val="000000" w:themeColor="text1"/>
        </w:rPr>
        <w:t>’</w:t>
      </w:r>
      <w:r w:rsidRPr="001A3FB3">
        <w:rPr>
          <w:color w:val="000000" w:themeColor="text1"/>
        </w:rPr>
        <w:t xml:space="preserve">s outset: these state anti-ESG legislative efforts </w:t>
      </w:r>
      <w:r w:rsidR="00B62085">
        <w:rPr>
          <w:color w:val="000000" w:themeColor="text1"/>
        </w:rPr>
        <w:t>“</w:t>
      </w:r>
      <w:r w:rsidRPr="001A3FB3">
        <w:rPr>
          <w:color w:val="000000" w:themeColor="text1"/>
        </w:rPr>
        <w:t>could complicate the use of ESG by public retirement plans,</w:t>
      </w:r>
      <w:r w:rsidR="00B62085">
        <w:rPr>
          <w:color w:val="000000" w:themeColor="text1"/>
        </w:rPr>
        <w:t>”</w:t>
      </w:r>
      <w:r w:rsidRPr="001A3FB3">
        <w:rPr>
          <w:color w:val="000000" w:themeColor="text1"/>
        </w:rPr>
        <w:t xml:space="preserve"> </w:t>
      </w:r>
      <w:r w:rsidR="00B62085">
        <w:rPr>
          <w:color w:val="000000" w:themeColor="text1"/>
        </w:rPr>
        <w:t>“</w:t>
      </w:r>
      <w:r w:rsidRPr="001A3FB3">
        <w:rPr>
          <w:color w:val="000000" w:themeColor="text1"/>
        </w:rPr>
        <w:t>create challenges for retirement plan fiduciaries,</w:t>
      </w:r>
      <w:r w:rsidR="00B62085">
        <w:rPr>
          <w:color w:val="000000" w:themeColor="text1"/>
        </w:rPr>
        <w:t>”</w:t>
      </w:r>
      <w:r w:rsidRPr="001A3FB3">
        <w:rPr>
          <w:color w:val="000000" w:themeColor="text1"/>
        </w:rPr>
        <w:t xml:space="preserve"> and </w:t>
      </w:r>
      <w:r w:rsidR="00B62085">
        <w:rPr>
          <w:color w:val="000000" w:themeColor="text1"/>
        </w:rPr>
        <w:t>“</w:t>
      </w:r>
      <w:r w:rsidRPr="001A3FB3">
        <w:rPr>
          <w:color w:val="000000" w:themeColor="text1"/>
        </w:rPr>
        <w:t>create headaches for investment providers seeking to serve both public retirement plans and ERISA-governed plans.</w:t>
      </w:r>
      <w:r w:rsidR="00B62085">
        <w:rPr>
          <w:color w:val="000000" w:themeColor="text1"/>
        </w:rPr>
        <w:t>”</w:t>
      </w:r>
      <w:r w:rsidRPr="001A3FB3">
        <w:rPr>
          <w:rStyle w:val="FootnoteReference"/>
          <w:color w:val="000000" w:themeColor="text1"/>
        </w:rPr>
        <w:footnoteReference w:id="190"/>
      </w:r>
      <w:r w:rsidRPr="001A3FB3">
        <w:rPr>
          <w:color w:val="000000" w:themeColor="text1"/>
        </w:rPr>
        <w:t xml:space="preserve"> Thomson Reuters Institute characterized the aggregate product as </w:t>
      </w:r>
      <w:r w:rsidR="00B62085">
        <w:rPr>
          <w:color w:val="000000" w:themeColor="text1"/>
        </w:rPr>
        <w:t>“</w:t>
      </w:r>
      <w:r w:rsidRPr="001A3FB3">
        <w:rPr>
          <w:color w:val="000000" w:themeColor="text1"/>
        </w:rPr>
        <w:t>an uneven regulatory patchwork</w:t>
      </w:r>
      <w:r w:rsidR="00B62085">
        <w:rPr>
          <w:color w:val="000000" w:themeColor="text1"/>
        </w:rPr>
        <w:t>”</w:t>
      </w:r>
      <w:r w:rsidRPr="001A3FB3">
        <w:rPr>
          <w:color w:val="000000" w:themeColor="text1"/>
        </w:rPr>
        <w:t xml:space="preserve"> forcing businesses </w:t>
      </w:r>
      <w:r w:rsidR="00B62085">
        <w:rPr>
          <w:color w:val="000000" w:themeColor="text1"/>
        </w:rPr>
        <w:t>“</w:t>
      </w:r>
      <w:r w:rsidRPr="001A3FB3">
        <w:rPr>
          <w:color w:val="000000" w:themeColor="text1"/>
        </w:rPr>
        <w:t>operating in more than one state</w:t>
      </w:r>
      <w:r w:rsidR="00B62085">
        <w:rPr>
          <w:color w:val="000000" w:themeColor="text1"/>
        </w:rPr>
        <w:t>”</w:t>
      </w:r>
      <w:r w:rsidRPr="001A3FB3">
        <w:rPr>
          <w:color w:val="000000" w:themeColor="text1"/>
        </w:rPr>
        <w:t xml:space="preserve"> to </w:t>
      </w:r>
      <w:r w:rsidR="00B62085">
        <w:rPr>
          <w:color w:val="000000" w:themeColor="text1"/>
        </w:rPr>
        <w:t>“</w:t>
      </w:r>
      <w:r w:rsidRPr="001A3FB3">
        <w:rPr>
          <w:color w:val="000000" w:themeColor="text1"/>
        </w:rPr>
        <w:t>make difficult choices.</w:t>
      </w:r>
      <w:r w:rsidR="00B62085">
        <w:rPr>
          <w:color w:val="000000" w:themeColor="text1"/>
        </w:rPr>
        <w:t>”</w:t>
      </w:r>
      <w:r w:rsidRPr="001A3FB3">
        <w:rPr>
          <w:rStyle w:val="FootnoteReference"/>
          <w:color w:val="000000" w:themeColor="text1"/>
        </w:rPr>
        <w:footnoteReference w:id="191"/>
      </w:r>
      <w:r w:rsidRPr="001A3FB3">
        <w:rPr>
          <w:color w:val="000000" w:themeColor="text1"/>
        </w:rPr>
        <w:t xml:space="preserve"> This is not patchwork in the ordinary sense of variation across a compatible spectrum. It is directional conflict: one jurisdiction</w:t>
      </w:r>
      <w:r w:rsidR="00B62085">
        <w:rPr>
          <w:color w:val="000000" w:themeColor="text1"/>
        </w:rPr>
        <w:t>’</w:t>
      </w:r>
      <w:r w:rsidRPr="001A3FB3">
        <w:rPr>
          <w:color w:val="000000" w:themeColor="text1"/>
        </w:rPr>
        <w:t>s compliance posture is another</w:t>
      </w:r>
      <w:r w:rsidR="00B62085">
        <w:rPr>
          <w:color w:val="000000" w:themeColor="text1"/>
        </w:rPr>
        <w:t>’</w:t>
      </w:r>
      <w:r w:rsidRPr="001A3FB3">
        <w:rPr>
          <w:color w:val="000000" w:themeColor="text1"/>
        </w:rPr>
        <w:t>s prohibited conduct, and no single firmwide resolution absorbs both demands.</w:t>
      </w:r>
    </w:p>
    <w:p w14:paraId="0FA99C3B" w14:textId="77777777" w:rsidR="005F5ACD" w:rsidRPr="001A3FB3" w:rsidRDefault="00000000" w:rsidP="001A3FB3">
      <w:pPr>
        <w:pStyle w:val="Heading2"/>
      </w:pPr>
      <w:bookmarkStart w:id="60" w:name="X716d34fdd8768e1703993b3a9e8c89c90764571"/>
      <w:bookmarkStart w:id="61" w:name="_Toc229502280"/>
      <w:bookmarkEnd w:id="58"/>
      <w:r w:rsidRPr="001A3FB3">
        <w:t>§V.B Fiscal and Cross-State Heterogeneity Costs</w:t>
      </w:r>
      <w:bookmarkEnd w:id="61"/>
    </w:p>
    <w:p w14:paraId="78DB4D62" w14:textId="4385687A" w:rsidR="005F5ACD" w:rsidRPr="001A3FB3" w:rsidRDefault="00000000">
      <w:pPr>
        <w:pStyle w:val="FirstParagraph"/>
        <w:rPr>
          <w:color w:val="000000" w:themeColor="text1"/>
        </w:rPr>
      </w:pPr>
      <w:r w:rsidRPr="001A3FB3">
        <w:rPr>
          <w:color w:val="000000" w:themeColor="text1"/>
        </w:rPr>
        <w:t>The fiscal cost the architecture imposes on enacting jurisdictions is substantial and structurally distinctive. The three cost figures §IV.A develops</w:t>
      </w:r>
      <w:r w:rsidR="00B62085">
        <w:rPr>
          <w:color w:val="000000" w:themeColor="text1"/>
        </w:rPr>
        <w:t>—</w:t>
      </w:r>
      <w:r w:rsidRPr="001A3FB3">
        <w:rPr>
          <w:color w:val="000000" w:themeColor="text1"/>
        </w:rPr>
        <w:t>Garrett and Ivanov</w:t>
      </w:r>
      <w:r w:rsidR="00B62085">
        <w:rPr>
          <w:color w:val="000000" w:themeColor="text1"/>
        </w:rPr>
        <w:t>’</w:t>
      </w:r>
      <w:r w:rsidRPr="001A3FB3">
        <w:rPr>
          <w:color w:val="000000" w:themeColor="text1"/>
        </w:rPr>
        <w:t>s Texas bond-market premium, OPERS</w:t>
      </w:r>
      <w:r w:rsidR="00B62085">
        <w:rPr>
          <w:color w:val="000000" w:themeColor="text1"/>
        </w:rPr>
        <w:t>’</w:t>
      </w:r>
      <w:r w:rsidRPr="001A3FB3">
        <w:rPr>
          <w:color w:val="000000" w:themeColor="text1"/>
        </w:rPr>
        <w:t xml:space="preserve">s switching-cost estimate from the </w:t>
      </w:r>
      <w:r w:rsidRPr="001A3FB3">
        <w:rPr>
          <w:i/>
          <w:iCs/>
          <w:color w:val="000000" w:themeColor="text1"/>
        </w:rPr>
        <w:t>Keenan</w:t>
      </w:r>
      <w:r w:rsidRPr="001A3FB3">
        <w:rPr>
          <w:color w:val="000000" w:themeColor="text1"/>
        </w:rPr>
        <w:t xml:space="preserve"> litigation record, and the Indiana Legislative Services Agency</w:t>
      </w:r>
      <w:r w:rsidR="00B62085">
        <w:rPr>
          <w:color w:val="000000" w:themeColor="text1"/>
        </w:rPr>
        <w:t>’</w:t>
      </w:r>
      <w:r w:rsidRPr="001A3FB3">
        <w:rPr>
          <w:color w:val="000000" w:themeColor="text1"/>
        </w:rPr>
        <w:t>s pension-return projection</w:t>
      </w:r>
      <w:r w:rsidR="00B62085">
        <w:rPr>
          <w:color w:val="000000" w:themeColor="text1"/>
        </w:rPr>
        <w:t>—</w:t>
      </w:r>
      <w:r w:rsidRPr="001A3FB3">
        <w:rPr>
          <w:color w:val="000000" w:themeColor="text1"/>
        </w:rPr>
        <w:t>are not aggregable under a single methodology, but they share a structural feature that elevates them above the empirical-record register.</w:t>
      </w:r>
      <w:r w:rsidRPr="001A3FB3">
        <w:rPr>
          <w:rStyle w:val="FootnoteReference"/>
          <w:color w:val="000000" w:themeColor="text1"/>
        </w:rPr>
        <w:footnoteReference w:id="192"/>
      </w:r>
      <w:r w:rsidRPr="001A3FB3">
        <w:rPr>
          <w:color w:val="000000" w:themeColor="text1"/>
        </w:rPr>
        <w:t xml:space="preserve"> In each case, the cost falls on the constituencies the statutes claim to protect rather than on the financial intermediaries the statutes target. Texas taxpayers and municipal borrowers bear the underwriter-exit premium; OPERS beneficiaries bear the transition cost; Indiana public-pension participants bear the projected return shortfall. The political-economy distinctiveness lies in this misalignment between the statutes</w:t>
      </w:r>
      <w:r w:rsidR="00B62085">
        <w:rPr>
          <w:color w:val="000000" w:themeColor="text1"/>
        </w:rPr>
        <w:t>’</w:t>
      </w:r>
      <w:r w:rsidRPr="001A3FB3">
        <w:rPr>
          <w:color w:val="000000" w:themeColor="text1"/>
        </w:rPr>
        <w:t xml:space="preserve"> protective rhetoric and their actual fiscal incidence.</w:t>
      </w:r>
    </w:p>
    <w:p w14:paraId="1034B386" w14:textId="794F6D12" w:rsidR="005F5ACD" w:rsidRPr="001A3FB3" w:rsidRDefault="00000000">
      <w:pPr>
        <w:pStyle w:val="BodyText"/>
        <w:rPr>
          <w:color w:val="000000" w:themeColor="text1"/>
        </w:rPr>
      </w:pPr>
      <w:r w:rsidRPr="001A3FB3">
        <w:rPr>
          <w:color w:val="000000" w:themeColor="text1"/>
        </w:rPr>
        <w:t>The multi-state record points in the same direction, though it should be kept in separate evidentiary buckets. Roach and Burdina estimate that Oklahoma</w:t>
      </w:r>
      <w:r w:rsidR="00B62085">
        <w:rPr>
          <w:color w:val="000000" w:themeColor="text1"/>
        </w:rPr>
        <w:t>’</w:t>
      </w:r>
      <w:r w:rsidRPr="001A3FB3">
        <w:rPr>
          <w:color w:val="000000" w:themeColor="text1"/>
        </w:rPr>
        <w:t>s EDEA increased municipal borrowing costs by more than $164 million over its first seventeen months.</w:t>
      </w:r>
      <w:r w:rsidRPr="001A3FB3">
        <w:rPr>
          <w:rStyle w:val="FootnoteReference"/>
          <w:color w:val="000000" w:themeColor="text1"/>
        </w:rPr>
        <w:footnoteReference w:id="193"/>
      </w:r>
      <w:r w:rsidRPr="001A3FB3">
        <w:rPr>
          <w:color w:val="000000" w:themeColor="text1"/>
        </w:rPr>
        <w:t xml:space="preserve"> Fiscal notes and actuarial materials show projected pension and compliance exposure under other state designs. Kansas projected a $3.6 billion ten-year reduction in KPERS returns, $1.14 billion in early private-market divestment costs, a $2.4 billion increase in unfunded actuarial liability, and a roughly ten-percent funded-ratio effect.</w:t>
      </w:r>
      <w:r w:rsidRPr="001A3FB3">
        <w:rPr>
          <w:rStyle w:val="FootnoteReference"/>
          <w:color w:val="000000" w:themeColor="text1"/>
        </w:rPr>
        <w:footnoteReference w:id="194"/>
      </w:r>
      <w:r w:rsidRPr="001A3FB3">
        <w:rPr>
          <w:color w:val="000000" w:themeColor="text1"/>
        </w:rPr>
        <w:t xml:space="preserve"> Louisiana estimated that a one-percentage-point return reduction would raise accrued liabilities by approximately $6.271 billion.</w:t>
      </w:r>
      <w:r w:rsidRPr="001A3FB3">
        <w:rPr>
          <w:rStyle w:val="FootnoteReference"/>
          <w:color w:val="000000" w:themeColor="text1"/>
        </w:rPr>
        <w:footnoteReference w:id="195"/>
      </w:r>
      <w:r w:rsidRPr="001A3FB3">
        <w:rPr>
          <w:color w:val="000000" w:themeColor="text1"/>
        </w:rPr>
        <w:t xml:space="preserve"> Wyoming</w:t>
      </w:r>
      <w:r w:rsidR="00B62085">
        <w:rPr>
          <w:color w:val="000000" w:themeColor="text1"/>
        </w:rPr>
        <w:t>’</w:t>
      </w:r>
      <w:r w:rsidRPr="001A3FB3">
        <w:rPr>
          <w:color w:val="000000" w:themeColor="text1"/>
        </w:rPr>
        <w:t>s 2025 HB 0080 fiscal note projected pension-revenue reductions of $193 million, $387 million, and $580 million across FY2026-FY2028.</w:t>
      </w:r>
      <w:r w:rsidRPr="001A3FB3">
        <w:rPr>
          <w:rStyle w:val="FootnoteReference"/>
          <w:color w:val="000000" w:themeColor="text1"/>
        </w:rPr>
        <w:footnoteReference w:id="196"/>
      </w:r>
      <w:r w:rsidRPr="001A3FB3">
        <w:rPr>
          <w:color w:val="000000" w:themeColor="text1"/>
        </w:rPr>
        <w:t xml:space="preserve"> These figures should not be summed. Their common significance is incidence: the largest projected or observed costs fall on taxpayers, issuers, pension systems, or beneficiaries rather than on the financial intermediaries the statutes target.</w:t>
      </w:r>
      <w:r w:rsidRPr="001A3FB3">
        <w:rPr>
          <w:rStyle w:val="FootnoteReference"/>
          <w:color w:val="000000" w:themeColor="text1"/>
        </w:rPr>
        <w:footnoteReference w:id="197"/>
      </w:r>
    </w:p>
    <w:p w14:paraId="50D7C603" w14:textId="6FD48219" w:rsidR="005F5ACD" w:rsidRPr="001A3FB3" w:rsidRDefault="00000000">
      <w:pPr>
        <w:pStyle w:val="BodyText"/>
        <w:rPr>
          <w:color w:val="000000" w:themeColor="text1"/>
        </w:rPr>
      </w:pPr>
      <w:r w:rsidRPr="001A3FB3">
        <w:rPr>
          <w:color w:val="000000" w:themeColor="text1"/>
        </w:rPr>
        <w:t>The cross-state heterogeneity cost is structurally distinct from any individual statute</w:t>
      </w:r>
      <w:r w:rsidR="00B62085">
        <w:rPr>
          <w:color w:val="000000" w:themeColor="text1"/>
        </w:rPr>
        <w:t>’</w:t>
      </w:r>
      <w:r w:rsidRPr="001A3FB3">
        <w:rPr>
          <w:color w:val="000000" w:themeColor="text1"/>
        </w:rPr>
        <w:t>s behavioral-magnitude effect. A regulated firm operating across multiple state jurisdictions faces mandates that cannot be jointly satisfied through a single firmwide policy. On the Anti side, TX SB 13</w:t>
      </w:r>
      <w:r w:rsidR="00B62085">
        <w:rPr>
          <w:color w:val="000000" w:themeColor="text1"/>
        </w:rPr>
        <w:t>’</w:t>
      </w:r>
      <w:r w:rsidRPr="001A3FB3">
        <w:rPr>
          <w:color w:val="000000" w:themeColor="text1"/>
        </w:rPr>
        <w:t>s energy-boycott designation and divestment machinery, OK HB 2034</w:t>
      </w:r>
      <w:r w:rsidR="00B62085">
        <w:rPr>
          <w:color w:val="000000" w:themeColor="text1"/>
        </w:rPr>
        <w:t>’</w:t>
      </w:r>
      <w:r w:rsidRPr="001A3FB3">
        <w:rPr>
          <w:color w:val="000000" w:themeColor="text1"/>
        </w:rPr>
        <w:t>s parallel pension-channel architecture, KY SB 205 and WV SB 262</w:t>
      </w:r>
      <w:r w:rsidR="00B62085">
        <w:rPr>
          <w:color w:val="000000" w:themeColor="text1"/>
        </w:rPr>
        <w:t>’</w:t>
      </w:r>
      <w:r w:rsidRPr="001A3FB3">
        <w:rPr>
          <w:color w:val="000000" w:themeColor="text1"/>
        </w:rPr>
        <w:t>s contracting-eligibility consequences, and Florida § 655.0323</w:t>
      </w:r>
      <w:r w:rsidR="00B62085">
        <w:rPr>
          <w:color w:val="000000" w:themeColor="text1"/>
        </w:rPr>
        <w:t>’</w:t>
      </w:r>
      <w:r w:rsidRPr="001A3FB3">
        <w:rPr>
          <w:color w:val="000000" w:themeColor="text1"/>
        </w:rPr>
        <w:t>s attestation-and-supervisory regime produce inconsistent operational demands.</w:t>
      </w:r>
      <w:r w:rsidRPr="001A3FB3">
        <w:rPr>
          <w:rStyle w:val="FootnoteReference"/>
          <w:color w:val="000000" w:themeColor="text1"/>
        </w:rPr>
        <w:footnoteReference w:id="198"/>
      </w:r>
      <w:r w:rsidRPr="001A3FB3">
        <w:rPr>
          <w:color w:val="000000" w:themeColor="text1"/>
        </w:rPr>
        <w:t xml:space="preserve"> Compliance with the Anti regime in one state can, in another state</w:t>
      </w:r>
      <w:r w:rsidR="00B62085">
        <w:rPr>
          <w:color w:val="000000" w:themeColor="text1"/>
        </w:rPr>
        <w:t>’</w:t>
      </w:r>
      <w:r w:rsidRPr="001A3FB3">
        <w:rPr>
          <w:color w:val="000000" w:themeColor="text1"/>
        </w:rPr>
        <w:t>s pension-fiduciary environment, violate exclusive-purpose constitutional commands</w:t>
      </w:r>
      <w:r w:rsidR="00B62085">
        <w:rPr>
          <w:color w:val="000000" w:themeColor="text1"/>
        </w:rPr>
        <w:t>—</w:t>
      </w:r>
      <w:r w:rsidRPr="001A3FB3">
        <w:rPr>
          <w:i/>
          <w:iCs/>
          <w:color w:val="000000" w:themeColor="text1"/>
        </w:rPr>
        <w:t>Keenan</w:t>
      </w:r>
      <w:r w:rsidR="00B62085">
        <w:rPr>
          <w:color w:val="000000" w:themeColor="text1"/>
        </w:rPr>
        <w:t>’</w:t>
      </w:r>
      <w:r w:rsidRPr="001A3FB3">
        <w:rPr>
          <w:color w:val="000000" w:themeColor="text1"/>
        </w:rPr>
        <w:t>s dual-purpose holding converts that abstract structural conflict into concrete constitutional invalidity.</w:t>
      </w:r>
      <w:r w:rsidRPr="001A3FB3">
        <w:rPr>
          <w:rStyle w:val="FootnoteReference"/>
          <w:color w:val="000000" w:themeColor="text1"/>
        </w:rPr>
        <w:footnoteReference w:id="199"/>
      </w:r>
      <w:r w:rsidRPr="001A3FB3">
        <w:rPr>
          <w:color w:val="000000" w:themeColor="text1"/>
        </w:rPr>
        <w:t xml:space="preserve"> The structural-choice problem operates on every multi-state regulated firm even where each individual statute survives merits review.</w:t>
      </w:r>
    </w:p>
    <w:p w14:paraId="00D452FC" w14:textId="3E45B002" w:rsidR="005F5ACD" w:rsidRPr="001A3FB3" w:rsidRDefault="00000000">
      <w:pPr>
        <w:pStyle w:val="BodyText"/>
        <w:rPr>
          <w:color w:val="000000" w:themeColor="text1"/>
        </w:rPr>
      </w:pPr>
      <w:r w:rsidRPr="001A3FB3">
        <w:rPr>
          <w:color w:val="000000" w:themeColor="text1"/>
        </w:rPr>
        <w:t>Beyond the realized borrowing-cost premium and the projected pension-return shortfall, the architecture imposes a second tier of structural cost that operates on the competitive landscape itself. Anti-boycott statutes that tie designation, divestment, and certification consequences to nationwide ESG practices reprice the entire class of large, nationally diversified financial institutions as potential counterparties for every covered state transaction. The standing threat of re-designation, the costs of removal from boycott lists, and the recurring attestation burdens imposed by statutes such as Florida § 655.0323 convert each discrete regulatory event into a durable change in the competitive landscape for public finance.</w:t>
      </w:r>
      <w:r w:rsidRPr="001A3FB3">
        <w:rPr>
          <w:rStyle w:val="FootnoteReference"/>
          <w:color w:val="000000" w:themeColor="text1"/>
        </w:rPr>
        <w:footnoteReference w:id="200"/>
      </w:r>
      <w:r w:rsidRPr="001A3FB3">
        <w:rPr>
          <w:color w:val="000000" w:themeColor="text1"/>
        </w:rPr>
        <w:t xml:space="preserve"> The </w:t>
      </w:r>
      <w:proofErr w:type="gramStart"/>
      <w:r w:rsidRPr="001A3FB3">
        <w:rPr>
          <w:color w:val="000000" w:themeColor="text1"/>
        </w:rPr>
        <w:t>selective-retreat</w:t>
      </w:r>
      <w:proofErr w:type="gramEnd"/>
      <w:r w:rsidRPr="001A3FB3">
        <w:rPr>
          <w:color w:val="000000" w:themeColor="text1"/>
        </w:rPr>
        <w:t xml:space="preserve"> record itself supplies independent evidence that these costs are real and that legislatures recognize them. Indiana amended HB 1008 to exempt private-market funds</w:t>
      </w:r>
      <w:r w:rsidR="00B62085">
        <w:rPr>
          <w:color w:val="000000" w:themeColor="text1"/>
        </w:rPr>
        <w:t>—</w:t>
      </w:r>
      <w:r w:rsidRPr="001A3FB3">
        <w:rPr>
          <w:color w:val="000000" w:themeColor="text1"/>
        </w:rPr>
        <w:t>the asset classes most integrated with ESG-conscious managers</w:t>
      </w:r>
      <w:r w:rsidR="00B62085">
        <w:rPr>
          <w:color w:val="000000" w:themeColor="text1"/>
        </w:rPr>
        <w:t>—</w:t>
      </w:r>
      <w:r w:rsidRPr="001A3FB3">
        <w:rPr>
          <w:color w:val="000000" w:themeColor="text1"/>
        </w:rPr>
        <w:t>after the Legislative Services Agency</w:t>
      </w:r>
      <w:r w:rsidR="00B62085">
        <w:rPr>
          <w:color w:val="000000" w:themeColor="text1"/>
        </w:rPr>
        <w:t>’</w:t>
      </w:r>
      <w:r w:rsidRPr="001A3FB3">
        <w:rPr>
          <w:color w:val="000000" w:themeColor="text1"/>
        </w:rPr>
        <w:t>s $6.7 billion projection became public.</w:t>
      </w:r>
      <w:r w:rsidRPr="001A3FB3">
        <w:rPr>
          <w:rStyle w:val="FootnoteReference"/>
          <w:color w:val="000000" w:themeColor="text1"/>
        </w:rPr>
        <w:footnoteReference w:id="201"/>
      </w:r>
      <w:r w:rsidRPr="001A3FB3">
        <w:rPr>
          <w:color w:val="000000" w:themeColor="text1"/>
        </w:rPr>
        <w:t xml:space="preserve"> Kansas amended SB 291 to indemnify the retirement system for compliance losses and to authorize external proxy-voting advisers, after KPERS testified that the bill</w:t>
      </w:r>
      <w:r w:rsidR="00B62085">
        <w:rPr>
          <w:color w:val="000000" w:themeColor="text1"/>
        </w:rPr>
        <w:t>’</w:t>
      </w:r>
      <w:r w:rsidRPr="001A3FB3">
        <w:rPr>
          <w:color w:val="000000" w:themeColor="text1"/>
        </w:rPr>
        <w:t xml:space="preserve">s definitions were </w:t>
      </w:r>
      <w:r w:rsidR="00B62085">
        <w:rPr>
          <w:color w:val="000000" w:themeColor="text1"/>
        </w:rPr>
        <w:t>“</w:t>
      </w:r>
      <w:r w:rsidRPr="001A3FB3">
        <w:rPr>
          <w:color w:val="000000" w:themeColor="text1"/>
        </w:rPr>
        <w:t>so expansive that nearly all of the system</w:t>
      </w:r>
      <w:r w:rsidR="00B62085">
        <w:rPr>
          <w:color w:val="000000" w:themeColor="text1"/>
        </w:rPr>
        <w:t>’</w:t>
      </w:r>
      <w:r w:rsidRPr="001A3FB3">
        <w:rPr>
          <w:color w:val="000000" w:themeColor="text1"/>
        </w:rPr>
        <w:t>s current investment managers would be disqualified as fiduciaries.</w:t>
      </w:r>
      <w:r w:rsidR="00B62085">
        <w:rPr>
          <w:color w:val="000000" w:themeColor="text1"/>
        </w:rPr>
        <w:t>”</w:t>
      </w:r>
      <w:r w:rsidRPr="001A3FB3">
        <w:rPr>
          <w:rStyle w:val="FootnoteReference"/>
          <w:color w:val="000000" w:themeColor="text1"/>
        </w:rPr>
        <w:footnoteReference w:id="202"/>
      </w:r>
      <w:r w:rsidRPr="001A3FB3">
        <w:rPr>
          <w:color w:val="000000" w:themeColor="text1"/>
        </w:rPr>
        <w:t xml:space="preserve"> North Dakota</w:t>
      </w:r>
      <w:r w:rsidR="00B62085">
        <w:rPr>
          <w:color w:val="000000" w:themeColor="text1"/>
        </w:rPr>
        <w:t>’</w:t>
      </w:r>
      <w:r w:rsidRPr="001A3FB3">
        <w:rPr>
          <w:color w:val="000000" w:themeColor="text1"/>
        </w:rPr>
        <w:t>s House rejected its analogous bill 90 to 3 after testimony from the Department of Financial Institutions, the Securities Commissioner, and the Bank of North Dakota that compliance would require approximately doubling state fiscal staff.</w:t>
      </w:r>
      <w:r w:rsidRPr="001A3FB3">
        <w:rPr>
          <w:rStyle w:val="FootnoteReference"/>
          <w:color w:val="000000" w:themeColor="text1"/>
        </w:rPr>
        <w:footnoteReference w:id="203"/>
      </w:r>
      <w:r w:rsidRPr="001A3FB3">
        <w:rPr>
          <w:color w:val="000000" w:themeColor="text1"/>
        </w:rPr>
        <w:t xml:space="preserve"> The annual pace of anti-ESG enactments fell from twenty-three in 2023 to six in 2024 as fiscal-note disclosures accumulated, a </w:t>
      </w:r>
      <w:r w:rsidR="00B62085">
        <w:rPr>
          <w:color w:val="000000" w:themeColor="text1"/>
        </w:rPr>
        <w:t>“</w:t>
      </w:r>
      <w:r w:rsidRPr="001A3FB3">
        <w:rPr>
          <w:color w:val="000000" w:themeColor="text1"/>
        </w:rPr>
        <w:t>costly reality</w:t>
      </w:r>
      <w:r w:rsidR="00B62085">
        <w:rPr>
          <w:color w:val="000000" w:themeColor="text1"/>
        </w:rPr>
        <w:t>”</w:t>
      </w:r>
      <w:r w:rsidRPr="001A3FB3">
        <w:rPr>
          <w:color w:val="000000" w:themeColor="text1"/>
        </w:rPr>
        <w:t xml:space="preserve"> the leading state-tracker explicitly attributes to fiscal-cost feedback.</w:t>
      </w:r>
      <w:r w:rsidRPr="001A3FB3">
        <w:rPr>
          <w:rStyle w:val="FootnoteReference"/>
          <w:color w:val="000000" w:themeColor="text1"/>
        </w:rPr>
        <w:footnoteReference w:id="204"/>
      </w:r>
      <w:r w:rsidRPr="001A3FB3">
        <w:rPr>
          <w:color w:val="000000" w:themeColor="text1"/>
        </w:rPr>
        <w:t xml:space="preserve"> The legislative pattern reinforces what the empirical figures register: the architecture</w:t>
      </w:r>
      <w:r w:rsidR="00B62085">
        <w:rPr>
          <w:color w:val="000000" w:themeColor="text1"/>
        </w:rPr>
        <w:t>’</w:t>
      </w:r>
      <w:r w:rsidRPr="001A3FB3">
        <w:rPr>
          <w:color w:val="000000" w:themeColor="text1"/>
        </w:rPr>
        <w:t>s costs do not fall where its political-economy assumes they will, and the constituencies the architecture exposes have proven visible enough to bend the architecture itself.</w:t>
      </w:r>
    </w:p>
    <w:p w14:paraId="6C80449E" w14:textId="028DBDBB" w:rsidR="005F5ACD" w:rsidRPr="001A3FB3" w:rsidRDefault="00000000">
      <w:pPr>
        <w:pStyle w:val="BodyText"/>
        <w:rPr>
          <w:color w:val="000000" w:themeColor="text1"/>
        </w:rPr>
      </w:pPr>
      <w:r w:rsidRPr="001A3FB3">
        <w:rPr>
          <w:color w:val="000000" w:themeColor="text1"/>
        </w:rPr>
        <w:t>This cumulative cross-state cost is the most durable feature of this statutory regime</w:t>
      </w:r>
      <w:r w:rsidR="00B62085">
        <w:rPr>
          <w:color w:val="000000" w:themeColor="text1"/>
        </w:rPr>
        <w:t>’</w:t>
      </w:r>
      <w:r w:rsidRPr="001A3FB3">
        <w:rPr>
          <w:color w:val="000000" w:themeColor="text1"/>
        </w:rPr>
        <w:t xml:space="preserve">s political-economy footprint and the feature most resistant to channel-by-channel doctrinal repair. Invalidation of Texas SB 13, currently on appeal to the Fifth Circuit in </w:t>
      </w:r>
      <w:r w:rsidRPr="001A3FB3">
        <w:rPr>
          <w:i/>
          <w:iCs/>
          <w:color w:val="000000" w:themeColor="text1"/>
        </w:rPr>
        <w:t>ASBC v. Hegar</w:t>
      </w:r>
      <w:r w:rsidRPr="001A3FB3">
        <w:rPr>
          <w:color w:val="000000" w:themeColor="text1"/>
        </w:rPr>
        <w:t>, would lift that statute</w:t>
      </w:r>
      <w:r w:rsidR="00B62085">
        <w:rPr>
          <w:color w:val="000000" w:themeColor="text1"/>
        </w:rPr>
        <w:t>’</w:t>
      </w:r>
      <w:r w:rsidRPr="001A3FB3">
        <w:rPr>
          <w:color w:val="000000" w:themeColor="text1"/>
        </w:rPr>
        <w:t>s particular burden but would not unwind the architectural inconsistency the remaining state regimes produce. By the time a court rules on any individual statute</w:t>
      </w:r>
      <w:r w:rsidR="00B62085">
        <w:rPr>
          <w:color w:val="000000" w:themeColor="text1"/>
        </w:rPr>
        <w:t>’</w:t>
      </w:r>
      <w:r w:rsidRPr="001A3FB3">
        <w:rPr>
          <w:color w:val="000000" w:themeColor="text1"/>
        </w:rPr>
        <w:t>s validity, the realized borrowing-cost premium has already been paid into the bond market, the divestment-driven manager substitution has already incurred its switching costs, the eligible-counterparty pool has already contracted, and the competitive landscape has already adjusted against retroactive unwinding. A judicial invalidation does not refund the costs §IV.A documents, restore the manager rosters that pension officials warned would be foreclosed, or reverse the underwriter-exit signal. The cumulative cross-state burden is the structural counterpart to the expressive-function and Compliance-Overhang mechanisms Part IV develops, and it persists for the same reason. Its survival does not depend on the merits-validity of any single component, because its operation is upstream of merits adjudication and its costs are downstream of statutory enactment, falling on the protected constituencies in the interval between the two.</w:t>
      </w:r>
    </w:p>
    <w:p w14:paraId="0FD54EA6" w14:textId="77777777" w:rsidR="005F5ACD" w:rsidRPr="001A3FB3" w:rsidRDefault="00000000" w:rsidP="001A3FB3">
      <w:pPr>
        <w:pStyle w:val="Heading2"/>
      </w:pPr>
      <w:bookmarkStart w:id="62" w:name="v.c-the-institutional-stewardship-hedge"/>
      <w:bookmarkStart w:id="63" w:name="_Toc229502281"/>
      <w:bookmarkEnd w:id="60"/>
      <w:r w:rsidRPr="001A3FB3">
        <w:t>§V.C The Institutional-Stewardship Hedge</w:t>
      </w:r>
      <w:bookmarkEnd w:id="63"/>
    </w:p>
    <w:p w14:paraId="0536EEE1" w14:textId="02EB92E4" w:rsidR="005F5ACD" w:rsidRPr="001A3FB3" w:rsidRDefault="00000000">
      <w:pPr>
        <w:pStyle w:val="FirstParagraph"/>
        <w:rPr>
          <w:color w:val="000000" w:themeColor="text1"/>
        </w:rPr>
      </w:pPr>
      <w:r w:rsidRPr="001A3FB3">
        <w:rPr>
          <w:color w:val="000000" w:themeColor="text1"/>
        </w:rPr>
        <w:t>Part IV</w:t>
      </w:r>
      <w:r w:rsidR="00B62085">
        <w:rPr>
          <w:color w:val="000000" w:themeColor="text1"/>
        </w:rPr>
        <w:t>’</w:t>
      </w:r>
      <w:r w:rsidRPr="001A3FB3">
        <w:rPr>
          <w:color w:val="000000" w:themeColor="text1"/>
        </w:rPr>
        <w:t>s stewardship discussion has a limited regulatory-design payoff. Even if stewardship effects are modest, the law should distinguish statutes that regulate fiduciary ends from statutes that selectively burden the monitoring infrastructure itself. Proxy-adviser duties, coalition-membership evidence rules, voting-rationale documentation, and settlement covenants all operate on the channel through which institutional investors monitor management. That channel has value even if any particular engagement would have had uncertain impact.</w:t>
      </w:r>
    </w:p>
    <w:p w14:paraId="1776E379" w14:textId="34FCCD94" w:rsidR="005F5ACD" w:rsidRPr="001A3FB3" w:rsidRDefault="00000000" w:rsidP="007979D3">
      <w:pPr>
        <w:pStyle w:val="BodyText"/>
        <w:rPr>
          <w:color w:val="000000" w:themeColor="text1"/>
        </w:rPr>
      </w:pPr>
      <w:r w:rsidRPr="001A3FB3">
        <w:rPr>
          <w:color w:val="000000" w:themeColor="text1"/>
        </w:rPr>
        <w:t>The scholarship Part IV discusses—</w:t>
      </w:r>
      <w:proofErr w:type="spellStart"/>
      <w:r w:rsidR="007979D3">
        <w:rPr>
          <w:color w:val="000000" w:themeColor="text1"/>
        </w:rPr>
        <w:t>Tallarita</w:t>
      </w:r>
      <w:proofErr w:type="spellEnd"/>
      <w:r w:rsidR="007979D3">
        <w:rPr>
          <w:color w:val="000000" w:themeColor="text1"/>
        </w:rPr>
        <w:t xml:space="preserve">, </w:t>
      </w:r>
      <w:r w:rsidRPr="001A3FB3">
        <w:rPr>
          <w:color w:val="000000" w:themeColor="text1"/>
        </w:rPr>
        <w:t>Bebchuk and Hirst on stewardship underinvestment, Gordon on systematic-risk theory, Lund and Pollman on institutional infrastructure—supplies the stewardship discussion</w:t>
      </w:r>
      <w:r w:rsidR="00B62085">
        <w:rPr>
          <w:color w:val="000000" w:themeColor="text1"/>
        </w:rPr>
        <w:t>’</w:t>
      </w:r>
      <w:r w:rsidRPr="001A3FB3">
        <w:rPr>
          <w:color w:val="000000" w:themeColor="text1"/>
        </w:rPr>
        <w:t>s theoretical frame.</w:t>
      </w:r>
      <w:r w:rsidRPr="001A3FB3">
        <w:rPr>
          <w:rStyle w:val="FootnoteReference"/>
          <w:color w:val="000000" w:themeColor="text1"/>
        </w:rPr>
        <w:footnoteReference w:id="205"/>
      </w:r>
      <w:r w:rsidRPr="001A3FB3">
        <w:rPr>
          <w:color w:val="000000" w:themeColor="text1"/>
        </w:rPr>
        <w:t xml:space="preserve"> As §IV.C develops, the Anti-ESG architecture imposes governance costs regardless of where one lands in the stewardship-value debate.</w:t>
      </w:r>
      <w:r w:rsidR="007979D3">
        <w:rPr>
          <w:color w:val="000000" w:themeColor="text1"/>
        </w:rPr>
        <w:t xml:space="preserve"> </w:t>
      </w:r>
      <w:r w:rsidRPr="001A3FB3">
        <w:rPr>
          <w:color w:val="000000" w:themeColor="text1"/>
        </w:rPr>
        <w:t xml:space="preserve">The statutory architecture makes the same </w:t>
      </w:r>
      <w:r w:rsidR="007979D3">
        <w:rPr>
          <w:color w:val="000000" w:themeColor="text1"/>
        </w:rPr>
        <w:t xml:space="preserve">insulation </w:t>
      </w:r>
      <w:r w:rsidRPr="001A3FB3">
        <w:rPr>
          <w:color w:val="000000" w:themeColor="text1"/>
        </w:rPr>
        <w:t>pro-management tilt explicit. The proxy-adviser examples developed in §IV.C show the same point: the burden falls on anti-management analysis, not on proxy analysis as such.</w:t>
      </w:r>
    </w:p>
    <w:p w14:paraId="47015A4B" w14:textId="77777777" w:rsidR="005F5ACD" w:rsidRPr="001A3FB3" w:rsidRDefault="00000000" w:rsidP="001A3FB3">
      <w:pPr>
        <w:pStyle w:val="Heading2"/>
      </w:pPr>
      <w:bookmarkStart w:id="64" w:name="X346d69c426c1ea805998c30f9bc581576a59f70"/>
      <w:bookmarkStart w:id="65" w:name="_Toc229502282"/>
      <w:bookmarkEnd w:id="62"/>
      <w:r w:rsidRPr="001A3FB3">
        <w:t>§V.D Pro-Side Comparators and Framework Neutrality</w:t>
      </w:r>
      <w:bookmarkEnd w:id="65"/>
    </w:p>
    <w:p w14:paraId="19F1D813" w14:textId="61677E81" w:rsidR="005F5ACD" w:rsidRPr="001A3FB3" w:rsidRDefault="00000000">
      <w:pPr>
        <w:pStyle w:val="FirstParagraph"/>
        <w:rPr>
          <w:color w:val="000000" w:themeColor="text1"/>
        </w:rPr>
      </w:pPr>
      <w:r w:rsidRPr="001A3FB3">
        <w:rPr>
          <w:color w:val="000000" w:themeColor="text1"/>
        </w:rPr>
        <w:t>California AB 979 is a categorical board-composition mandate. California SB 253 is factual emissions disclosure. California SB 261 is compelled interpretive climate-risk disclosure. Maine LD 99 is fossil-fuel divestment with fiduciary-obligations language. Illinois SB 2152 is symmetric proxy-voting reporting. Those statutes raise different questions because they use different tools.</w:t>
      </w:r>
    </w:p>
    <w:p w14:paraId="528D6747" w14:textId="1C23F317" w:rsidR="005F5ACD" w:rsidRPr="001A3FB3" w:rsidRDefault="007979D3" w:rsidP="007979D3">
      <w:pPr>
        <w:pStyle w:val="BodyText"/>
        <w:rPr>
          <w:color w:val="000000" w:themeColor="text1"/>
        </w:rPr>
      </w:pPr>
      <w:r>
        <w:rPr>
          <w:color w:val="000000" w:themeColor="text1"/>
        </w:rPr>
        <w:t>However, n</w:t>
      </w:r>
      <w:r w:rsidR="00000000" w:rsidRPr="001A3FB3">
        <w:rPr>
          <w:color w:val="000000" w:themeColor="text1"/>
        </w:rPr>
        <w:t>o Pro-side statute reaches banking relationships, insurance relationships, or public-fund fiduciary mandates—the three channels where Anti enactment is heaviest.</w:t>
      </w:r>
      <w:r w:rsidR="00000000" w:rsidRPr="001A3FB3">
        <w:rPr>
          <w:rStyle w:val="FootnoteReference"/>
          <w:color w:val="000000" w:themeColor="text1"/>
        </w:rPr>
        <w:footnoteReference w:id="206"/>
      </w:r>
      <w:r w:rsidR="00000000" w:rsidRPr="001A3FB3">
        <w:rPr>
          <w:color w:val="000000" w:themeColor="text1"/>
        </w:rPr>
        <w:t xml:space="preserve"> These asymmetries </w:t>
      </w:r>
      <w:r>
        <w:rPr>
          <w:color w:val="000000" w:themeColor="text1"/>
        </w:rPr>
        <w:t xml:space="preserve">reveal </w:t>
      </w:r>
      <w:r w:rsidR="00000000" w:rsidRPr="001A3FB3">
        <w:rPr>
          <w:color w:val="000000" w:themeColor="text1"/>
        </w:rPr>
        <w:t>the corpus as it currently exists.</w:t>
      </w:r>
      <w:r>
        <w:rPr>
          <w:color w:val="000000" w:themeColor="text1"/>
        </w:rPr>
        <w:t xml:space="preserve"> </w:t>
      </w:r>
      <w:r w:rsidR="00000000" w:rsidRPr="001A3FB3">
        <w:rPr>
          <w:color w:val="000000" w:themeColor="text1"/>
        </w:rPr>
        <w:t>The Pro-side statutes analyzed in §V.F function as architectural affirmations of architectural neutrality, not as perfect mirrors of Anti-side architecture. California SB 253 and SB 261 impose disclosure duties across a Scope 1/2/3 chain and TCFD-style narrative analysis; they operate in the issuer-disclosure channel, not in procurement/divestment or in banking/insurance. Maine LD 99 directs divestment subject to a fiduciary-duty savings clause (a record-based fiduciary carveout), distinguishing it from Anti-side divestment mandates that include no equivalent savings clause. Illinois SB 2152 imposes reporting and proxy-voting management duties in the governance/proxy channel, parallel to but doctrinally distinct from Anti-side proxy-adviser regulation. California AB 979</w:t>
      </w:r>
      <w:r w:rsidR="00B62085">
        <w:rPr>
          <w:color w:val="000000" w:themeColor="text1"/>
        </w:rPr>
        <w:t>’</w:t>
      </w:r>
      <w:r w:rsidR="00000000" w:rsidRPr="001A3FB3">
        <w:rPr>
          <w:color w:val="000000" w:themeColor="text1"/>
        </w:rPr>
        <w:t>s board-composition mandate, subsequently invalidated on state equal-protection grounds, operated in a structurally distinct register because it directed corporate board composition rather than investment-decision inputs.</w:t>
      </w:r>
    </w:p>
    <w:p w14:paraId="15C001A9" w14:textId="3601170A" w:rsidR="005F5ACD" w:rsidRPr="001A3FB3" w:rsidRDefault="00000000">
      <w:pPr>
        <w:pStyle w:val="BodyText"/>
        <w:rPr>
          <w:color w:val="000000" w:themeColor="text1"/>
        </w:rPr>
      </w:pPr>
      <w:r w:rsidRPr="001A3FB3">
        <w:rPr>
          <w:color w:val="000000" w:themeColor="text1"/>
        </w:rPr>
        <w:t xml:space="preserve">The relevance-versus-stance framing is also articulated in the Glass Lewis litigation record. The Texas proxy-adviser litigation </w:t>
      </w:r>
      <w:proofErr w:type="gramStart"/>
      <w:r w:rsidRPr="001A3FB3">
        <w:rPr>
          <w:color w:val="000000" w:themeColor="text1"/>
        </w:rPr>
        <w:t>reply</w:t>
      </w:r>
      <w:proofErr w:type="gramEnd"/>
      <w:r w:rsidRPr="001A3FB3">
        <w:rPr>
          <w:color w:val="000000" w:themeColor="text1"/>
        </w:rPr>
        <w:t xml:space="preserve"> brief states that </w:t>
      </w:r>
      <w:r w:rsidR="00B62085">
        <w:rPr>
          <w:color w:val="000000" w:themeColor="text1"/>
        </w:rPr>
        <w:t>“</w:t>
      </w:r>
      <w:r w:rsidRPr="001A3FB3">
        <w:rPr>
          <w:color w:val="000000" w:themeColor="text1"/>
        </w:rPr>
        <w:t>the discrimination is not necessarily against the views that diversity or governance are good, but rather against the view that these factors are relevant to shareholder value… The proper framing is not pro-ESG or anti-ESG, but rather pro-ESG-relevance or anti-ESG-relevance.</w:t>
      </w:r>
      <w:r w:rsidR="00B62085">
        <w:rPr>
          <w:color w:val="000000" w:themeColor="text1"/>
        </w:rPr>
        <w:t>”</w:t>
      </w:r>
      <w:r w:rsidRPr="001A3FB3">
        <w:rPr>
          <w:rStyle w:val="FootnoteReference"/>
          <w:color w:val="000000" w:themeColor="text1"/>
        </w:rPr>
        <w:footnoteReference w:id="207"/>
      </w:r>
      <w:r w:rsidRPr="001A3FB3">
        <w:rPr>
          <w:color w:val="000000" w:themeColor="text1"/>
        </w:rPr>
        <w:t xml:space="preserve"> An adverse party</w:t>
      </w:r>
      <w:r w:rsidR="00B62085">
        <w:rPr>
          <w:color w:val="000000" w:themeColor="text1"/>
        </w:rPr>
        <w:t>’</w:t>
      </w:r>
      <w:r w:rsidRPr="001A3FB3">
        <w:rPr>
          <w:color w:val="000000" w:themeColor="text1"/>
        </w:rPr>
        <w:t>s brief, in a case challenging the very architecture this Article describes, articulates the architectural symmetry the analysis enforces.</w:t>
      </w:r>
    </w:p>
    <w:p w14:paraId="020C7555" w14:textId="29F19F4C" w:rsidR="005F5ACD" w:rsidRPr="001A3FB3" w:rsidRDefault="00000000">
      <w:pPr>
        <w:pStyle w:val="BodyText"/>
        <w:rPr>
          <w:color w:val="000000" w:themeColor="text1"/>
        </w:rPr>
      </w:pPr>
      <w:r w:rsidRPr="001A3FB3">
        <w:rPr>
          <w:color w:val="000000" w:themeColor="text1"/>
        </w:rPr>
        <w:t>Doctrinal neutrality is most directly visible at the savings-clause layer. The fiduciary override is directionally neutral: it answers the financial question, not the political one. CalPERS</w:t>
      </w:r>
      <w:r w:rsidR="00B62085">
        <w:rPr>
          <w:color w:val="000000" w:themeColor="text1"/>
        </w:rPr>
        <w:t>’</w:t>
      </w:r>
      <w:r w:rsidRPr="001A3FB3">
        <w:rPr>
          <w:color w:val="000000" w:themeColor="text1"/>
        </w:rPr>
        <w:t>s October 2022 consultant analysis estimated a cumulative positive portfolio impact of approximately $598 million attributable to its thermal-coal divestment under California SB 185—the savings clause was never invoked because the political goal aligned with the financial outcome.</w:t>
      </w:r>
      <w:r w:rsidRPr="001A3FB3">
        <w:rPr>
          <w:rStyle w:val="FootnoteReference"/>
          <w:color w:val="000000" w:themeColor="text1"/>
        </w:rPr>
        <w:footnoteReference w:id="208"/>
      </w:r>
      <w:r w:rsidRPr="001A3FB3">
        <w:rPr>
          <w:color w:val="000000" w:themeColor="text1"/>
        </w:rPr>
        <w:t xml:space="preserve"> </w:t>
      </w:r>
      <w:proofErr w:type="spellStart"/>
      <w:r w:rsidRPr="001A3FB3">
        <w:rPr>
          <w:color w:val="000000" w:themeColor="text1"/>
        </w:rPr>
        <w:t>MainePERS</w:t>
      </w:r>
      <w:r w:rsidR="00B62085">
        <w:rPr>
          <w:color w:val="000000" w:themeColor="text1"/>
        </w:rPr>
        <w:t>’</w:t>
      </w:r>
      <w:r w:rsidRPr="001A3FB3">
        <w:rPr>
          <w:color w:val="000000" w:themeColor="text1"/>
        </w:rPr>
        <w:t>s</w:t>
      </w:r>
      <w:proofErr w:type="spellEnd"/>
      <w:r w:rsidRPr="001A3FB3">
        <w:rPr>
          <w:color w:val="000000" w:themeColor="text1"/>
        </w:rPr>
        <w:t xml:space="preserve"> situation under Maine LD 99 shows the override operating in the opposite direction: where compliance with the fossil-fuel divestment mandate would have triggered active sales projected to triple management fees, </w:t>
      </w:r>
      <w:proofErr w:type="spellStart"/>
      <w:r w:rsidRPr="001A3FB3">
        <w:rPr>
          <w:color w:val="000000" w:themeColor="text1"/>
        </w:rPr>
        <w:t>MainePERS</w:t>
      </w:r>
      <w:proofErr w:type="spellEnd"/>
      <w:r w:rsidRPr="001A3FB3">
        <w:rPr>
          <w:color w:val="000000" w:themeColor="text1"/>
        </w:rPr>
        <w:t xml:space="preserve"> missed the January 1, 2026 statutory deadline on Attorney General advice that </w:t>
      </w:r>
      <w:r w:rsidR="00B62085">
        <w:rPr>
          <w:color w:val="000000" w:themeColor="text1"/>
        </w:rPr>
        <w:t>“</w:t>
      </w:r>
      <w:r w:rsidRPr="001A3FB3">
        <w:rPr>
          <w:color w:val="000000" w:themeColor="text1"/>
        </w:rPr>
        <w:t>sound investment strategy</w:t>
      </w:r>
      <w:r w:rsidR="00B62085">
        <w:rPr>
          <w:color w:val="000000" w:themeColor="text1"/>
        </w:rPr>
        <w:t>”</w:t>
      </w:r>
      <w:r w:rsidRPr="001A3FB3">
        <w:rPr>
          <w:color w:val="000000" w:themeColor="text1"/>
        </w:rPr>
        <w:t xml:space="preserve"> was not satisfied; the Board adopted a passive approach with fossil-fuel exposure projected to decline from 8.1% in 2020 to 3.9% by 2028 (5.4% as of June 30, 2025, representing approximately $1.148 billion in fossil-fuel assets).</w:t>
      </w:r>
      <w:r w:rsidRPr="001A3FB3">
        <w:rPr>
          <w:rStyle w:val="FootnoteReference"/>
          <w:color w:val="000000" w:themeColor="text1"/>
        </w:rPr>
        <w:footnoteReference w:id="209"/>
      </w:r>
      <w:r w:rsidRPr="001A3FB3">
        <w:rPr>
          <w:color w:val="000000" w:themeColor="text1"/>
        </w:rPr>
        <w:t xml:space="preserve"> Oregon OPERF</w:t>
      </w:r>
      <w:r w:rsidR="00B62085">
        <w:rPr>
          <w:color w:val="000000" w:themeColor="text1"/>
        </w:rPr>
        <w:t>’</w:t>
      </w:r>
      <w:r w:rsidRPr="001A3FB3">
        <w:rPr>
          <w:color w:val="000000" w:themeColor="text1"/>
        </w:rPr>
        <w:t>s reported approximately $1.4 billion underperformance relative to Oregon Investment Council benchmarks in 2024—is attributable to private equity overweighting rather than to fossil-fuel holdings, and should not be treated as a comparator parallel to the CalPERS figure.</w:t>
      </w:r>
      <w:r w:rsidRPr="001A3FB3">
        <w:rPr>
          <w:rStyle w:val="FootnoteReference"/>
          <w:color w:val="000000" w:themeColor="text1"/>
        </w:rPr>
        <w:footnoteReference w:id="210"/>
      </w:r>
    </w:p>
    <w:p w14:paraId="32FDF58D" w14:textId="77777777" w:rsidR="005F5ACD" w:rsidRPr="001A3FB3" w:rsidRDefault="00000000" w:rsidP="001A3FB3">
      <w:pPr>
        <w:pStyle w:val="Heading2"/>
      </w:pPr>
      <w:bookmarkStart w:id="66" w:name="v.e-regulatory-design-implications"/>
      <w:bookmarkStart w:id="67" w:name="_Toc229502283"/>
      <w:bookmarkEnd w:id="64"/>
      <w:r w:rsidRPr="001A3FB3">
        <w:t>§V.E Regulatory-Design Implications</w:t>
      </w:r>
      <w:bookmarkEnd w:id="67"/>
    </w:p>
    <w:p w14:paraId="53C1FA7D" w14:textId="3578EEC4" w:rsidR="005F5ACD" w:rsidRPr="001A3FB3" w:rsidRDefault="00000000">
      <w:pPr>
        <w:pStyle w:val="FirstParagraph"/>
        <w:rPr>
          <w:color w:val="000000" w:themeColor="text1"/>
        </w:rPr>
      </w:pPr>
      <w:r w:rsidRPr="001A3FB3">
        <w:rPr>
          <w:color w:val="000000" w:themeColor="text1"/>
        </w:rPr>
        <w:t>Regulated actors should document financial-materiality rationales at the time of each decision; courts should review channel by channel rather than treating the wave as a categorical unit; the right comparison is not Anti versus Pro passage rates but Anti enacted architecture against the doctrinal baselines those statutes override.</w:t>
      </w:r>
      <w:r w:rsidRPr="001A3FB3">
        <w:rPr>
          <w:rStyle w:val="FootnoteReference"/>
          <w:color w:val="000000" w:themeColor="text1"/>
        </w:rPr>
        <w:footnoteReference w:id="211"/>
      </w:r>
    </w:p>
    <w:p w14:paraId="53B37D34" w14:textId="77777777" w:rsidR="005F5ACD" w:rsidRPr="001A3FB3" w:rsidRDefault="00000000" w:rsidP="001A3FB3">
      <w:pPr>
        <w:pStyle w:val="Heading2"/>
      </w:pPr>
      <w:bookmarkStart w:id="68" w:name="v.f-functional-test-worked-examples"/>
      <w:bookmarkStart w:id="69" w:name="_Toc229502284"/>
      <w:bookmarkEnd w:id="66"/>
      <w:r w:rsidRPr="001A3FB3">
        <w:t>§V.F Functional Test Worked Examples</w:t>
      </w:r>
      <w:bookmarkEnd w:id="69"/>
    </w:p>
    <w:p w14:paraId="27D70E08" w14:textId="60484274" w:rsidR="005F5ACD" w:rsidRPr="001A3FB3" w:rsidRDefault="00000000">
      <w:pPr>
        <w:pStyle w:val="FirstParagraph"/>
        <w:rPr>
          <w:color w:val="000000" w:themeColor="text1"/>
        </w:rPr>
      </w:pPr>
      <w:r w:rsidRPr="001A3FB3">
        <w:rPr>
          <w:color w:val="000000" w:themeColor="text1"/>
        </w:rPr>
        <w:t xml:space="preserve">The </w:t>
      </w:r>
      <w:r w:rsidRPr="001A3FB3">
        <w:rPr>
          <w:i/>
          <w:iCs/>
          <w:color w:val="000000" w:themeColor="text1"/>
        </w:rPr>
        <w:t>Functional Test</w:t>
      </w:r>
      <w:r w:rsidRPr="001A3FB3">
        <w:rPr>
          <w:color w:val="000000" w:themeColor="text1"/>
        </w:rPr>
        <w:t xml:space="preserve"> </w:t>
      </w:r>
      <w:r w:rsidR="00191524">
        <w:rPr>
          <w:color w:val="000000" w:themeColor="text1"/>
        </w:rPr>
        <w:t>applies</w:t>
      </w:r>
      <w:r w:rsidRPr="001A3FB3">
        <w:rPr>
          <w:color w:val="000000" w:themeColor="text1"/>
        </w:rPr>
        <w:t xml:space="preserve"> a five-question synthesis of the tools developed in Parts II through IV (anchored at §II.F) to Pro-side instruments in the same way the Article has applied each tool to Anti-side instruments. The Test asks:</w:t>
      </w:r>
    </w:p>
    <w:p w14:paraId="00421018" w14:textId="77777777" w:rsidR="005F5ACD" w:rsidRPr="001A3FB3" w:rsidRDefault="00000000">
      <w:pPr>
        <w:pStyle w:val="Compact"/>
        <w:numPr>
          <w:ilvl w:val="0"/>
          <w:numId w:val="8"/>
        </w:numPr>
        <w:rPr>
          <w:color w:val="000000" w:themeColor="text1"/>
        </w:rPr>
      </w:pPr>
      <w:r w:rsidRPr="001A3FB3">
        <w:rPr>
          <w:color w:val="000000" w:themeColor="text1"/>
        </w:rPr>
        <w:t xml:space="preserve">Does the operative provision restrict the analytical inputs available to the regulated relationship before motive can be inferred? (The </w:t>
      </w:r>
      <w:r w:rsidRPr="00191524">
        <w:rPr>
          <w:i/>
          <w:iCs/>
          <w:color w:val="000000" w:themeColor="text1"/>
        </w:rPr>
        <w:t>SAF</w:t>
      </w:r>
      <w:r w:rsidRPr="001A3FB3">
        <w:rPr>
          <w:color w:val="000000" w:themeColor="text1"/>
        </w:rPr>
        <w:t xml:space="preserve"> question, §II.B.)</w:t>
      </w:r>
    </w:p>
    <w:p w14:paraId="01700B44" w14:textId="77777777" w:rsidR="005F5ACD" w:rsidRPr="001A3FB3" w:rsidRDefault="00000000">
      <w:pPr>
        <w:pStyle w:val="Compact"/>
        <w:numPr>
          <w:ilvl w:val="0"/>
          <w:numId w:val="8"/>
        </w:numPr>
        <w:rPr>
          <w:color w:val="000000" w:themeColor="text1"/>
        </w:rPr>
      </w:pPr>
      <w:r w:rsidRPr="001A3FB3">
        <w:rPr>
          <w:color w:val="000000" w:themeColor="text1"/>
        </w:rPr>
        <w:t>Does the architecture convert ordinary professional artifacts into enumerated statutory evidence of prohibited purpose? (The Evidentiary Conversion question, §II.C.)</w:t>
      </w:r>
    </w:p>
    <w:p w14:paraId="426CD911" w14:textId="53B6AD93" w:rsidR="005F5ACD" w:rsidRPr="001A3FB3" w:rsidRDefault="00000000">
      <w:pPr>
        <w:pStyle w:val="Compact"/>
        <w:numPr>
          <w:ilvl w:val="0"/>
          <w:numId w:val="8"/>
        </w:numPr>
        <w:rPr>
          <w:color w:val="000000" w:themeColor="text1"/>
        </w:rPr>
      </w:pPr>
      <w:r w:rsidRPr="001A3FB3">
        <w:rPr>
          <w:color w:val="000000" w:themeColor="text1"/>
        </w:rPr>
        <w:t>Does the operative provision preserve the regulated relationship</w:t>
      </w:r>
      <w:r w:rsidR="00B62085">
        <w:rPr>
          <w:color w:val="000000" w:themeColor="text1"/>
        </w:rPr>
        <w:t>’</w:t>
      </w:r>
      <w:r w:rsidRPr="001A3FB3">
        <w:rPr>
          <w:color w:val="000000" w:themeColor="text1"/>
        </w:rPr>
        <w:t>s underlying fiduciary, prudential, or analytical responsibility through a savings clause that fits the operative restriction? (The Savings-Clause Fit Test, §II.F.)</w:t>
      </w:r>
    </w:p>
    <w:p w14:paraId="64D02D37" w14:textId="77777777" w:rsidR="005F5ACD" w:rsidRPr="001A3FB3" w:rsidRDefault="00000000">
      <w:pPr>
        <w:pStyle w:val="Compact"/>
        <w:numPr>
          <w:ilvl w:val="0"/>
          <w:numId w:val="8"/>
        </w:numPr>
        <w:rPr>
          <w:color w:val="000000" w:themeColor="text1"/>
        </w:rPr>
      </w:pPr>
      <w:r w:rsidRPr="001A3FB3">
        <w:rPr>
          <w:color w:val="000000" w:themeColor="text1"/>
        </w:rPr>
        <w:t>Does the architecture impose process burdens whose distribution is asymmetric across substantive directions? (The asymmetric-application question, §III.D / §IV.C.)</w:t>
      </w:r>
    </w:p>
    <w:p w14:paraId="21637372" w14:textId="77777777" w:rsidR="005F5ACD" w:rsidRPr="001A3FB3" w:rsidRDefault="00000000">
      <w:pPr>
        <w:pStyle w:val="Compact"/>
        <w:numPr>
          <w:ilvl w:val="0"/>
          <w:numId w:val="8"/>
        </w:numPr>
        <w:rPr>
          <w:color w:val="000000" w:themeColor="text1"/>
        </w:rPr>
      </w:pPr>
      <w:r w:rsidRPr="001A3FB3">
        <w:rPr>
          <w:color w:val="000000" w:themeColor="text1"/>
        </w:rPr>
        <w:t>Does the cross-state architecture impose structurally inconsistent commands on regulated firms operating nationally? (The heterogeneity question, §IV.A.)</w:t>
      </w:r>
    </w:p>
    <w:p w14:paraId="7F50956E" w14:textId="228DD98A" w:rsidR="005F5ACD" w:rsidRPr="001A3FB3" w:rsidRDefault="00000000">
      <w:pPr>
        <w:pStyle w:val="FirstParagraph"/>
        <w:rPr>
          <w:color w:val="000000" w:themeColor="text1"/>
        </w:rPr>
      </w:pPr>
      <w:r w:rsidRPr="001A3FB3">
        <w:rPr>
          <w:color w:val="000000" w:themeColor="text1"/>
        </w:rPr>
        <w:t>Five Pro-side statutes test the analysis: California AB 979, California SB 253, California</w:t>
      </w:r>
      <w:r w:rsidR="00191524">
        <w:rPr>
          <w:color w:val="000000" w:themeColor="text1"/>
        </w:rPr>
        <w:t xml:space="preserve"> </w:t>
      </w:r>
      <w:r w:rsidRPr="001A3FB3">
        <w:rPr>
          <w:color w:val="000000" w:themeColor="text1"/>
        </w:rPr>
        <w:t>SB 261, Maine LD 99 § 1957(3), and Illinois SB 2152.</w:t>
      </w:r>
    </w:p>
    <w:p w14:paraId="5181A5EE" w14:textId="4EFA2489" w:rsidR="005F5ACD" w:rsidRPr="001A3FB3" w:rsidRDefault="00000000" w:rsidP="00E24C2D">
      <w:pPr>
        <w:pStyle w:val="Heading3"/>
      </w:pPr>
      <w:bookmarkStart w:id="70" w:name="Xeff1c83d9e684e1f71b6a77bf8ca04f66db61ae"/>
      <w:bookmarkStart w:id="71" w:name="_Toc229502285"/>
      <w:r w:rsidRPr="001A3FB3">
        <w:t>§V.F.1 California AB 979</w:t>
      </w:r>
      <w:r w:rsidR="00B62085">
        <w:t>—</w:t>
      </w:r>
      <w:r w:rsidRPr="001A3FB3">
        <w:t>Categorical Board-Composition Mandate</w:t>
      </w:r>
      <w:bookmarkEnd w:id="71"/>
    </w:p>
    <w:p w14:paraId="75C776CC" w14:textId="78735302" w:rsidR="005F5ACD" w:rsidRPr="001A3FB3" w:rsidRDefault="00000000">
      <w:pPr>
        <w:pStyle w:val="FirstParagraph"/>
        <w:rPr>
          <w:color w:val="000000" w:themeColor="text1"/>
        </w:rPr>
      </w:pPr>
      <w:r w:rsidRPr="001A3FB3">
        <w:rPr>
          <w:color w:val="000000" w:themeColor="text1"/>
        </w:rPr>
        <w:t>California AB 979 (Cal. Corp. Code § 301.4) is the closest Pro-side analogue to the categorical-mandate failure mode the Test identifies. The statute required California-headquartered public corporations to seat at least one director from a designated underrepresented community, on penalty of civil fines of $100,000 for the first violation and $300,000 for subsequent violations; it preserved no fiduciary-discretion savings clause and no individualized-circumstance override.</w:t>
      </w:r>
      <w:r w:rsidRPr="001A3FB3">
        <w:rPr>
          <w:rStyle w:val="FootnoteReference"/>
          <w:color w:val="000000" w:themeColor="text1"/>
        </w:rPr>
        <w:footnoteReference w:id="212"/>
      </w:r>
      <w:r w:rsidRPr="001A3FB3">
        <w:rPr>
          <w:color w:val="000000" w:themeColor="text1"/>
        </w:rPr>
        <w:t xml:space="preserve"> AB 979 is not an investment-input statute</w:t>
      </w:r>
      <w:r w:rsidR="00B62085">
        <w:rPr>
          <w:color w:val="000000" w:themeColor="text1"/>
        </w:rPr>
        <w:t>—</w:t>
      </w:r>
      <w:r w:rsidRPr="001A3FB3">
        <w:rPr>
          <w:color w:val="000000" w:themeColor="text1"/>
        </w:rPr>
        <w:t>it operates through board composition rather than portfolio analysis, and the enacted Pro corpus does not yet contain a clean investment-input mandate without override that would mirror the Anti-side SAF hard core. Its relevance to this analysis is functional: it imposes a categorical governance mandate without preserving individualized fiduciary or corporate judgment.</w:t>
      </w:r>
    </w:p>
    <w:p w14:paraId="00255A10" w14:textId="03A92854" w:rsidR="005F5ACD" w:rsidRPr="001A3FB3" w:rsidRDefault="00000000">
      <w:pPr>
        <w:pStyle w:val="BodyText"/>
        <w:rPr>
          <w:color w:val="000000" w:themeColor="text1"/>
        </w:rPr>
      </w:pPr>
      <w:r w:rsidRPr="001A3FB3">
        <w:rPr>
          <w:color w:val="000000" w:themeColor="text1"/>
        </w:rPr>
        <w:t xml:space="preserve">Applying the Test: AB 979 answers </w:t>
      </w:r>
      <w:r w:rsidR="00B62085">
        <w:rPr>
          <w:color w:val="000000" w:themeColor="text1"/>
        </w:rPr>
        <w:t>“</w:t>
      </w:r>
      <w:r w:rsidRPr="001A3FB3">
        <w:rPr>
          <w:color w:val="000000" w:themeColor="text1"/>
        </w:rPr>
        <w:t>yes</w:t>
      </w:r>
      <w:r w:rsidR="00B62085">
        <w:rPr>
          <w:color w:val="000000" w:themeColor="text1"/>
        </w:rPr>
        <w:t>”</w:t>
      </w:r>
      <w:r w:rsidRPr="001A3FB3">
        <w:rPr>
          <w:color w:val="000000" w:themeColor="text1"/>
        </w:rPr>
        <w:t xml:space="preserve"> to Q1 at the governance axis</w:t>
      </w:r>
      <w:r w:rsidR="00B62085">
        <w:rPr>
          <w:color w:val="000000" w:themeColor="text1"/>
        </w:rPr>
        <w:t>—</w:t>
      </w:r>
      <w:r w:rsidRPr="001A3FB3">
        <w:rPr>
          <w:color w:val="000000" w:themeColor="text1"/>
        </w:rPr>
        <w:t xml:space="preserve">it legislates a composition input by fiat regardless of pecuniary effect; </w:t>
      </w:r>
      <w:r w:rsidR="00B62085">
        <w:rPr>
          <w:color w:val="000000" w:themeColor="text1"/>
        </w:rPr>
        <w:t>“</w:t>
      </w:r>
      <w:r w:rsidRPr="001A3FB3">
        <w:rPr>
          <w:color w:val="000000" w:themeColor="text1"/>
        </w:rPr>
        <w:t>yes</w:t>
      </w:r>
      <w:r w:rsidR="00B62085">
        <w:rPr>
          <w:color w:val="000000" w:themeColor="text1"/>
        </w:rPr>
        <w:t>”</w:t>
      </w:r>
      <w:r w:rsidRPr="001A3FB3">
        <w:rPr>
          <w:color w:val="000000" w:themeColor="text1"/>
        </w:rPr>
        <w:t xml:space="preserve"> to Q4</w:t>
      </w:r>
      <w:r w:rsidR="00B62085">
        <w:rPr>
          <w:color w:val="000000" w:themeColor="text1"/>
        </w:rPr>
        <w:t>—</w:t>
      </w:r>
      <w:r w:rsidRPr="001A3FB3">
        <w:rPr>
          <w:color w:val="000000" w:themeColor="text1"/>
        </w:rPr>
        <w:t xml:space="preserve">the burden falls asymmetrically on directors who would deselect on financial grounds; and </w:t>
      </w:r>
      <w:r w:rsidR="00B62085">
        <w:rPr>
          <w:color w:val="000000" w:themeColor="text1"/>
        </w:rPr>
        <w:t>“</w:t>
      </w:r>
      <w:r w:rsidRPr="001A3FB3">
        <w:rPr>
          <w:color w:val="000000" w:themeColor="text1"/>
        </w:rPr>
        <w:t>fails</w:t>
      </w:r>
      <w:r w:rsidR="00B62085">
        <w:rPr>
          <w:color w:val="000000" w:themeColor="text1"/>
        </w:rPr>
        <w:t>”</w:t>
      </w:r>
      <w:r w:rsidRPr="001A3FB3">
        <w:rPr>
          <w:color w:val="000000" w:themeColor="text1"/>
        </w:rPr>
        <w:t xml:space="preserve"> Q3</w:t>
      </w:r>
      <w:r w:rsidR="00B62085">
        <w:rPr>
          <w:color w:val="000000" w:themeColor="text1"/>
        </w:rPr>
        <w:t>—</w:t>
      </w:r>
      <w:r w:rsidRPr="001A3FB3">
        <w:rPr>
          <w:color w:val="000000" w:themeColor="text1"/>
        </w:rPr>
        <w:t>no fiduciary override preserves the analytical bridge to financial materiality. AB 979</w:t>
      </w:r>
      <w:r w:rsidR="00B62085">
        <w:rPr>
          <w:color w:val="000000" w:themeColor="text1"/>
        </w:rPr>
        <w:t>’</w:t>
      </w:r>
      <w:r w:rsidRPr="001A3FB3">
        <w:rPr>
          <w:color w:val="000000" w:themeColor="text1"/>
        </w:rPr>
        <w:t xml:space="preserve">s 2022 invalidation in </w:t>
      </w:r>
      <w:r w:rsidRPr="001A3FB3">
        <w:rPr>
          <w:i/>
          <w:iCs/>
          <w:color w:val="000000" w:themeColor="text1"/>
        </w:rPr>
        <w:t>Crest v. Padilla</w:t>
      </w:r>
      <w:r w:rsidRPr="001A3FB3">
        <w:rPr>
          <w:color w:val="000000" w:themeColor="text1"/>
        </w:rPr>
        <w:t xml:space="preserve"> on state-equal-protection grounds exposes an asymmetry the analysis predicts: AB 979 lost on equal protection while Anti-side SAF faces exclusive-purpose, compelled-association, and compelled-speech review</w:t>
      </w:r>
      <w:r w:rsidR="00B62085">
        <w:rPr>
          <w:color w:val="000000" w:themeColor="text1"/>
        </w:rPr>
        <w:t>—</w:t>
      </w:r>
      <w:r w:rsidRPr="001A3FB3">
        <w:rPr>
          <w:color w:val="000000" w:themeColor="text1"/>
        </w:rPr>
        <w:t>different doctrinal frames, same architectural failure mode.</w:t>
      </w:r>
      <w:r w:rsidRPr="001A3FB3">
        <w:rPr>
          <w:rStyle w:val="FootnoteReference"/>
          <w:color w:val="000000" w:themeColor="text1"/>
        </w:rPr>
        <w:footnoteReference w:id="213"/>
      </w:r>
      <w:r w:rsidRPr="001A3FB3">
        <w:rPr>
          <w:color w:val="000000" w:themeColor="text1"/>
        </w:rPr>
        <w:t xml:space="preserve"> Illinois HB 3394 (2019) and SB 1730 (2021) deploy related compelled-disclosure architecture for board demographic and DEI-policy reporting; </w:t>
      </w:r>
      <w:r w:rsidR="00C44669">
        <w:rPr>
          <w:color w:val="000000" w:themeColor="text1"/>
        </w:rPr>
        <w:t xml:space="preserve">however, </w:t>
      </w:r>
      <w:r w:rsidRPr="001A3FB3">
        <w:rPr>
          <w:color w:val="000000" w:themeColor="text1"/>
        </w:rPr>
        <w:t>they are weaker exemplars because they impose</w:t>
      </w:r>
      <w:r w:rsidR="00C44669">
        <w:rPr>
          <w:color w:val="000000" w:themeColor="text1"/>
        </w:rPr>
        <w:t xml:space="preserve"> discretion consistent</w:t>
      </w:r>
      <w:r w:rsidRPr="001A3FB3">
        <w:rPr>
          <w:color w:val="000000" w:themeColor="text1"/>
        </w:rPr>
        <w:t xml:space="preserve"> disclosure rather than composition.</w:t>
      </w:r>
      <w:r w:rsidRPr="001A3FB3">
        <w:rPr>
          <w:rStyle w:val="FootnoteReference"/>
          <w:color w:val="000000" w:themeColor="text1"/>
        </w:rPr>
        <w:footnoteReference w:id="214"/>
      </w:r>
      <w:r w:rsidRPr="001A3FB3">
        <w:rPr>
          <w:color w:val="000000" w:themeColor="text1"/>
        </w:rPr>
        <w:t xml:space="preserve"> AB 979 therefore fails the Test on Q1, Q3, and Q4 on the same architectural grounds that make Anti-side SAF doctrinally fragile, even though AB 979 was invalidated under a different doctrinal frame.</w:t>
      </w:r>
    </w:p>
    <w:p w14:paraId="33FCC525" w14:textId="58E922EF" w:rsidR="005F5ACD" w:rsidRPr="001A3FB3" w:rsidRDefault="00000000" w:rsidP="00E24C2D">
      <w:pPr>
        <w:pStyle w:val="Heading3"/>
      </w:pPr>
      <w:bookmarkStart w:id="72" w:name="Xfc4557e18440037555c85e2bd6e4be173370eed"/>
      <w:bookmarkStart w:id="73" w:name="_Toc229502286"/>
      <w:bookmarkEnd w:id="70"/>
      <w:r w:rsidRPr="001A3FB3">
        <w:t>§V.F.2 California SB 253</w:t>
      </w:r>
      <w:r w:rsidR="00B62085">
        <w:t>—</w:t>
      </w:r>
      <w:r w:rsidRPr="001A3FB3">
        <w:t>Factual Emissions Disclosure</w:t>
      </w:r>
      <w:bookmarkEnd w:id="73"/>
    </w:p>
    <w:p w14:paraId="0323F22A" w14:textId="14BA9D54" w:rsidR="005F5ACD" w:rsidRPr="001A3FB3" w:rsidRDefault="00000000">
      <w:pPr>
        <w:pStyle w:val="FirstParagraph"/>
        <w:rPr>
          <w:color w:val="000000" w:themeColor="text1"/>
        </w:rPr>
      </w:pPr>
      <w:r w:rsidRPr="001A3FB3">
        <w:rPr>
          <w:color w:val="000000" w:themeColor="text1"/>
        </w:rPr>
        <w:t>SB 253 requires covered firms to disclose audited Scope 1, Scope 2, and Scope 3 emissions data under standardized frameworks.</w:t>
      </w:r>
      <w:r w:rsidRPr="001A3FB3">
        <w:rPr>
          <w:rStyle w:val="FootnoteReference"/>
          <w:color w:val="000000" w:themeColor="text1"/>
        </w:rPr>
        <w:footnoteReference w:id="215"/>
      </w:r>
      <w:r w:rsidRPr="001A3FB3">
        <w:rPr>
          <w:color w:val="000000" w:themeColor="text1"/>
        </w:rPr>
        <w:t xml:space="preserve"> The statute answers </w:t>
      </w:r>
      <w:r w:rsidR="00B62085">
        <w:rPr>
          <w:color w:val="000000" w:themeColor="text1"/>
        </w:rPr>
        <w:t>“</w:t>
      </w:r>
      <w:r w:rsidRPr="001A3FB3">
        <w:rPr>
          <w:color w:val="000000" w:themeColor="text1"/>
        </w:rPr>
        <w:t>no</w:t>
      </w:r>
      <w:r w:rsidR="00B62085">
        <w:rPr>
          <w:color w:val="000000" w:themeColor="text1"/>
        </w:rPr>
        <w:t>”</w:t>
      </w:r>
      <w:r w:rsidRPr="001A3FB3">
        <w:rPr>
          <w:color w:val="000000" w:themeColor="text1"/>
        </w:rPr>
        <w:t xml:space="preserve"> to Q1</w:t>
      </w:r>
      <w:r w:rsidR="00B62085">
        <w:rPr>
          <w:color w:val="000000" w:themeColor="text1"/>
        </w:rPr>
        <w:t>—</w:t>
      </w:r>
      <w:r w:rsidRPr="001A3FB3">
        <w:rPr>
          <w:color w:val="000000" w:themeColor="text1"/>
        </w:rPr>
        <w:t xml:space="preserve">it does not regulate the analytical inputs available to fiduciary, banking, or proxy actors; </w:t>
      </w:r>
      <w:r w:rsidR="00B62085">
        <w:rPr>
          <w:color w:val="000000" w:themeColor="text1"/>
        </w:rPr>
        <w:t>“</w:t>
      </w:r>
      <w:r w:rsidRPr="001A3FB3">
        <w:rPr>
          <w:color w:val="000000" w:themeColor="text1"/>
        </w:rPr>
        <w:t>no</w:t>
      </w:r>
      <w:r w:rsidR="00B62085">
        <w:rPr>
          <w:color w:val="000000" w:themeColor="text1"/>
        </w:rPr>
        <w:t>”</w:t>
      </w:r>
      <w:r w:rsidRPr="001A3FB3">
        <w:rPr>
          <w:color w:val="000000" w:themeColor="text1"/>
        </w:rPr>
        <w:t xml:space="preserve"> to Q2</w:t>
      </w:r>
      <w:r w:rsidR="00B62085">
        <w:rPr>
          <w:color w:val="000000" w:themeColor="text1"/>
        </w:rPr>
        <w:t>—</w:t>
      </w:r>
      <w:r w:rsidRPr="001A3FB3">
        <w:rPr>
          <w:color w:val="000000" w:themeColor="text1"/>
        </w:rPr>
        <w:t xml:space="preserve">disclosure does not convert public artifacts into evidence of forbidden purpose; and </w:t>
      </w:r>
      <w:r w:rsidR="00B62085">
        <w:rPr>
          <w:color w:val="000000" w:themeColor="text1"/>
        </w:rPr>
        <w:t>“</w:t>
      </w:r>
      <w:r w:rsidRPr="001A3FB3">
        <w:rPr>
          <w:color w:val="000000" w:themeColor="text1"/>
        </w:rPr>
        <w:t>yes</w:t>
      </w:r>
      <w:r w:rsidR="00B62085">
        <w:rPr>
          <w:color w:val="000000" w:themeColor="text1"/>
        </w:rPr>
        <w:t>”</w:t>
      </w:r>
      <w:r w:rsidRPr="001A3FB3">
        <w:rPr>
          <w:color w:val="000000" w:themeColor="text1"/>
        </w:rPr>
        <w:t xml:space="preserve"> to a </w:t>
      </w:r>
      <w:r w:rsidRPr="001A3FB3">
        <w:rPr>
          <w:i/>
          <w:iCs/>
          <w:color w:val="000000" w:themeColor="text1"/>
        </w:rPr>
        <w:t>Zauderer</w:t>
      </w:r>
      <w:r w:rsidRPr="001A3FB3">
        <w:rPr>
          <w:color w:val="000000" w:themeColor="text1"/>
        </w:rPr>
        <w:t>-passable factual-disclosure analysis on the factual-versus-interpretive line. The architectural feature is information production rather than analytical-input regulation, and SB 253 passes the Test</w:t>
      </w:r>
      <w:r w:rsidR="00B62085">
        <w:rPr>
          <w:color w:val="000000" w:themeColor="text1"/>
        </w:rPr>
        <w:t>—</w:t>
      </w:r>
      <w:r w:rsidRPr="001A3FB3">
        <w:rPr>
          <w:color w:val="000000" w:themeColor="text1"/>
        </w:rPr>
        <w:t>supplying the doctrinal contrast that makes SB 261</w:t>
      </w:r>
      <w:r w:rsidR="00B62085">
        <w:rPr>
          <w:color w:val="000000" w:themeColor="text1"/>
        </w:rPr>
        <w:t>’</w:t>
      </w:r>
      <w:r w:rsidRPr="001A3FB3">
        <w:rPr>
          <w:color w:val="000000" w:themeColor="text1"/>
        </w:rPr>
        <w:t>s compelled interpretive narrative a separable case.</w:t>
      </w:r>
    </w:p>
    <w:p w14:paraId="150DEF55" w14:textId="631F0783" w:rsidR="005F5ACD" w:rsidRPr="001A3FB3" w:rsidRDefault="00000000" w:rsidP="00E24C2D">
      <w:pPr>
        <w:pStyle w:val="Heading3"/>
      </w:pPr>
      <w:bookmarkStart w:id="74" w:name="X0a10106bf60ee482a410fa5901a4d5e7c797b8f"/>
      <w:bookmarkStart w:id="75" w:name="_Toc229502287"/>
      <w:bookmarkEnd w:id="72"/>
      <w:r w:rsidRPr="001A3FB3">
        <w:t>§V.F.3 California SB 261</w:t>
      </w:r>
      <w:r w:rsidR="00B62085">
        <w:t>—</w:t>
      </w:r>
      <w:r w:rsidRPr="001A3FB3">
        <w:t>Compelled Interpretive Climate-Narrative</w:t>
      </w:r>
      <w:bookmarkEnd w:id="75"/>
    </w:p>
    <w:p w14:paraId="52A33A97" w14:textId="79A1ED25" w:rsidR="005F5ACD" w:rsidRPr="001A3FB3" w:rsidRDefault="00000000">
      <w:pPr>
        <w:pStyle w:val="FirstParagraph"/>
        <w:rPr>
          <w:color w:val="000000" w:themeColor="text1"/>
        </w:rPr>
      </w:pPr>
      <w:r w:rsidRPr="001A3FB3">
        <w:rPr>
          <w:color w:val="000000" w:themeColor="text1"/>
        </w:rPr>
        <w:t>SB 261 requires covered firms to publish narrative disclosure of climate-related financial risk under TCFD-style frameworks.</w:t>
      </w:r>
      <w:r w:rsidRPr="001A3FB3">
        <w:rPr>
          <w:rStyle w:val="FootnoteReference"/>
          <w:color w:val="000000" w:themeColor="text1"/>
        </w:rPr>
        <w:footnoteReference w:id="216"/>
      </w:r>
      <w:r w:rsidRPr="001A3FB3">
        <w:rPr>
          <w:color w:val="000000" w:themeColor="text1"/>
        </w:rPr>
        <w:t xml:space="preserve"> SB 261 is not an Evidentiary Conversion statute: it does not convert ordinary market artifacts into evidence of forbidden purpose; it compels a climate-risk narrative. Its vulnerability therefore belongs under Q4</w:t>
      </w:r>
      <w:r w:rsidR="00B62085">
        <w:rPr>
          <w:color w:val="000000" w:themeColor="text1"/>
        </w:rPr>
        <w:t>’</w:t>
      </w:r>
      <w:r w:rsidRPr="001A3FB3">
        <w:rPr>
          <w:color w:val="000000" w:themeColor="text1"/>
        </w:rPr>
        <w:t>s compelled-interpretive-disclosure inquiry, not Q2</w:t>
      </w:r>
      <w:r w:rsidR="00B62085">
        <w:rPr>
          <w:color w:val="000000" w:themeColor="text1"/>
        </w:rPr>
        <w:t>—</w:t>
      </w:r>
      <w:r w:rsidRPr="001A3FB3">
        <w:rPr>
          <w:color w:val="000000" w:themeColor="text1"/>
        </w:rPr>
        <w:t xml:space="preserve">the statute fails Q4 on the same architectural grounds that would fail an Anti-side compelled-narrative regime. The </w:t>
      </w:r>
      <w:r w:rsidRPr="001A3FB3">
        <w:rPr>
          <w:i/>
          <w:iCs/>
          <w:color w:val="000000" w:themeColor="text1"/>
        </w:rPr>
        <w:t>Chamber v. Sanchez</w:t>
      </w:r>
      <w:r w:rsidRPr="001A3FB3">
        <w:rPr>
          <w:color w:val="000000" w:themeColor="text1"/>
        </w:rPr>
        <w:t xml:space="preserve"> partial preliminary injunction confirms (§II.E, §III.D),</w:t>
      </w:r>
      <w:r w:rsidRPr="001A3FB3">
        <w:rPr>
          <w:rStyle w:val="FootnoteReference"/>
          <w:color w:val="000000" w:themeColor="text1"/>
        </w:rPr>
        <w:footnoteReference w:id="217"/>
      </w:r>
      <w:r w:rsidRPr="001A3FB3">
        <w:rPr>
          <w:color w:val="000000" w:themeColor="text1"/>
        </w:rPr>
        <w:t xml:space="preserve"> consistent with the </w:t>
      </w:r>
      <w:r w:rsidRPr="001A3FB3">
        <w:rPr>
          <w:i/>
          <w:iCs/>
          <w:color w:val="000000" w:themeColor="text1"/>
        </w:rPr>
        <w:t>Zauderer/NIFLA</w:t>
      </w:r>
      <w:r w:rsidRPr="001A3FB3">
        <w:rPr>
          <w:color w:val="000000" w:themeColor="text1"/>
        </w:rPr>
        <w:t xml:space="preserve"> factual-vs-interpretive line: SB 253</w:t>
      </w:r>
      <w:r w:rsidR="00B62085">
        <w:rPr>
          <w:color w:val="000000" w:themeColor="text1"/>
        </w:rPr>
        <w:t>’</w:t>
      </w:r>
      <w:r w:rsidRPr="001A3FB3">
        <w:rPr>
          <w:color w:val="000000" w:themeColor="text1"/>
        </w:rPr>
        <w:t xml:space="preserve">s factual emissions disclosure is closer to </w:t>
      </w:r>
      <w:r w:rsidRPr="001A3FB3">
        <w:rPr>
          <w:i/>
          <w:iCs/>
          <w:color w:val="000000" w:themeColor="text1"/>
        </w:rPr>
        <w:t>Zauderer</w:t>
      </w:r>
      <w:r w:rsidRPr="001A3FB3">
        <w:rPr>
          <w:color w:val="000000" w:themeColor="text1"/>
        </w:rPr>
        <w:t>-permissible factual reporting, while SB 261</w:t>
      </w:r>
      <w:r w:rsidR="00B62085">
        <w:rPr>
          <w:color w:val="000000" w:themeColor="text1"/>
        </w:rPr>
        <w:t>’</w:t>
      </w:r>
      <w:r w:rsidRPr="001A3FB3">
        <w:rPr>
          <w:color w:val="000000" w:themeColor="text1"/>
        </w:rPr>
        <w:t>s interpretive narrative is the more vulnerable compelled-speech case.</w:t>
      </w:r>
    </w:p>
    <w:p w14:paraId="5B0B91DD" w14:textId="0A3CFD35" w:rsidR="005F5ACD" w:rsidRPr="00E24C2D" w:rsidRDefault="00000000" w:rsidP="00E24C2D">
      <w:pPr>
        <w:pStyle w:val="Heading3"/>
      </w:pPr>
      <w:bookmarkStart w:id="76" w:name="X41d2e34cbbeeb3136600a11c4d3abf1dd588d93"/>
      <w:bookmarkStart w:id="77" w:name="_Toc229502288"/>
      <w:bookmarkEnd w:id="74"/>
      <w:r w:rsidRPr="00E24C2D">
        <w:t>§V.F.4 Maine LD 99 § 1957(3)</w:t>
      </w:r>
      <w:r w:rsidR="00B62085" w:rsidRPr="00E24C2D">
        <w:t>—</w:t>
      </w:r>
      <w:r w:rsidRPr="00E24C2D">
        <w:t>Fossil-Fuel Divestment with Fiduciary Savings</w:t>
      </w:r>
      <w:bookmarkEnd w:id="77"/>
    </w:p>
    <w:p w14:paraId="65E7B169" w14:textId="647074BC" w:rsidR="005F5ACD" w:rsidRPr="001A3FB3" w:rsidRDefault="00000000">
      <w:pPr>
        <w:pStyle w:val="FirstParagraph"/>
        <w:rPr>
          <w:color w:val="000000" w:themeColor="text1"/>
        </w:rPr>
      </w:pPr>
      <w:r w:rsidRPr="001A3FB3">
        <w:rPr>
          <w:color w:val="000000" w:themeColor="text1"/>
        </w:rPr>
        <w:t xml:space="preserve">Maine LD 99, codified at Title 5, § 1957 of the Maine Revised Statutes, is the broadest enacted pro-divestment statute in the United States. The statute requires </w:t>
      </w:r>
      <w:proofErr w:type="spellStart"/>
      <w:r w:rsidRPr="001A3FB3">
        <w:rPr>
          <w:color w:val="000000" w:themeColor="text1"/>
        </w:rPr>
        <w:t>MainePERS</w:t>
      </w:r>
      <w:proofErr w:type="spellEnd"/>
      <w:r w:rsidRPr="001A3FB3">
        <w:rPr>
          <w:color w:val="000000" w:themeColor="text1"/>
        </w:rPr>
        <w:t xml:space="preserve"> and state permanent trust funds to divest from fossil-fuel companies by January 1, 2026. </w:t>
      </w:r>
      <w:r w:rsidR="00B62085">
        <w:rPr>
          <w:color w:val="000000" w:themeColor="text1"/>
        </w:rPr>
        <w:t>“</w:t>
      </w:r>
      <w:r w:rsidRPr="001A3FB3">
        <w:rPr>
          <w:color w:val="000000" w:themeColor="text1"/>
        </w:rPr>
        <w:t>Fossil fuel</w:t>
      </w:r>
      <w:r w:rsidR="00B62085">
        <w:rPr>
          <w:color w:val="000000" w:themeColor="text1"/>
        </w:rPr>
        <w:t>”</w:t>
      </w:r>
      <w:r w:rsidRPr="001A3FB3">
        <w:rPr>
          <w:color w:val="000000" w:themeColor="text1"/>
        </w:rPr>
        <w:t xml:space="preserve"> is defined to include coal, petroleum, natural gas, and derivatives used for fuel. A </w:t>
      </w:r>
      <w:r w:rsidR="00B62085">
        <w:rPr>
          <w:color w:val="000000" w:themeColor="text1"/>
        </w:rPr>
        <w:t>“</w:t>
      </w:r>
      <w:r w:rsidRPr="001A3FB3">
        <w:rPr>
          <w:color w:val="000000" w:themeColor="text1"/>
        </w:rPr>
        <w:t>fossil fuel company</w:t>
      </w:r>
      <w:r w:rsidR="00B62085">
        <w:rPr>
          <w:color w:val="000000" w:themeColor="text1"/>
        </w:rPr>
        <w:t>”</w:t>
      </w:r>
      <w:r w:rsidRPr="001A3FB3">
        <w:rPr>
          <w:color w:val="000000" w:themeColor="text1"/>
        </w:rPr>
        <w:t xml:space="preserve"> includes the 200 largest publicly traded fossil-reserve companies, the 30 largest public coal-fired power plant owners, companies whose core business is fossil-fuel infrastructure, companies whose core business is fossil exploration or extraction, and companies receiving more than 50% of gross revenue from such companies.</w:t>
      </w:r>
      <w:r w:rsidRPr="001A3FB3">
        <w:rPr>
          <w:rStyle w:val="FootnoteReference"/>
          <w:color w:val="000000" w:themeColor="text1"/>
        </w:rPr>
        <w:footnoteReference w:id="218"/>
      </w:r>
    </w:p>
    <w:p w14:paraId="048DF917" w14:textId="604FB4FA" w:rsidR="005F5ACD" w:rsidRPr="001A3FB3" w:rsidRDefault="00000000">
      <w:pPr>
        <w:pStyle w:val="BodyText"/>
        <w:rPr>
          <w:color w:val="000000" w:themeColor="text1"/>
        </w:rPr>
      </w:pPr>
      <w:r w:rsidRPr="001A3FB3">
        <w:rPr>
          <w:color w:val="000000" w:themeColor="text1"/>
        </w:rPr>
        <w:t xml:space="preserve">The statute is conditioned on </w:t>
      </w:r>
      <w:r w:rsidR="00B62085">
        <w:rPr>
          <w:color w:val="000000" w:themeColor="text1"/>
        </w:rPr>
        <w:t>“</w:t>
      </w:r>
      <w:r w:rsidRPr="001A3FB3">
        <w:rPr>
          <w:color w:val="000000" w:themeColor="text1"/>
        </w:rPr>
        <w:t>sound investment criteria and fiduciary obligations.</w:t>
      </w:r>
      <w:r w:rsidR="00B62085">
        <w:rPr>
          <w:color w:val="000000" w:themeColor="text1"/>
        </w:rPr>
        <w:t>”</w:t>
      </w:r>
      <w:r w:rsidRPr="001A3FB3">
        <w:rPr>
          <w:color w:val="000000" w:themeColor="text1"/>
        </w:rPr>
        <w:t xml:space="preserve"> Applied to the four-question savings-clause inquiry:</w:t>
      </w:r>
    </w:p>
    <w:p w14:paraId="5599A911" w14:textId="40DF874F" w:rsidR="005F5ACD" w:rsidRPr="001A3FB3" w:rsidRDefault="00000000">
      <w:pPr>
        <w:pStyle w:val="BodyText"/>
        <w:rPr>
          <w:color w:val="000000" w:themeColor="text1"/>
        </w:rPr>
      </w:pPr>
      <w:r w:rsidRPr="001A3FB3">
        <w:rPr>
          <w:color w:val="000000" w:themeColor="text1"/>
        </w:rPr>
        <w:t>Question 1 (default rule): The carveout preserves fiduciary discretion as the statutory default; divestment is required only where fiduciary analysis permits it.</w:t>
      </w:r>
    </w:p>
    <w:p w14:paraId="02F7D67C" w14:textId="1E561CE0" w:rsidR="005F5ACD" w:rsidRPr="001A3FB3" w:rsidRDefault="00000000">
      <w:pPr>
        <w:pStyle w:val="BodyText"/>
        <w:rPr>
          <w:color w:val="000000" w:themeColor="text1"/>
        </w:rPr>
      </w:pPr>
      <w:r w:rsidRPr="001A3FB3">
        <w:rPr>
          <w:color w:val="000000" w:themeColor="text1"/>
        </w:rPr>
        <w:t xml:space="preserve">Question 2 (procedural friction): The statute imposes no clear-and-convincing standard, no benchmark-deviation test, and no reporting requirement to political principals. </w:t>
      </w:r>
      <w:proofErr w:type="spellStart"/>
      <w:r w:rsidRPr="001A3FB3">
        <w:rPr>
          <w:color w:val="000000" w:themeColor="text1"/>
        </w:rPr>
        <w:t>MainePERS</w:t>
      </w:r>
      <w:r w:rsidR="00B62085">
        <w:rPr>
          <w:color w:val="000000" w:themeColor="text1"/>
        </w:rPr>
        <w:t>’</w:t>
      </w:r>
      <w:r w:rsidRPr="001A3FB3">
        <w:rPr>
          <w:color w:val="000000" w:themeColor="text1"/>
        </w:rPr>
        <w:t>s</w:t>
      </w:r>
      <w:proofErr w:type="spellEnd"/>
      <w:r w:rsidRPr="001A3FB3">
        <w:rPr>
          <w:color w:val="000000" w:themeColor="text1"/>
        </w:rPr>
        <w:t xml:space="preserve"> ordinary fiduciary judgment controls.</w:t>
      </w:r>
    </w:p>
    <w:p w14:paraId="78EBF656" w14:textId="77777777" w:rsidR="005F5ACD" w:rsidRPr="001A3FB3" w:rsidRDefault="00000000">
      <w:pPr>
        <w:pStyle w:val="BodyText"/>
        <w:rPr>
          <w:color w:val="000000" w:themeColor="text1"/>
        </w:rPr>
      </w:pPr>
      <w:r w:rsidRPr="001A3FB3">
        <w:rPr>
          <w:color w:val="000000" w:themeColor="text1"/>
        </w:rPr>
        <w:t xml:space="preserve">Question 3 (implementing-agency interpretation): The Maine Attorney General formally advised </w:t>
      </w:r>
      <w:proofErr w:type="spellStart"/>
      <w:r w:rsidRPr="001A3FB3">
        <w:rPr>
          <w:color w:val="000000" w:themeColor="text1"/>
        </w:rPr>
        <w:t>MainePERS</w:t>
      </w:r>
      <w:proofErr w:type="spellEnd"/>
      <w:r w:rsidRPr="001A3FB3">
        <w:rPr>
          <w:color w:val="000000" w:themeColor="text1"/>
        </w:rPr>
        <w:t xml:space="preserve"> that the statute does not require divestment unless sound investment criteria and fiduciary obligations require it; if fiduciary analysis is neutral between two options, the Board should pick the more divestment-compliant option, but the analysis is not required to favor divestment.</w:t>
      </w:r>
      <w:r w:rsidRPr="001A3FB3">
        <w:rPr>
          <w:rStyle w:val="FootnoteReference"/>
          <w:color w:val="000000" w:themeColor="text1"/>
        </w:rPr>
        <w:footnoteReference w:id="219"/>
      </w:r>
    </w:p>
    <w:p w14:paraId="0F56304B" w14:textId="2C68109E" w:rsidR="005F5ACD" w:rsidRPr="001A3FB3" w:rsidRDefault="00000000">
      <w:pPr>
        <w:pStyle w:val="BodyText"/>
        <w:rPr>
          <w:color w:val="000000" w:themeColor="text1"/>
        </w:rPr>
      </w:pPr>
      <w:r w:rsidRPr="001A3FB3">
        <w:rPr>
          <w:color w:val="000000" w:themeColor="text1"/>
        </w:rPr>
        <w:t>Question 4 (definitional symmetry): The carveout</w:t>
      </w:r>
      <w:r w:rsidR="00B62085">
        <w:rPr>
          <w:color w:val="000000" w:themeColor="text1"/>
        </w:rPr>
        <w:t>’</w:t>
      </w:r>
      <w:r w:rsidRPr="001A3FB3">
        <w:rPr>
          <w:color w:val="000000" w:themeColor="text1"/>
        </w:rPr>
        <w:t>s scope (</w:t>
      </w:r>
      <w:r w:rsidR="00B62085">
        <w:rPr>
          <w:color w:val="000000" w:themeColor="text1"/>
        </w:rPr>
        <w:t>“</w:t>
      </w:r>
      <w:r w:rsidRPr="001A3FB3">
        <w:rPr>
          <w:color w:val="000000" w:themeColor="text1"/>
        </w:rPr>
        <w:t>sound investment criteria and fiduciary obligations</w:t>
      </w:r>
      <w:r w:rsidR="00B62085">
        <w:rPr>
          <w:color w:val="000000" w:themeColor="text1"/>
        </w:rPr>
        <w:t>”</w:t>
      </w:r>
      <w:r w:rsidRPr="001A3FB3">
        <w:rPr>
          <w:color w:val="000000" w:themeColor="text1"/>
        </w:rPr>
        <w:t>) covers the full range of analytical practice protected by ordinary fiduciary law and matches the operative provision</w:t>
      </w:r>
      <w:r w:rsidR="00B62085">
        <w:rPr>
          <w:color w:val="000000" w:themeColor="text1"/>
        </w:rPr>
        <w:t>’</w:t>
      </w:r>
      <w:r w:rsidRPr="001A3FB3">
        <w:rPr>
          <w:color w:val="000000" w:themeColor="text1"/>
        </w:rPr>
        <w:t>s reach.</w:t>
      </w:r>
    </w:p>
    <w:p w14:paraId="788758A0" w14:textId="00BFB3B7" w:rsidR="005F5ACD" w:rsidRPr="001A3FB3" w:rsidRDefault="00000000">
      <w:pPr>
        <w:pStyle w:val="BodyText"/>
        <w:rPr>
          <w:color w:val="000000" w:themeColor="text1"/>
        </w:rPr>
      </w:pPr>
      <w:r w:rsidRPr="001A3FB3">
        <w:rPr>
          <w:color w:val="000000" w:themeColor="text1"/>
        </w:rPr>
        <w:t>The practical result confirms the framework</w:t>
      </w:r>
      <w:r w:rsidR="00B62085">
        <w:rPr>
          <w:color w:val="000000" w:themeColor="text1"/>
        </w:rPr>
        <w:t>’</w:t>
      </w:r>
      <w:r w:rsidRPr="001A3FB3">
        <w:rPr>
          <w:color w:val="000000" w:themeColor="text1"/>
        </w:rPr>
        <w:t xml:space="preserve">s prediction. </w:t>
      </w:r>
      <w:proofErr w:type="spellStart"/>
      <w:r w:rsidRPr="001A3FB3">
        <w:rPr>
          <w:color w:val="000000" w:themeColor="text1"/>
        </w:rPr>
        <w:t>MainePERS</w:t>
      </w:r>
      <w:proofErr w:type="spellEnd"/>
      <w:r w:rsidRPr="001A3FB3">
        <w:rPr>
          <w:color w:val="000000" w:themeColor="text1"/>
        </w:rPr>
        <w:t xml:space="preserve"> missed the January 1, </w:t>
      </w:r>
      <w:proofErr w:type="gramStart"/>
      <w:r w:rsidRPr="001A3FB3">
        <w:rPr>
          <w:color w:val="000000" w:themeColor="text1"/>
        </w:rPr>
        <w:t>2026</w:t>
      </w:r>
      <w:proofErr w:type="gramEnd"/>
      <w:r w:rsidRPr="001A3FB3">
        <w:rPr>
          <w:color w:val="000000" w:themeColor="text1"/>
        </w:rPr>
        <w:t xml:space="preserve"> statutory deadline without consequence. The system reported fossil-fuel exposure of 5.4% as of June 30, 2025, projected to fall to 3.9% by 2028 through ordinary portfolio turnover, and concluded that further active divestment would not be in beneficiaries</w:t>
      </w:r>
      <w:r w:rsidR="00B62085">
        <w:rPr>
          <w:color w:val="000000" w:themeColor="text1"/>
        </w:rPr>
        <w:t>’</w:t>
      </w:r>
      <w:r w:rsidRPr="001A3FB3">
        <w:rPr>
          <w:color w:val="000000" w:themeColor="text1"/>
        </w:rPr>
        <w:t xml:space="preserve"> best financial interests.</w:t>
      </w:r>
      <w:r w:rsidRPr="001A3FB3">
        <w:rPr>
          <w:rStyle w:val="FootnoteReference"/>
          <w:color w:val="000000" w:themeColor="text1"/>
        </w:rPr>
        <w:footnoteReference w:id="220"/>
      </w:r>
      <w:r w:rsidRPr="001A3FB3">
        <w:rPr>
          <w:color w:val="000000" w:themeColor="text1"/>
        </w:rPr>
        <w:t xml:space="preserve"> </w:t>
      </w:r>
      <w:proofErr w:type="spellStart"/>
      <w:r w:rsidRPr="001A3FB3">
        <w:rPr>
          <w:color w:val="000000" w:themeColor="text1"/>
        </w:rPr>
        <w:t>MainePERS</w:t>
      </w:r>
      <w:r w:rsidR="00B62085">
        <w:rPr>
          <w:color w:val="000000" w:themeColor="text1"/>
        </w:rPr>
        <w:t>’</w:t>
      </w:r>
      <w:r w:rsidRPr="001A3FB3">
        <w:rPr>
          <w:color w:val="000000" w:themeColor="text1"/>
        </w:rPr>
        <w:t>s</w:t>
      </w:r>
      <w:proofErr w:type="spellEnd"/>
      <w:r w:rsidRPr="001A3FB3">
        <w:rPr>
          <w:color w:val="000000" w:themeColor="text1"/>
        </w:rPr>
        <w:t xml:space="preserve"> official report estimated that near-term fossil-free implementation would require $520 million in public-market sale and reinvestment, could impose private-market secondary-sale discounts exceeding 13%, and could imply approximately $400 million in discount on $2.9 billion in partnership holdings with some fossil-fuel exposure. Customized fossil-fuel-free public-market strategies would nearly triple management fees.</w:t>
      </w:r>
      <w:r w:rsidRPr="001A3FB3">
        <w:rPr>
          <w:rStyle w:val="FootnoteReference"/>
          <w:color w:val="000000" w:themeColor="text1"/>
        </w:rPr>
        <w:footnoteReference w:id="221"/>
      </w:r>
    </w:p>
    <w:p w14:paraId="7B5FF8D8" w14:textId="1882113F" w:rsidR="005F5ACD" w:rsidRPr="001A3FB3" w:rsidRDefault="00000000">
      <w:pPr>
        <w:pStyle w:val="BodyText"/>
        <w:rPr>
          <w:color w:val="000000" w:themeColor="text1"/>
        </w:rPr>
      </w:pPr>
      <w:r w:rsidRPr="001A3FB3">
        <w:rPr>
          <w:color w:val="000000" w:themeColor="text1"/>
        </w:rPr>
        <w:t>The same Fit Test apparatus reaches non-statutory state-leverage instruments: the Vanguard multi-state settlement agreement</w:t>
      </w:r>
      <w:r w:rsidR="00B62085">
        <w:rPr>
          <w:color w:val="000000" w:themeColor="text1"/>
        </w:rPr>
        <w:t>’</w:t>
      </w:r>
      <w:r w:rsidRPr="001A3FB3">
        <w:rPr>
          <w:color w:val="000000" w:themeColor="text1"/>
        </w:rPr>
        <w:t xml:space="preserve">s coalition-exit covenants and scripted-disclaimer requirements operate, by contract under threat of antitrust enforcement, as a categorical input-withdrawal without an operational fiduciary override (see §IV.B </w:t>
      </w:r>
      <w:r w:rsidRPr="001A3FB3">
        <w:rPr>
          <w:rStyle w:val="FootnoteReference"/>
          <w:color w:val="000000" w:themeColor="text1"/>
        </w:rPr>
        <w:footnoteReference w:id="222"/>
      </w:r>
      <w:r w:rsidRPr="001A3FB3">
        <w:rPr>
          <w:color w:val="000000" w:themeColor="text1"/>
        </w:rPr>
        <w:t>).</w:t>
      </w:r>
    </w:p>
    <w:p w14:paraId="2BDA66F0" w14:textId="5877D067" w:rsidR="005F5ACD" w:rsidRPr="001A3FB3" w:rsidRDefault="00000000" w:rsidP="00E24C2D">
      <w:pPr>
        <w:pStyle w:val="Heading3"/>
      </w:pPr>
      <w:bookmarkStart w:id="78" w:name="Xb3c1923efe010849ac9e5c0882fc37aea76bd81"/>
      <w:bookmarkStart w:id="79" w:name="_Toc229502289"/>
      <w:bookmarkEnd w:id="76"/>
      <w:r w:rsidRPr="001A3FB3">
        <w:t>§V.F.5 Kentucky CERS</w:t>
      </w:r>
      <w:r w:rsidR="00B62085">
        <w:t>—</w:t>
      </w:r>
      <w:r w:rsidRPr="001A3FB3">
        <w:t>Carveout-Functioning Anti-ESG Comparator</w:t>
      </w:r>
      <w:bookmarkEnd w:id="79"/>
    </w:p>
    <w:p w14:paraId="74ABD163" w14:textId="1D26DC2B" w:rsidR="005F5ACD" w:rsidRPr="001A3FB3" w:rsidRDefault="00000000">
      <w:pPr>
        <w:pStyle w:val="FirstParagraph"/>
        <w:rPr>
          <w:color w:val="000000" w:themeColor="text1"/>
        </w:rPr>
      </w:pPr>
      <w:r w:rsidRPr="001A3FB3">
        <w:rPr>
          <w:color w:val="000000" w:themeColor="text1"/>
        </w:rPr>
        <w:t>Kentucky SB 205</w:t>
      </w:r>
      <w:r w:rsidR="00B62085">
        <w:rPr>
          <w:color w:val="000000" w:themeColor="text1"/>
        </w:rPr>
        <w:t>’</w:t>
      </w:r>
      <w:r w:rsidRPr="001A3FB3">
        <w:rPr>
          <w:color w:val="000000" w:themeColor="text1"/>
        </w:rPr>
        <w:t xml:space="preserve">s restricted-list regime imposes statutory consequences on public funds that hold investments in listed financial institutions. The statute contains a fiduciary-inconsistency exception. On February 8, 2023, the Board of the Kentucky County Employees Retirement System held a Special Called Board Meeting at which it formally determined that compliance with SB 205 was </w:t>
      </w:r>
      <w:r w:rsidR="00B62085">
        <w:rPr>
          <w:color w:val="000000" w:themeColor="text1"/>
        </w:rPr>
        <w:t>“</w:t>
      </w:r>
      <w:r w:rsidRPr="001A3FB3">
        <w:rPr>
          <w:color w:val="000000" w:themeColor="text1"/>
        </w:rPr>
        <w:t>inconsistent with its fiduciary responsibility with respect to the investment of CERS assets or other duties</w:t>
      </w:r>
      <w:r w:rsidR="00B62085">
        <w:rPr>
          <w:color w:val="000000" w:themeColor="text1"/>
        </w:rPr>
        <w:t>”</w:t>
      </w:r>
      <w:r w:rsidRPr="001A3FB3">
        <w:rPr>
          <w:color w:val="000000" w:themeColor="text1"/>
        </w:rPr>
        <w:t xml:space="preserve"> and concluded that CERS was not subject to the law</w:t>
      </w:r>
      <w:r w:rsidR="00B62085">
        <w:rPr>
          <w:color w:val="000000" w:themeColor="text1"/>
        </w:rPr>
        <w:t>’</w:t>
      </w:r>
      <w:r w:rsidRPr="001A3FB3">
        <w:rPr>
          <w:color w:val="000000" w:themeColor="text1"/>
        </w:rPr>
        <w:t>s requirements.</w:t>
      </w:r>
      <w:r w:rsidRPr="001A3FB3">
        <w:rPr>
          <w:rStyle w:val="FootnoteReference"/>
          <w:color w:val="000000" w:themeColor="text1"/>
        </w:rPr>
        <w:footnoteReference w:id="223"/>
      </w:r>
      <w:r w:rsidRPr="001A3FB3">
        <w:rPr>
          <w:color w:val="000000" w:themeColor="text1"/>
        </w:rPr>
        <w:t xml:space="preserve"> The Kentucky Treasurer</w:t>
      </w:r>
      <w:r w:rsidR="00B62085">
        <w:rPr>
          <w:color w:val="000000" w:themeColor="text1"/>
        </w:rPr>
        <w:t>’</w:t>
      </w:r>
      <w:r w:rsidRPr="001A3FB3">
        <w:rPr>
          <w:color w:val="000000" w:themeColor="text1"/>
        </w:rPr>
        <w:t>s office accepted the determination. No enforcement action followed, and the CERS portfolio was not adjusted to comply with the restricted-list directives.</w:t>
      </w:r>
    </w:p>
    <w:p w14:paraId="7E8CB8C0" w14:textId="77777777" w:rsidR="005F5ACD" w:rsidRPr="001A3FB3" w:rsidRDefault="00000000">
      <w:pPr>
        <w:pStyle w:val="BodyText"/>
        <w:rPr>
          <w:color w:val="000000" w:themeColor="text1"/>
        </w:rPr>
      </w:pPr>
      <w:r w:rsidRPr="001A3FB3">
        <w:rPr>
          <w:color w:val="000000" w:themeColor="text1"/>
        </w:rPr>
        <w:t>Applied to the four-question savings-clause inquiry:</w:t>
      </w:r>
    </w:p>
    <w:p w14:paraId="77988C44" w14:textId="66C35593" w:rsidR="005F5ACD" w:rsidRPr="001A3FB3" w:rsidRDefault="00000000">
      <w:pPr>
        <w:pStyle w:val="BodyText"/>
        <w:rPr>
          <w:color w:val="000000" w:themeColor="text1"/>
        </w:rPr>
      </w:pPr>
      <w:r w:rsidRPr="001A3FB3">
        <w:rPr>
          <w:color w:val="000000" w:themeColor="text1"/>
        </w:rPr>
        <w:t>Question 1 (default rule): The Kentucky carveout permits the pension system itself to determine that the statute</w:t>
      </w:r>
      <w:r w:rsidR="00B62085">
        <w:rPr>
          <w:color w:val="000000" w:themeColor="text1"/>
        </w:rPr>
        <w:t>’</w:t>
      </w:r>
      <w:r w:rsidRPr="001A3FB3">
        <w:rPr>
          <w:color w:val="000000" w:themeColor="text1"/>
        </w:rPr>
        <w:t>s requirements are inconsistent with fiduciary duty. The determination is not delegated to a political principal; the pension board</w:t>
      </w:r>
      <w:r w:rsidR="00B62085">
        <w:rPr>
          <w:color w:val="000000" w:themeColor="text1"/>
        </w:rPr>
        <w:t>’</w:t>
      </w:r>
      <w:r w:rsidRPr="001A3FB3">
        <w:rPr>
          <w:color w:val="000000" w:themeColor="text1"/>
        </w:rPr>
        <w:t>s own judgment controls.</w:t>
      </w:r>
    </w:p>
    <w:p w14:paraId="324A09E9" w14:textId="766E7D5D" w:rsidR="005F5ACD" w:rsidRPr="001A3FB3" w:rsidRDefault="00000000">
      <w:pPr>
        <w:pStyle w:val="BodyText"/>
        <w:rPr>
          <w:color w:val="000000" w:themeColor="text1"/>
        </w:rPr>
      </w:pPr>
      <w:r w:rsidRPr="001A3FB3">
        <w:rPr>
          <w:color w:val="000000" w:themeColor="text1"/>
        </w:rPr>
        <w:t>Question 2 (procedural friction): The statute imposes no clear-and-convincing standard, no benchmark-deviation test, and no reporting requirement to legislative leadership. The pension board</w:t>
      </w:r>
      <w:r w:rsidR="00B62085">
        <w:rPr>
          <w:color w:val="000000" w:themeColor="text1"/>
        </w:rPr>
        <w:t>’</w:t>
      </w:r>
      <w:r w:rsidRPr="001A3FB3">
        <w:rPr>
          <w:color w:val="000000" w:themeColor="text1"/>
        </w:rPr>
        <w:t>s determination triggers exemption without requiring a publicly justified noncompliance act.</w:t>
      </w:r>
    </w:p>
    <w:p w14:paraId="5D6AF733" w14:textId="41D59DD1" w:rsidR="005F5ACD" w:rsidRPr="001A3FB3" w:rsidRDefault="00000000">
      <w:pPr>
        <w:pStyle w:val="BodyText"/>
        <w:rPr>
          <w:color w:val="000000" w:themeColor="text1"/>
        </w:rPr>
      </w:pPr>
      <w:r w:rsidRPr="001A3FB3">
        <w:rPr>
          <w:color w:val="000000" w:themeColor="text1"/>
        </w:rPr>
        <w:t>Question 3 (implementing-agency interpretation): The Kentucky Treasurer</w:t>
      </w:r>
      <w:r w:rsidR="00B62085">
        <w:rPr>
          <w:color w:val="000000" w:themeColor="text1"/>
        </w:rPr>
        <w:t>’</w:t>
      </w:r>
      <w:r w:rsidRPr="001A3FB3">
        <w:rPr>
          <w:color w:val="000000" w:themeColor="text1"/>
        </w:rPr>
        <w:t>s office accepted the CERS determination without challenge. The implementing agency read the carveout to permit the invocation.</w:t>
      </w:r>
    </w:p>
    <w:p w14:paraId="6B9A4B46" w14:textId="1EBC5976" w:rsidR="005F5ACD" w:rsidRPr="001A3FB3" w:rsidRDefault="00000000">
      <w:pPr>
        <w:pStyle w:val="BodyText"/>
        <w:rPr>
          <w:color w:val="000000" w:themeColor="text1"/>
        </w:rPr>
      </w:pPr>
      <w:r w:rsidRPr="001A3FB3">
        <w:rPr>
          <w:color w:val="000000" w:themeColor="text1"/>
        </w:rPr>
        <w:t>Question 4 (definitional symmetry): The fiduciary carveout</w:t>
      </w:r>
      <w:r w:rsidR="00B62085">
        <w:rPr>
          <w:color w:val="000000" w:themeColor="text1"/>
        </w:rPr>
        <w:t>’</w:t>
      </w:r>
      <w:r w:rsidRPr="001A3FB3">
        <w:rPr>
          <w:color w:val="000000" w:themeColor="text1"/>
        </w:rPr>
        <w:t>s scope (</w:t>
      </w:r>
      <w:r w:rsidR="00B62085">
        <w:rPr>
          <w:color w:val="000000" w:themeColor="text1"/>
        </w:rPr>
        <w:t>“</w:t>
      </w:r>
      <w:r w:rsidRPr="001A3FB3">
        <w:rPr>
          <w:color w:val="000000" w:themeColor="text1"/>
        </w:rPr>
        <w:t>inconsistent with fiduciary responsibility</w:t>
      </w:r>
      <w:r w:rsidR="00B62085">
        <w:rPr>
          <w:color w:val="000000" w:themeColor="text1"/>
        </w:rPr>
        <w:t>”</w:t>
      </w:r>
      <w:r w:rsidRPr="001A3FB3">
        <w:rPr>
          <w:color w:val="000000" w:themeColor="text1"/>
        </w:rPr>
        <w:t>) covers any analytical practice that ordinary fiduciary law would protect, matching the operative provision</w:t>
      </w:r>
      <w:r w:rsidR="00B62085">
        <w:rPr>
          <w:color w:val="000000" w:themeColor="text1"/>
        </w:rPr>
        <w:t>’</w:t>
      </w:r>
      <w:r w:rsidRPr="001A3FB3">
        <w:rPr>
          <w:color w:val="000000" w:themeColor="text1"/>
        </w:rPr>
        <w:t>s reach.</w:t>
      </w:r>
    </w:p>
    <w:p w14:paraId="19469DEA" w14:textId="3ABD1596" w:rsidR="005F5ACD" w:rsidRPr="001A3FB3" w:rsidRDefault="00000000">
      <w:pPr>
        <w:pStyle w:val="BodyText"/>
        <w:rPr>
          <w:color w:val="000000" w:themeColor="text1"/>
        </w:rPr>
      </w:pPr>
      <w:r w:rsidRPr="001A3FB3">
        <w:rPr>
          <w:color w:val="000000" w:themeColor="text1"/>
        </w:rPr>
        <w:t>The CERS determination shows that an Anti-ESG list regime</w:t>
      </w:r>
      <w:r w:rsidR="00B62085">
        <w:rPr>
          <w:color w:val="000000" w:themeColor="text1"/>
        </w:rPr>
        <w:t>’</w:t>
      </w:r>
      <w:r w:rsidRPr="001A3FB3">
        <w:rPr>
          <w:color w:val="000000" w:themeColor="text1"/>
        </w:rPr>
        <w:t xml:space="preserve">s savings clause can function as a genuine escape valve where the procedural and political conditions permit the pension board to invoke it directly. The Kentucky outcome is the structural inverse of </w:t>
      </w:r>
      <w:r w:rsidRPr="001A3FB3">
        <w:rPr>
          <w:i/>
          <w:iCs/>
          <w:color w:val="000000" w:themeColor="text1"/>
        </w:rPr>
        <w:t>Keenan v. Russ</w:t>
      </w:r>
      <w:r w:rsidRPr="001A3FB3">
        <w:rPr>
          <w:color w:val="000000" w:themeColor="text1"/>
        </w:rPr>
        <w:t xml:space="preserve">, where the Oklahoma fiduciary carveout existed in text but did not save the statute from constitutional invalidation; and the inverse of Texas, where the </w:t>
      </w:r>
      <w:proofErr w:type="gramStart"/>
      <w:r w:rsidRPr="001A3FB3">
        <w:rPr>
          <w:color w:val="000000" w:themeColor="text1"/>
        </w:rPr>
        <w:t>financial-loss</w:t>
      </w:r>
      <w:proofErr w:type="gramEnd"/>
      <w:r w:rsidRPr="001A3FB3">
        <w:rPr>
          <w:color w:val="000000" w:themeColor="text1"/>
        </w:rPr>
        <w:t xml:space="preserve"> carveout existed in text but </w:t>
      </w:r>
      <w:r w:rsidR="00E24C2D">
        <w:rPr>
          <w:color w:val="000000" w:themeColor="text1"/>
        </w:rPr>
        <w:t>it was unwilling or functionally unable to be</w:t>
      </w:r>
      <w:r w:rsidRPr="001A3FB3">
        <w:rPr>
          <w:color w:val="000000" w:themeColor="text1"/>
        </w:rPr>
        <w:t xml:space="preserve"> invoke</w:t>
      </w:r>
      <w:r w:rsidR="00E24C2D">
        <w:rPr>
          <w:color w:val="000000" w:themeColor="text1"/>
        </w:rPr>
        <w:t>d</w:t>
      </w:r>
      <w:r w:rsidRPr="001A3FB3">
        <w:rPr>
          <w:color w:val="000000" w:themeColor="text1"/>
        </w:rPr>
        <w:t>. The same statutory device</w:t>
      </w:r>
      <w:r w:rsidR="00B62085">
        <w:rPr>
          <w:color w:val="000000" w:themeColor="text1"/>
        </w:rPr>
        <w:t>—</w:t>
      </w:r>
      <w:r w:rsidRPr="001A3FB3">
        <w:rPr>
          <w:color w:val="000000" w:themeColor="text1"/>
        </w:rPr>
        <w:t>a fiduciary carveout to a restricted-list anti-boycott regime</w:t>
      </w:r>
      <w:r w:rsidR="00B62085">
        <w:rPr>
          <w:color w:val="000000" w:themeColor="text1"/>
        </w:rPr>
        <w:t>—</w:t>
      </w:r>
      <w:r w:rsidRPr="001A3FB3">
        <w:rPr>
          <w:color w:val="000000" w:themeColor="text1"/>
        </w:rPr>
        <w:t>produced three different practical outcomes across three states because the procedural posture and political costs of invocation differed.</w:t>
      </w:r>
    </w:p>
    <w:p w14:paraId="4524D99F" w14:textId="25D18307" w:rsidR="005F5ACD" w:rsidRPr="001A3FB3" w:rsidRDefault="00000000">
      <w:pPr>
        <w:pStyle w:val="BodyText"/>
        <w:rPr>
          <w:color w:val="000000" w:themeColor="text1"/>
        </w:rPr>
      </w:pPr>
      <w:r w:rsidRPr="001A3FB3">
        <w:rPr>
          <w:color w:val="000000" w:themeColor="text1"/>
        </w:rPr>
        <w:t>The Kentucky CERS determination is also the structural mirror of the Maine Attorney General</w:t>
      </w:r>
      <w:r w:rsidR="00B62085">
        <w:rPr>
          <w:color w:val="000000" w:themeColor="text1"/>
        </w:rPr>
        <w:t>’</w:t>
      </w:r>
      <w:r w:rsidRPr="001A3FB3">
        <w:rPr>
          <w:color w:val="000000" w:themeColor="text1"/>
        </w:rPr>
        <w:t>s interpretation of Maine LD 99. Both are implementing-agency interpretations of fiduciary-conditioned mandates. Both result in non-compliance with the substantive statutory command without political or judicial consequence. One occurs on the Anti-ESG side; one on the pro-divestment side. The bi-directional pattern shows that the architectural feature</w:t>
      </w:r>
      <w:r w:rsidR="00B62085">
        <w:rPr>
          <w:color w:val="000000" w:themeColor="text1"/>
        </w:rPr>
        <w:t>—</w:t>
      </w:r>
      <w:r w:rsidRPr="001A3FB3">
        <w:rPr>
          <w:color w:val="000000" w:themeColor="text1"/>
        </w:rPr>
        <w:t>a fiduciary carveout that the responsible agency can invoke without procedural penalty</w:t>
      </w:r>
      <w:r w:rsidR="00B62085">
        <w:rPr>
          <w:color w:val="000000" w:themeColor="text1"/>
        </w:rPr>
        <w:t>—</w:t>
      </w:r>
      <w:r w:rsidRPr="001A3FB3">
        <w:rPr>
          <w:color w:val="000000" w:themeColor="text1"/>
        </w:rPr>
        <w:t>is what determines practical effect, not the political direction of the underlying statute.</w:t>
      </w:r>
    </w:p>
    <w:p w14:paraId="31BD8AC5" w14:textId="3DF2D861" w:rsidR="005F5ACD" w:rsidRPr="001A3FB3" w:rsidRDefault="00000000" w:rsidP="00E24C2D">
      <w:pPr>
        <w:pStyle w:val="Heading3"/>
      </w:pPr>
      <w:bookmarkStart w:id="80" w:name="X09325b9be7a019bf3a04de060897a7cdebbb62d"/>
      <w:bookmarkStart w:id="81" w:name="_Toc229502290"/>
      <w:bookmarkEnd w:id="78"/>
      <w:r w:rsidRPr="001A3FB3">
        <w:t>§V.F.6 Illinois SB 2152</w:t>
      </w:r>
      <w:r w:rsidR="00B62085">
        <w:t>—</w:t>
      </w:r>
      <w:r w:rsidRPr="001A3FB3">
        <w:t>Symmetric Proxy Reporting</w:t>
      </w:r>
      <w:bookmarkEnd w:id="81"/>
    </w:p>
    <w:p w14:paraId="4F817185" w14:textId="2FFA5598" w:rsidR="005F5ACD" w:rsidRPr="001A3FB3" w:rsidRDefault="00000000">
      <w:pPr>
        <w:pStyle w:val="FirstParagraph"/>
        <w:rPr>
          <w:color w:val="000000" w:themeColor="text1"/>
        </w:rPr>
      </w:pPr>
      <w:r w:rsidRPr="001A3FB3">
        <w:rPr>
          <w:color w:val="000000" w:themeColor="text1"/>
        </w:rPr>
        <w:t>IL SB 2152 imposes proxy-voting reporting duties symmetrically on both pro- and anti-management positions.</w:t>
      </w:r>
      <w:r w:rsidRPr="001A3FB3">
        <w:rPr>
          <w:rStyle w:val="FootnoteReference"/>
          <w:color w:val="000000" w:themeColor="text1"/>
        </w:rPr>
        <w:footnoteReference w:id="224"/>
      </w:r>
      <w:r w:rsidRPr="001A3FB3">
        <w:rPr>
          <w:color w:val="000000" w:themeColor="text1"/>
        </w:rPr>
        <w:t xml:space="preserve"> It answers </w:t>
      </w:r>
      <w:r w:rsidR="00B62085">
        <w:rPr>
          <w:color w:val="000000" w:themeColor="text1"/>
        </w:rPr>
        <w:t>“</w:t>
      </w:r>
      <w:r w:rsidRPr="001A3FB3">
        <w:rPr>
          <w:color w:val="000000" w:themeColor="text1"/>
        </w:rPr>
        <w:t>no</w:t>
      </w:r>
      <w:r w:rsidR="00B62085">
        <w:rPr>
          <w:color w:val="000000" w:themeColor="text1"/>
        </w:rPr>
        <w:t>”</w:t>
      </w:r>
      <w:r w:rsidRPr="001A3FB3">
        <w:rPr>
          <w:color w:val="000000" w:themeColor="text1"/>
        </w:rPr>
        <w:t xml:space="preserve"> to Q4</w:t>
      </w:r>
      <w:r w:rsidR="00B62085">
        <w:rPr>
          <w:color w:val="000000" w:themeColor="text1"/>
        </w:rPr>
        <w:t>—</w:t>
      </w:r>
      <w:r w:rsidRPr="001A3FB3">
        <w:rPr>
          <w:color w:val="000000" w:themeColor="text1"/>
        </w:rPr>
        <w:t>the burden is uniform rather than directional</w:t>
      </w:r>
      <w:r w:rsidR="00B62085">
        <w:rPr>
          <w:color w:val="000000" w:themeColor="text1"/>
        </w:rPr>
        <w:t>—</w:t>
      </w:r>
      <w:r w:rsidRPr="001A3FB3">
        <w:rPr>
          <w:color w:val="000000" w:themeColor="text1"/>
        </w:rPr>
        <w:t>and accordingly passes the Test on the symmetric-versus-asymmetric line, supplying the structural contrast to TX SB 2337</w:t>
      </w:r>
      <w:r w:rsidR="00B62085">
        <w:rPr>
          <w:color w:val="000000" w:themeColor="text1"/>
        </w:rPr>
        <w:t>’</w:t>
      </w:r>
      <w:r w:rsidRPr="001A3FB3">
        <w:rPr>
          <w:color w:val="000000" w:themeColor="text1"/>
        </w:rPr>
        <w:t>s directional written-financial-analysis duty.</w:t>
      </w:r>
    </w:p>
    <w:p w14:paraId="33ECDFDF" w14:textId="77777777" w:rsidR="005F5ACD" w:rsidRPr="001A3FB3" w:rsidRDefault="00000000" w:rsidP="00E24C2D">
      <w:pPr>
        <w:pStyle w:val="Heading3"/>
      </w:pPr>
      <w:bookmarkStart w:id="82" w:name="v.f.7-closing-of-worked-examples"/>
      <w:bookmarkStart w:id="83" w:name="_Toc229502291"/>
      <w:bookmarkEnd w:id="80"/>
      <w:r w:rsidRPr="001A3FB3">
        <w:t>§V.F.7 Closing of Worked Examples</w:t>
      </w:r>
      <w:bookmarkEnd w:id="83"/>
    </w:p>
    <w:p w14:paraId="21553EB6" w14:textId="77777777" w:rsidR="005F5ACD" w:rsidRPr="001A3FB3" w:rsidRDefault="00000000">
      <w:pPr>
        <w:pStyle w:val="FirstParagraph"/>
        <w:rPr>
          <w:color w:val="000000" w:themeColor="text1"/>
        </w:rPr>
      </w:pPr>
      <w:r w:rsidRPr="001A3FB3">
        <w:rPr>
          <w:color w:val="000000" w:themeColor="text1"/>
        </w:rPr>
        <w:t>AB 979 fails; SB 253 passes; SB 261 fails; LD 99 is mixed; and SB 2152 passes—a result split driven by tool design, not political direction. The Test reaches a Pro-side categorical mandate (AB 979) under the same analysis that reaches Anti-side SAF; passes a Pro-side factual-disclosure regime (SB 253) under the same framework that would pass an Anti-side factual disclosure; and fails a Pro-side compelled-narrative regime (SB 261) under the same analysis that would fail an Anti-side compelled narrative.</w:t>
      </w:r>
    </w:p>
    <w:p w14:paraId="5E5397A5" w14:textId="6E95BB42" w:rsidR="005F5ACD" w:rsidRPr="001A3FB3" w:rsidRDefault="00000000">
      <w:pPr>
        <w:pStyle w:val="BodyText"/>
        <w:rPr>
          <w:color w:val="000000" w:themeColor="text1"/>
        </w:rPr>
      </w:pPr>
      <w:r w:rsidRPr="001A3FB3">
        <w:rPr>
          <w:color w:val="000000" w:themeColor="text1"/>
        </w:rPr>
        <w:t xml:space="preserve">The present Anti-side enacted corpus does not yet contain a clean </w:t>
      </w:r>
      <w:r w:rsidR="00B62085">
        <w:rPr>
          <w:color w:val="000000" w:themeColor="text1"/>
        </w:rPr>
        <w:t>“</w:t>
      </w:r>
      <w:r w:rsidRPr="001A3FB3">
        <w:rPr>
          <w:color w:val="000000" w:themeColor="text1"/>
        </w:rPr>
        <w:t>categorical mandate + no fiduciary savings clause + symmetric burden + no evidentiary conversion</w:t>
      </w:r>
      <w:r w:rsidR="00B62085">
        <w:rPr>
          <w:color w:val="000000" w:themeColor="text1"/>
        </w:rPr>
        <w:t>”</w:t>
      </w:r>
      <w:r w:rsidRPr="001A3FB3">
        <w:rPr>
          <w:color w:val="000000" w:themeColor="text1"/>
        </w:rPr>
        <w:t xml:space="preserve"> combination that would pass the Test, but neither does the present Pro corpus contain a </w:t>
      </w:r>
      <w:r w:rsidR="00B62085">
        <w:rPr>
          <w:color w:val="000000" w:themeColor="text1"/>
        </w:rPr>
        <w:t>“</w:t>
      </w:r>
      <w:r w:rsidRPr="001A3FB3">
        <w:rPr>
          <w:color w:val="000000" w:themeColor="text1"/>
        </w:rPr>
        <w:t>substance-axis foreclosure + evidentiary conversion + asymmetric stacking</w:t>
      </w:r>
      <w:r w:rsidR="00B62085">
        <w:rPr>
          <w:color w:val="000000" w:themeColor="text1"/>
        </w:rPr>
        <w:t>”</w:t>
      </w:r>
      <w:r w:rsidRPr="001A3FB3">
        <w:rPr>
          <w:color w:val="000000" w:themeColor="text1"/>
        </w:rPr>
        <w:t xml:space="preserve"> combination that would fail it the way AR HB 1253, KY HB 236, or TX SB 2337 do. The empirical asymmetry the Article documents is about which side has assembled the failure-mode architecture, not which substantive direction the framework prefers. The architectural feature this analysis polices</w:t>
      </w:r>
      <w:r w:rsidR="00B62085">
        <w:rPr>
          <w:color w:val="000000" w:themeColor="text1"/>
        </w:rPr>
        <w:t>—</w:t>
      </w:r>
      <w:r w:rsidRPr="001A3FB3">
        <w:rPr>
          <w:color w:val="000000" w:themeColor="text1"/>
        </w:rPr>
        <w:t>categorical input regulation, without preservation of the materiality-determination apparatus</w:t>
      </w:r>
      <w:r w:rsidR="00B62085">
        <w:rPr>
          <w:color w:val="000000" w:themeColor="text1"/>
        </w:rPr>
        <w:t>—</w:t>
      </w:r>
      <w:r w:rsidRPr="001A3FB3">
        <w:rPr>
          <w:color w:val="000000" w:themeColor="text1"/>
        </w:rPr>
        <w:t>fails the Test regardless of which way the underlying policy preference runs. See §V.D (developing the neutrality point via Glass Lewis</w:t>
      </w:r>
      <w:r w:rsidR="00B62085">
        <w:rPr>
          <w:color w:val="000000" w:themeColor="text1"/>
        </w:rPr>
        <w:t>’</w:t>
      </w:r>
      <w:r w:rsidRPr="001A3FB3">
        <w:rPr>
          <w:color w:val="000000" w:themeColor="text1"/>
        </w:rPr>
        <w:t>s pro-ESG-relevance/anti-ESG-relevance formulation).</w:t>
      </w:r>
    </w:p>
    <w:p w14:paraId="47ED7260" w14:textId="77777777" w:rsidR="005F5ACD" w:rsidRPr="001A3FB3" w:rsidRDefault="00000000" w:rsidP="001A3FB3">
      <w:pPr>
        <w:pStyle w:val="Heading1"/>
      </w:pPr>
      <w:bookmarkStart w:id="84" w:name="conclusion"/>
      <w:bookmarkStart w:id="85" w:name="_Toc229502292"/>
      <w:bookmarkEnd w:id="56"/>
      <w:bookmarkEnd w:id="68"/>
      <w:bookmarkEnd w:id="82"/>
      <w:r w:rsidRPr="001A3FB3">
        <w:t>CONCLUSION</w:t>
      </w:r>
      <w:bookmarkEnd w:id="85"/>
    </w:p>
    <w:p w14:paraId="7B49BA1E" w14:textId="6C793C08" w:rsidR="005F5ACD" w:rsidRPr="001A3FB3" w:rsidRDefault="00000000">
      <w:pPr>
        <w:pStyle w:val="FirstParagraph"/>
        <w:rPr>
          <w:color w:val="000000" w:themeColor="text1"/>
        </w:rPr>
      </w:pPr>
      <w:r w:rsidRPr="001A3FB3">
        <w:rPr>
          <w:color w:val="000000" w:themeColor="text1"/>
        </w:rPr>
        <w:t xml:space="preserve">State ESG legislation is neither a single regulatory program nor evaluable against a single doctrinal yardstick. </w:t>
      </w:r>
      <w:r w:rsidR="00CD6591">
        <w:rPr>
          <w:color w:val="000000" w:themeColor="text1"/>
        </w:rPr>
        <w:t xml:space="preserve">State ESG </w:t>
      </w:r>
      <w:r w:rsidRPr="001A3FB3">
        <w:rPr>
          <w:color w:val="000000" w:themeColor="text1"/>
        </w:rPr>
        <w:t>legislation assembles statutory tools across five state-conferred legal capacities; each capacity carries its own native doctrinal review; and the corpus</w:t>
      </w:r>
      <w:r w:rsidR="00B62085">
        <w:rPr>
          <w:color w:val="000000" w:themeColor="text1"/>
        </w:rPr>
        <w:t>’</w:t>
      </w:r>
      <w:r w:rsidRPr="001A3FB3">
        <w:rPr>
          <w:color w:val="000000" w:themeColor="text1"/>
        </w:rPr>
        <w:t xml:space="preserve">s strongest tools—substance-axis foreclosure of climate-coded systemic risk; coalition-evidence presumption; nationwide-conduct designation methodologies; asymmetric written-financial-analysis duties for proxy advisers; compelled interpretive disclosure for issuers—face the most fragile review under exclusive-purpose, compelled-association, compelled-speech, and preemption analysis. </w:t>
      </w:r>
      <w:r w:rsidRPr="001A3FB3">
        <w:rPr>
          <w:i/>
          <w:iCs/>
          <w:color w:val="000000" w:themeColor="text1"/>
        </w:rPr>
        <w:t>Keenan v. Russ</w:t>
      </w:r>
      <w:r w:rsidRPr="001A3FB3">
        <w:rPr>
          <w:color w:val="000000" w:themeColor="text1"/>
        </w:rPr>
        <w:t xml:space="preserve"> (OPERS as applied), the W.D. Tex. enjoinment of TX SB 13 (now on Fifth Circuit appeal), the W.D. Tex. preliminary injunctions against TX SB 2337 enforcement as to Glass Lewis and ISS, and the Ninth Circuit</w:t>
      </w:r>
      <w:r w:rsidR="00B62085">
        <w:rPr>
          <w:color w:val="000000" w:themeColor="text1"/>
        </w:rPr>
        <w:t>’</w:t>
      </w:r>
      <w:r w:rsidRPr="001A3FB3">
        <w:rPr>
          <w:color w:val="000000" w:themeColor="text1"/>
        </w:rPr>
        <w:t>s partial preliminary injunction against CA SB 261 (SB 253 not enjoined) confirm the channel-specific vulnerability prediction. The legal consequence</w:t>
      </w:r>
      <w:r w:rsidR="00CD6591">
        <w:rPr>
          <w:color w:val="000000" w:themeColor="text1"/>
        </w:rPr>
        <w:t>, however,</w:t>
      </w:r>
      <w:r w:rsidRPr="001A3FB3">
        <w:rPr>
          <w:color w:val="000000" w:themeColor="text1"/>
        </w:rPr>
        <w:t xml:space="preserve"> does not depend on those </w:t>
      </w:r>
      <w:proofErr w:type="gramStart"/>
      <w:r w:rsidRPr="001A3FB3">
        <w:rPr>
          <w:color w:val="000000" w:themeColor="text1"/>
        </w:rPr>
        <w:t>merits</w:t>
      </w:r>
      <w:proofErr w:type="gramEnd"/>
      <w:r w:rsidRPr="001A3FB3">
        <w:rPr>
          <w:color w:val="000000" w:themeColor="text1"/>
        </w:rPr>
        <w:t xml:space="preserve"> outcomes. Many softer process-burden statutes will survive individually yet contribute cumulatively to a legal-cost environment that raises the operating cost </w:t>
      </w:r>
      <w:r w:rsidR="00CD6591">
        <w:rPr>
          <w:color w:val="000000" w:themeColor="text1"/>
        </w:rPr>
        <w:t xml:space="preserve">and risk-implied transaction costs </w:t>
      </w:r>
      <w:r w:rsidRPr="001A3FB3">
        <w:rPr>
          <w:color w:val="000000" w:themeColor="text1"/>
        </w:rPr>
        <w:t>of climate-coded financial analysis even where the input is straightforwardly material. Concrete cost figures developed in Part IV—Texas municipal-bond yield premiums; the OPERS transition-cost record—anchor the political-economy account.</w:t>
      </w:r>
    </w:p>
    <w:p w14:paraId="56760AA8" w14:textId="0200F3B9" w:rsidR="005F5ACD" w:rsidRPr="001A3FB3" w:rsidRDefault="00000000">
      <w:pPr>
        <w:pStyle w:val="BodyText"/>
        <w:rPr>
          <w:color w:val="000000" w:themeColor="text1"/>
        </w:rPr>
      </w:pPr>
      <w:r w:rsidRPr="001A3FB3">
        <w:rPr>
          <w:color w:val="000000" w:themeColor="text1"/>
        </w:rPr>
        <w:t>The same questions apply to Pro-side mandates, and the answers split by tool design. The feature that connects substantively opposed statutes—definitional foreclosure of climate-coded risk on one side, categorical mandate of climate-coded action on the other—is what motive-based, stance-based, and rate-based accounts of the wave miss.</w:t>
      </w:r>
    </w:p>
    <w:p w14:paraId="0983AF51" w14:textId="0138E86F" w:rsidR="005F5ACD" w:rsidRPr="001A3FB3" w:rsidRDefault="00000000">
      <w:pPr>
        <w:pStyle w:val="BodyText"/>
        <w:rPr>
          <w:color w:val="000000" w:themeColor="text1"/>
        </w:rPr>
      </w:pPr>
      <w:r w:rsidRPr="001A3FB3">
        <w:rPr>
          <w:color w:val="000000" w:themeColor="text1"/>
        </w:rPr>
        <w:t xml:space="preserve">Regulatory designers on both sides should hesitate before legislating </w:t>
      </w:r>
      <w:r w:rsidR="00CD6591">
        <w:rPr>
          <w:color w:val="000000" w:themeColor="text1"/>
        </w:rPr>
        <w:t xml:space="preserve">permissible </w:t>
      </w:r>
      <w:r w:rsidRPr="001A3FB3">
        <w:rPr>
          <w:color w:val="000000" w:themeColor="text1"/>
        </w:rPr>
        <w:t>analytical inputs directly</w:t>
      </w:r>
      <w:r w:rsidR="00CD6591">
        <w:rPr>
          <w:color w:val="000000" w:themeColor="text1"/>
        </w:rPr>
        <w:t xml:space="preserve"> particularly where there is contested but nonetheless sufficient global consensus that such inputs can and are invariably financially material to varying degrees across contexts</w:t>
      </w:r>
      <w:r w:rsidRPr="001A3FB3">
        <w:rPr>
          <w:color w:val="000000" w:themeColor="text1"/>
        </w:rPr>
        <w:t>. The architecture most exposed to channel-specific doctrinal review is also the architecture most likely to produce the cross-state inconsistency that compounds compliance cost; statutes preserving fiduciary discretion through savings clauses that actually restore analytical discretion—as the Maine LD 99 fiduciary override and the Kentucky CERS formulation do, and as Texas SB 13</w:t>
      </w:r>
      <w:r w:rsidR="00B62085">
        <w:rPr>
          <w:color w:val="000000" w:themeColor="text1"/>
        </w:rPr>
        <w:t>’</w:t>
      </w:r>
      <w:r w:rsidRPr="001A3FB3">
        <w:rPr>
          <w:color w:val="000000" w:themeColor="text1"/>
        </w:rPr>
        <w:t xml:space="preserve">s </w:t>
      </w:r>
      <w:r w:rsidR="00B62085">
        <w:rPr>
          <w:color w:val="000000" w:themeColor="text1"/>
        </w:rPr>
        <w:t>“</w:t>
      </w:r>
      <w:r w:rsidRPr="001A3FB3">
        <w:rPr>
          <w:color w:val="000000" w:themeColor="text1"/>
        </w:rPr>
        <w:t>ordinary business purpose</w:t>
      </w:r>
      <w:r w:rsidR="00B62085">
        <w:rPr>
          <w:color w:val="000000" w:themeColor="text1"/>
        </w:rPr>
        <w:t>”</w:t>
      </w:r>
      <w:r w:rsidRPr="001A3FB3">
        <w:rPr>
          <w:color w:val="000000" w:themeColor="text1"/>
        </w:rPr>
        <w:t xml:space="preserve"> language does not—prove more durable across channels than statutes that legislate the input itself. Courts considering channel-specific doctrinal review should treat the cumulative </w:t>
      </w:r>
      <w:r w:rsidR="00CD6591">
        <w:rPr>
          <w:color w:val="000000" w:themeColor="text1"/>
        </w:rPr>
        <w:t xml:space="preserve">transaction </w:t>
      </w:r>
      <w:r w:rsidRPr="001A3FB3">
        <w:rPr>
          <w:color w:val="000000" w:themeColor="text1"/>
        </w:rPr>
        <w:t>cost environment as part of the harm. Not by displacing channel-specific frames in favor of cumulative-effect review, but by recognizing that Compliance Overhang is what the channel-specific frames, applied across the architecture, collectively produce. The First Amendment compelled-association harm in TX SB 13</w:t>
      </w:r>
      <w:r w:rsidR="00B62085">
        <w:rPr>
          <w:color w:val="000000" w:themeColor="text1"/>
        </w:rPr>
        <w:t>’</w:t>
      </w:r>
      <w:r w:rsidRPr="001A3FB3">
        <w:rPr>
          <w:color w:val="000000" w:themeColor="text1"/>
        </w:rPr>
        <w:t>s designation methodology and the compelled-speech harm in TX SB 2337</w:t>
      </w:r>
      <w:r w:rsidR="00B62085">
        <w:rPr>
          <w:color w:val="000000" w:themeColor="text1"/>
        </w:rPr>
        <w:t>’</w:t>
      </w:r>
      <w:r w:rsidRPr="001A3FB3">
        <w:rPr>
          <w:color w:val="000000" w:themeColor="text1"/>
        </w:rPr>
        <w:t>s asymmetric written-financial-analysis duty operate not only as discrete violations but as elements of a multi-channel cost architecture whose effect compounds across statutes. The right comparison between Anti and Pro waves is not enactment rate (which runs close within the ESG-climate universe) but architecture: which side has assembled the failure-mode combinations. The Anti-side wave has done so—with more activity, deeper financial-sector reach, and enforcement, reporting, and liability stacking across channels—even where individual Anti statutes face the most fragile doctrinal review. Strict Substance-Axis Foreclosure is a hard core within a broader toolkit; the hardest tools face the most fragile review; and the cumulative compliance cost matters even where individual behavioral retreats cannot be cleanly attributed to a single statute. The record supports the political-economy account without requiring proof of the magnitude of any single behavioral retreat.</w:t>
      </w:r>
    </w:p>
    <w:p w14:paraId="1BE97990" w14:textId="72DED4A6" w:rsidR="005F5ACD" w:rsidRPr="001A3FB3" w:rsidRDefault="00000000">
      <w:pPr>
        <w:pStyle w:val="BodyText"/>
        <w:rPr>
          <w:color w:val="000000" w:themeColor="text1"/>
        </w:rPr>
      </w:pPr>
      <w:r w:rsidRPr="001A3FB3">
        <w:rPr>
          <w:color w:val="000000" w:themeColor="text1"/>
        </w:rPr>
        <w:t xml:space="preserve">In </w:t>
      </w:r>
      <w:r w:rsidRPr="001A3FB3">
        <w:rPr>
          <w:i/>
          <w:iCs/>
          <w:color w:val="000000" w:themeColor="text1"/>
        </w:rPr>
        <w:t>West Virginia State Board of Education v. Barnette</w:t>
      </w:r>
      <w:r w:rsidRPr="001A3FB3">
        <w:rPr>
          <w:color w:val="000000" w:themeColor="text1"/>
        </w:rPr>
        <w:t xml:space="preserve">, Justice Jackson identified the constitutional concern that runs through the cases the courts have actually decided in this area: </w:t>
      </w:r>
      <w:r w:rsidR="00B62085">
        <w:rPr>
          <w:color w:val="000000" w:themeColor="text1"/>
        </w:rPr>
        <w:t>“</w:t>
      </w:r>
      <w:r w:rsidRPr="001A3FB3">
        <w:rPr>
          <w:color w:val="000000" w:themeColor="text1"/>
        </w:rPr>
        <w:t>[I]f there is any fixed star in our constitutional constellation, it is that no official, high or petty, can prescribe what shall be orthodox in politics, nationalism, religion, or other matters of opinion.</w:t>
      </w:r>
      <w:r w:rsidR="00B62085">
        <w:rPr>
          <w:color w:val="000000" w:themeColor="text1"/>
        </w:rPr>
        <w:t>”</w:t>
      </w:r>
      <w:r w:rsidRPr="001A3FB3">
        <w:rPr>
          <w:rStyle w:val="FootnoteReference"/>
          <w:color w:val="000000" w:themeColor="text1"/>
        </w:rPr>
        <w:footnoteReference w:id="225"/>
      </w:r>
      <w:r w:rsidRPr="001A3FB3">
        <w:rPr>
          <w:color w:val="000000" w:themeColor="text1"/>
        </w:rPr>
        <w:t xml:space="preserve"> The analogy is structural rather than literal. Climate and ESG analysis are not a flag salute, and the relevant channels of review are not </w:t>
      </w:r>
      <w:r w:rsidRPr="001A3FB3">
        <w:rPr>
          <w:i/>
          <w:iCs/>
          <w:color w:val="000000" w:themeColor="text1"/>
        </w:rPr>
        <w:t>Barnette</w:t>
      </w:r>
      <w:r w:rsidR="00B62085">
        <w:rPr>
          <w:color w:val="000000" w:themeColor="text1"/>
        </w:rPr>
        <w:t>’</w:t>
      </w:r>
      <w:r w:rsidRPr="001A3FB3">
        <w:rPr>
          <w:color w:val="000000" w:themeColor="text1"/>
        </w:rPr>
        <w:t xml:space="preserve">s own. The relevant constraint is not always the same. Some statutes fail, if at all, as compelled commercial speech at the </w:t>
      </w:r>
      <w:r w:rsidRPr="001A3FB3">
        <w:rPr>
          <w:i/>
          <w:iCs/>
          <w:color w:val="000000" w:themeColor="text1"/>
        </w:rPr>
        <w:t>Zauderer</w:t>
      </w:r>
      <w:r w:rsidRPr="001A3FB3">
        <w:rPr>
          <w:color w:val="000000" w:themeColor="text1"/>
        </w:rPr>
        <w:t>/</w:t>
      </w:r>
      <w:r w:rsidRPr="001A3FB3">
        <w:rPr>
          <w:i/>
          <w:iCs/>
          <w:color w:val="000000" w:themeColor="text1"/>
        </w:rPr>
        <w:t>NIFLA</w:t>
      </w:r>
      <w:r w:rsidRPr="001A3FB3">
        <w:rPr>
          <w:color w:val="000000" w:themeColor="text1"/>
        </w:rPr>
        <w:t xml:space="preserve"> controversiality seam (</w:t>
      </w:r>
      <w:r w:rsidRPr="001A3FB3">
        <w:rPr>
          <w:i/>
          <w:iCs/>
          <w:color w:val="000000" w:themeColor="text1"/>
        </w:rPr>
        <w:t>SIFMA v. Ashcroft</w:t>
      </w:r>
      <w:r w:rsidRPr="001A3FB3">
        <w:rPr>
          <w:color w:val="000000" w:themeColor="text1"/>
        </w:rPr>
        <w:t>; the Ninth Circuit</w:t>
      </w:r>
      <w:r w:rsidR="00B62085">
        <w:rPr>
          <w:color w:val="000000" w:themeColor="text1"/>
        </w:rPr>
        <w:t>’</w:t>
      </w:r>
      <w:r w:rsidRPr="001A3FB3">
        <w:rPr>
          <w:color w:val="000000" w:themeColor="text1"/>
        </w:rPr>
        <w:t xml:space="preserve">s selective injunction of California SB 261 in </w:t>
      </w:r>
      <w:r w:rsidRPr="001A3FB3">
        <w:rPr>
          <w:i/>
          <w:iCs/>
          <w:color w:val="000000" w:themeColor="text1"/>
        </w:rPr>
        <w:t>Chamber of Commerce v. CARB</w:t>
      </w:r>
      <w:r w:rsidRPr="001A3FB3">
        <w:rPr>
          <w:color w:val="000000" w:themeColor="text1"/>
        </w:rPr>
        <w:t>); some as facial overbreadth and vagueness of viewpoint-correlated statutory definitions (</w:t>
      </w:r>
      <w:r w:rsidRPr="001A3FB3">
        <w:rPr>
          <w:i/>
          <w:iCs/>
          <w:color w:val="000000" w:themeColor="text1"/>
        </w:rPr>
        <w:t>ASBC v. Hegar</w:t>
      </w:r>
      <w:r w:rsidRPr="001A3FB3">
        <w:rPr>
          <w:color w:val="000000" w:themeColor="text1"/>
        </w:rPr>
        <w:t>); some under state-constitutional exclusive-purpose pension review (</w:t>
      </w:r>
      <w:r w:rsidRPr="001A3FB3">
        <w:rPr>
          <w:i/>
          <w:iCs/>
          <w:color w:val="000000" w:themeColor="text1"/>
        </w:rPr>
        <w:t>Keenan v. Russ</w:t>
      </w:r>
      <w:r w:rsidRPr="001A3FB3">
        <w:rPr>
          <w:color w:val="000000" w:themeColor="text1"/>
        </w:rPr>
        <w:t>); some as preempted securities regulation (</w:t>
      </w:r>
      <w:r w:rsidRPr="001A3FB3">
        <w:rPr>
          <w:i/>
          <w:iCs/>
          <w:color w:val="000000" w:themeColor="text1"/>
        </w:rPr>
        <w:t>SIFMA</w:t>
      </w:r>
      <w:r w:rsidR="00B62085">
        <w:rPr>
          <w:color w:val="000000" w:themeColor="text1"/>
        </w:rPr>
        <w:t>’</w:t>
      </w:r>
      <w:r w:rsidRPr="001A3FB3">
        <w:rPr>
          <w:color w:val="000000" w:themeColor="text1"/>
        </w:rPr>
        <w:t xml:space="preserve">s NSMIA holding); and some, at the administrative-implementation layer of comptroller lists, treasurer designations, and certification regimes, under the </w:t>
      </w:r>
      <w:r w:rsidRPr="001A3FB3">
        <w:rPr>
          <w:i/>
          <w:iCs/>
          <w:color w:val="000000" w:themeColor="text1"/>
        </w:rPr>
        <w:t>Bantam Books</w:t>
      </w:r>
      <w:r w:rsidRPr="001A3FB3">
        <w:rPr>
          <w:color w:val="000000" w:themeColor="text1"/>
        </w:rPr>
        <w:t>–</w:t>
      </w:r>
      <w:r w:rsidRPr="001A3FB3">
        <w:rPr>
          <w:i/>
          <w:iCs/>
          <w:color w:val="000000" w:themeColor="text1"/>
        </w:rPr>
        <w:t>NRA v. Vullo</w:t>
      </w:r>
      <w:r w:rsidRPr="001A3FB3">
        <w:rPr>
          <w:color w:val="000000" w:themeColor="text1"/>
        </w:rPr>
        <w:t xml:space="preserve"> lineage barring state coercion of regulated intermediaries to suppress disfavored views.</w:t>
      </w:r>
      <w:r w:rsidRPr="001A3FB3">
        <w:rPr>
          <w:rStyle w:val="FootnoteReference"/>
          <w:color w:val="000000" w:themeColor="text1"/>
        </w:rPr>
        <w:footnoteReference w:id="226"/>
      </w:r>
      <w:r w:rsidRPr="001A3FB3">
        <w:rPr>
          <w:color w:val="000000" w:themeColor="text1"/>
        </w:rPr>
        <w:t xml:space="preserve"> Some of these statutes will not fail any constitutional channel and will register only as bad fiduciary or corporate policy. The common question across them is functional: whether the law regulates fiduciary or corporate ends or instead disables the evidentiary basis on which fiduciaries, corporate decision-makers, and the professional intermediaries serving them evaluate risk.</w:t>
      </w:r>
    </w:p>
    <w:p w14:paraId="66E9598F" w14:textId="1F1216EC" w:rsidR="005F5ACD" w:rsidRPr="001A3FB3" w:rsidRDefault="00000000">
      <w:pPr>
        <w:pStyle w:val="BodyText"/>
        <w:rPr>
          <w:color w:val="000000" w:themeColor="text1"/>
        </w:rPr>
      </w:pPr>
      <w:r w:rsidRPr="001A3FB3">
        <w:rPr>
          <w:color w:val="000000" w:themeColor="text1"/>
        </w:rPr>
        <w:t>The difficulty is not that the state structures fiduciary or corporate judgment. Fiduciary law always does that. Loyalty excludes self-dealing and the pursuit of collateral benefits at beneficiaries</w:t>
      </w:r>
      <w:r w:rsidR="00B62085">
        <w:rPr>
          <w:color w:val="000000" w:themeColor="text1"/>
        </w:rPr>
        <w:t>’</w:t>
      </w:r>
      <w:r w:rsidRPr="001A3FB3">
        <w:rPr>
          <w:color w:val="000000" w:themeColor="text1"/>
        </w:rPr>
        <w:t xml:space="preserve"> expense; prudence requires informed, portfolio-level risk-return analysis; the business judgment rule preserves space for corporate decision-makers to exercise informed and unconflicted discretion; pension exclusive-purpose clauses prohibit the use of trust assets for non-financial public-policy ends. State law has always set the institutional boundaries within which professional and corporate judgment operates. The difficulty arises when the state preserves the language of prudence, business judgment, or fiduciary loyalty while placing one politically contested class of risk evidence—climate-coded financial analysis, and the broader ESG-coded analytical cluster the legislation reaches—under a special legal disability. The materiality and </w:t>
      </w:r>
      <w:r w:rsidR="00B62085">
        <w:rPr>
          <w:color w:val="000000" w:themeColor="text1"/>
        </w:rPr>
        <w:t>“</w:t>
      </w:r>
      <w:r w:rsidRPr="001A3FB3">
        <w:rPr>
          <w:color w:val="000000" w:themeColor="text1"/>
        </w:rPr>
        <w:t>ordinary business purpose</w:t>
      </w:r>
      <w:r w:rsidR="00B62085">
        <w:rPr>
          <w:color w:val="000000" w:themeColor="text1"/>
        </w:rPr>
        <w:t>”</w:t>
      </w:r>
      <w:r w:rsidRPr="001A3FB3">
        <w:rPr>
          <w:color w:val="000000" w:themeColor="text1"/>
        </w:rPr>
        <w:t xml:space="preserve"> carveouts that wave statutes typically include suggest, on their face, that ordinary financial analysis is preserved: Texas SB 13 excludes boycotts taken </w:t>
      </w:r>
      <w:r w:rsidR="00B62085">
        <w:rPr>
          <w:color w:val="000000" w:themeColor="text1"/>
        </w:rPr>
        <w:t>“</w:t>
      </w:r>
      <w:r w:rsidRPr="001A3FB3">
        <w:rPr>
          <w:color w:val="000000" w:themeColor="text1"/>
        </w:rPr>
        <w:t>for ordinary business purposes</w:t>
      </w:r>
      <w:r w:rsidR="00B62085">
        <w:rPr>
          <w:color w:val="000000" w:themeColor="text1"/>
        </w:rPr>
        <w:t>”</w:t>
      </w:r>
      <w:r w:rsidRPr="001A3FB3">
        <w:rPr>
          <w:color w:val="000000" w:themeColor="text1"/>
        </w:rPr>
        <w:t>; West Virginia SB 262 employs the same formulation; Oklahoma</w:t>
      </w:r>
      <w:r w:rsidR="00B62085">
        <w:rPr>
          <w:color w:val="000000" w:themeColor="text1"/>
        </w:rPr>
        <w:t>’</w:t>
      </w:r>
      <w:r w:rsidRPr="001A3FB3">
        <w:rPr>
          <w:color w:val="000000" w:themeColor="text1"/>
        </w:rPr>
        <w:t xml:space="preserve">s Energy Discrimination Elimination Act exempts conduct undertaken </w:t>
      </w:r>
      <w:r w:rsidR="00B62085">
        <w:rPr>
          <w:color w:val="000000" w:themeColor="text1"/>
        </w:rPr>
        <w:t>“</w:t>
      </w:r>
      <w:r w:rsidRPr="001A3FB3">
        <w:rPr>
          <w:color w:val="000000" w:themeColor="text1"/>
        </w:rPr>
        <w:t>for the sole purpose of complying with the financial fiduciary responsibility of the financial company.</w:t>
      </w:r>
      <w:r w:rsidR="00B62085">
        <w:rPr>
          <w:color w:val="000000" w:themeColor="text1"/>
        </w:rPr>
        <w:t>”</w:t>
      </w:r>
      <w:r w:rsidRPr="001A3FB3">
        <w:rPr>
          <w:rStyle w:val="FootnoteReference"/>
          <w:color w:val="000000" w:themeColor="text1"/>
        </w:rPr>
        <w:footnoteReference w:id="227"/>
      </w:r>
      <w:r w:rsidRPr="001A3FB3">
        <w:rPr>
          <w:color w:val="000000" w:themeColor="text1"/>
        </w:rPr>
        <w:t xml:space="preserve"> But a savings clause is not the whole statute. As §II.F shows and §IV.A–B documents, the materiality language on the face of the statute and the operational reach of its enforcement architecture move in opposite directions. In </w:t>
      </w:r>
      <w:r w:rsidRPr="001A3FB3">
        <w:rPr>
          <w:i/>
          <w:iCs/>
          <w:color w:val="000000" w:themeColor="text1"/>
        </w:rPr>
        <w:t>ASBC v. Hegar</w:t>
      </w:r>
      <w:r w:rsidRPr="001A3FB3">
        <w:rPr>
          <w:color w:val="000000" w:themeColor="text1"/>
        </w:rPr>
        <w:t>, Judge Albright held that Texas</w:t>
      </w:r>
      <w:r w:rsidR="00B62085">
        <w:rPr>
          <w:color w:val="000000" w:themeColor="text1"/>
        </w:rPr>
        <w:t>’</w:t>
      </w:r>
      <w:r w:rsidRPr="001A3FB3">
        <w:rPr>
          <w:color w:val="000000" w:themeColor="text1"/>
        </w:rPr>
        <w:t xml:space="preserve">s </w:t>
      </w:r>
      <w:r w:rsidR="00B62085">
        <w:rPr>
          <w:color w:val="000000" w:themeColor="text1"/>
        </w:rPr>
        <w:t>“</w:t>
      </w:r>
      <w:r w:rsidRPr="001A3FB3">
        <w:rPr>
          <w:color w:val="000000" w:themeColor="text1"/>
        </w:rPr>
        <w:t>ordinary business purpose</w:t>
      </w:r>
      <w:r w:rsidR="00B62085">
        <w:rPr>
          <w:color w:val="000000" w:themeColor="text1"/>
        </w:rPr>
        <w:t>”</w:t>
      </w:r>
      <w:r w:rsidRPr="001A3FB3">
        <w:rPr>
          <w:color w:val="000000" w:themeColor="text1"/>
        </w:rPr>
        <w:t xml:space="preserve"> language did not in fact cabin the statutory definition, which </w:t>
      </w:r>
      <w:r w:rsidR="00B62085">
        <w:rPr>
          <w:color w:val="000000" w:themeColor="text1"/>
        </w:rPr>
        <w:t>“</w:t>
      </w:r>
      <w:r w:rsidRPr="001A3FB3">
        <w:rPr>
          <w:color w:val="000000" w:themeColor="text1"/>
        </w:rPr>
        <w:t>permits the State to penalize companies for all manner of protected expression concerning fossil fuels.</w:t>
      </w:r>
      <w:r w:rsidR="00B62085">
        <w:rPr>
          <w:color w:val="000000" w:themeColor="text1"/>
        </w:rPr>
        <w:t>”</w:t>
      </w:r>
      <w:r w:rsidRPr="001A3FB3">
        <w:rPr>
          <w:rStyle w:val="FootnoteReference"/>
          <w:color w:val="000000" w:themeColor="text1"/>
        </w:rPr>
        <w:footnoteReference w:id="228"/>
      </w:r>
      <w:r w:rsidRPr="001A3FB3">
        <w:rPr>
          <w:color w:val="000000" w:themeColor="text1"/>
        </w:rPr>
        <w:t xml:space="preserve"> In </w:t>
      </w:r>
      <w:r w:rsidRPr="001A3FB3">
        <w:rPr>
          <w:i/>
          <w:iCs/>
          <w:color w:val="000000" w:themeColor="text1"/>
        </w:rPr>
        <w:t>Keenan v. Russ</w:t>
      </w:r>
      <w:r w:rsidRPr="001A3FB3">
        <w:rPr>
          <w:color w:val="000000" w:themeColor="text1"/>
        </w:rPr>
        <w:t>, the Oklahoma Supreme Court held that the EDEA</w:t>
      </w:r>
      <w:r w:rsidR="00B62085">
        <w:rPr>
          <w:color w:val="000000" w:themeColor="text1"/>
        </w:rPr>
        <w:t>’</w:t>
      </w:r>
      <w:r w:rsidRPr="001A3FB3">
        <w:rPr>
          <w:color w:val="000000" w:themeColor="text1"/>
        </w:rPr>
        <w:t>s purported financial-fiduciary purpose was structurally incompatible with the exclusive-benefit command of Oklahoma</w:t>
      </w:r>
      <w:r w:rsidR="00B62085">
        <w:rPr>
          <w:color w:val="000000" w:themeColor="text1"/>
        </w:rPr>
        <w:t>’</w:t>
      </w:r>
      <w:r w:rsidRPr="001A3FB3">
        <w:rPr>
          <w:color w:val="000000" w:themeColor="text1"/>
        </w:rPr>
        <w:t>s pension constitutional clause.</w:t>
      </w:r>
      <w:r w:rsidRPr="001A3FB3">
        <w:rPr>
          <w:rStyle w:val="FootnoteReference"/>
          <w:color w:val="000000" w:themeColor="text1"/>
        </w:rPr>
        <w:footnoteReference w:id="229"/>
      </w:r>
      <w:r w:rsidRPr="001A3FB3">
        <w:rPr>
          <w:color w:val="000000" w:themeColor="text1"/>
        </w:rPr>
        <w:t xml:space="preserve"> And the empirical record shows what functional foreclosure looks like: within eight months of Texas SBs 13 and 19</w:t>
      </w:r>
      <w:r w:rsidR="00B62085">
        <w:rPr>
          <w:color w:val="000000" w:themeColor="text1"/>
        </w:rPr>
        <w:t>’</w:t>
      </w:r>
      <w:r w:rsidRPr="001A3FB3">
        <w:rPr>
          <w:color w:val="000000" w:themeColor="text1"/>
        </w:rPr>
        <w:t>s effective date, five of the largest U.S. municipal-bond underwriters exited the Texas market rather than attempt compliance, and Texas issuers paid an additional $300–500 million in interest on $31.8 billion of bond issuance—driven, the leading study finds, by a deterioration of underwriter competition rather than by any capacity constraint.</w:t>
      </w:r>
      <w:r w:rsidRPr="001A3FB3">
        <w:rPr>
          <w:rStyle w:val="FootnoteReference"/>
          <w:color w:val="000000" w:themeColor="text1"/>
        </w:rPr>
        <w:footnoteReference w:id="230"/>
      </w:r>
      <w:r w:rsidRPr="001A3FB3">
        <w:rPr>
          <w:color w:val="000000" w:themeColor="text1"/>
        </w:rPr>
        <w:t xml:space="preserve"> A formally available analytical input becomes functionally unavailable when documentation, attestation, designation, certification, and litigation-exposure regimes raise the cost of demonstrating compliance above the cost of foreclosing the input. The fiduciary </w:t>
      </w:r>
      <w:r w:rsidR="00CD6591">
        <w:rPr>
          <w:color w:val="000000" w:themeColor="text1"/>
        </w:rPr>
        <w:t xml:space="preserve">theoretical </w:t>
      </w:r>
      <w:r w:rsidRPr="001A3FB3">
        <w:rPr>
          <w:color w:val="000000" w:themeColor="text1"/>
        </w:rPr>
        <w:t xml:space="preserve">toolkit Schanzenbach and </w:t>
      </w:r>
      <w:proofErr w:type="spellStart"/>
      <w:r w:rsidRPr="001A3FB3">
        <w:rPr>
          <w:color w:val="000000" w:themeColor="text1"/>
        </w:rPr>
        <w:t>Sitkoff</w:t>
      </w:r>
      <w:proofErr w:type="spellEnd"/>
      <w:r w:rsidRPr="001A3FB3">
        <w:rPr>
          <w:color w:val="000000" w:themeColor="text1"/>
        </w:rPr>
        <w:t xml:space="preserve"> </w:t>
      </w:r>
      <w:r w:rsidR="00CD6591">
        <w:rPr>
          <w:color w:val="000000" w:themeColor="text1"/>
        </w:rPr>
        <w:t xml:space="preserve">and others </w:t>
      </w:r>
      <w:r w:rsidRPr="001A3FB3">
        <w:rPr>
          <w:color w:val="000000" w:themeColor="text1"/>
        </w:rPr>
        <w:t>describe polices trustee motive against a settled background of permissible risk-return inputs.</w:t>
      </w:r>
      <w:r w:rsidRPr="001A3FB3">
        <w:rPr>
          <w:rStyle w:val="FootnoteReference"/>
          <w:color w:val="000000" w:themeColor="text1"/>
        </w:rPr>
        <w:footnoteReference w:id="231"/>
      </w:r>
      <w:r w:rsidRPr="001A3FB3">
        <w:rPr>
          <w:color w:val="000000" w:themeColor="text1"/>
        </w:rPr>
        <w:t xml:space="preserve"> It is not designed to address a state legislature that preserves the </w:t>
      </w:r>
      <w:r w:rsidR="00CD6591">
        <w:rPr>
          <w:color w:val="000000" w:themeColor="text1"/>
        </w:rPr>
        <w:t xml:space="preserve">textual </w:t>
      </w:r>
      <w:r w:rsidRPr="001A3FB3">
        <w:rPr>
          <w:color w:val="000000" w:themeColor="text1"/>
        </w:rPr>
        <w:t xml:space="preserve">language of prudence while legislating the </w:t>
      </w:r>
      <w:r w:rsidR="00E160B7">
        <w:rPr>
          <w:color w:val="000000" w:themeColor="text1"/>
        </w:rPr>
        <w:t xml:space="preserve">individually disfavored </w:t>
      </w:r>
      <w:r w:rsidRPr="001A3FB3">
        <w:rPr>
          <w:color w:val="000000" w:themeColor="text1"/>
        </w:rPr>
        <w:t>background by fiat</w:t>
      </w:r>
      <w:r w:rsidR="00E160B7">
        <w:rPr>
          <w:color w:val="000000" w:themeColor="text1"/>
        </w:rPr>
        <w:t xml:space="preserve"> in the face of growing contradictory evidence across investors, supervisors, and scholars globally</w:t>
      </w:r>
      <w:r w:rsidRPr="001A3FB3">
        <w:rPr>
          <w:color w:val="000000" w:themeColor="text1"/>
        </w:rPr>
        <w:t xml:space="preserve">. The First Amendment, by contrast, supplies a doctrinal handle the fiduciary toolkit lacks. Restrictions on the analytical inputs that information professionals may consider or document operate as restrictions on speech, not merely on conduct: </w:t>
      </w:r>
      <w:r w:rsidR="00B62085">
        <w:rPr>
          <w:color w:val="000000" w:themeColor="text1"/>
        </w:rPr>
        <w:t>“</w:t>
      </w:r>
      <w:r w:rsidRPr="001A3FB3">
        <w:rPr>
          <w:color w:val="000000" w:themeColor="text1"/>
        </w:rPr>
        <w:t>the creation and dissemination of information are speech within the meaning of the First Amendment.</w:t>
      </w:r>
      <w:r w:rsidR="00B62085">
        <w:rPr>
          <w:color w:val="000000" w:themeColor="text1"/>
        </w:rPr>
        <w:t>”</w:t>
      </w:r>
      <w:r w:rsidRPr="001A3FB3">
        <w:rPr>
          <w:rStyle w:val="FootnoteReference"/>
          <w:color w:val="000000" w:themeColor="text1"/>
        </w:rPr>
        <w:footnoteReference w:id="232"/>
      </w:r>
    </w:p>
    <w:p w14:paraId="211DB165" w14:textId="016C2D4F" w:rsidR="005F5ACD" w:rsidRPr="001A3FB3" w:rsidRDefault="00000000">
      <w:pPr>
        <w:pStyle w:val="BodyText"/>
        <w:rPr>
          <w:color w:val="000000" w:themeColor="text1"/>
        </w:rPr>
      </w:pPr>
      <w:r w:rsidRPr="001A3FB3">
        <w:rPr>
          <w:color w:val="000000" w:themeColor="text1"/>
        </w:rPr>
        <w:t>The constitutional rule this analysis points toward can be stated in three sentences. The state may prescribe what a fiduciary must disclose; it may not prescribe what a fiduciary is permitted to know. The state may condition its financial relationships on a firm</w:t>
      </w:r>
      <w:r w:rsidR="00B62085">
        <w:rPr>
          <w:color w:val="000000" w:themeColor="text1"/>
        </w:rPr>
        <w:t>’</w:t>
      </w:r>
      <w:r w:rsidRPr="001A3FB3">
        <w:rPr>
          <w:color w:val="000000" w:themeColor="text1"/>
        </w:rPr>
        <w:t>s adherence to lawful market conduct; it may not condition those relationships on the firm</w:t>
      </w:r>
      <w:r w:rsidR="00B62085">
        <w:rPr>
          <w:color w:val="000000" w:themeColor="text1"/>
        </w:rPr>
        <w:t>’</w:t>
      </w:r>
      <w:r w:rsidRPr="001A3FB3">
        <w:rPr>
          <w:color w:val="000000" w:themeColor="text1"/>
        </w:rPr>
        <w:t>s analytical conclusions about what factors bear on investment returns</w:t>
      </w:r>
      <w:r w:rsidR="00E160B7">
        <w:rPr>
          <w:color w:val="000000" w:themeColor="text1"/>
        </w:rPr>
        <w:t>, and especially not on global conduct disconnected from such relationship.</w:t>
      </w:r>
      <w:r w:rsidRPr="001A3FB3">
        <w:rPr>
          <w:color w:val="000000" w:themeColor="text1"/>
        </w:rPr>
        <w:t xml:space="preserve"> The state may regulate the </w:t>
      </w:r>
      <w:r w:rsidR="00E160B7">
        <w:rPr>
          <w:color w:val="000000" w:themeColor="text1"/>
        </w:rPr>
        <w:t xml:space="preserve">standards around </w:t>
      </w:r>
      <w:r w:rsidRPr="001A3FB3">
        <w:rPr>
          <w:color w:val="000000" w:themeColor="text1"/>
        </w:rPr>
        <w:t xml:space="preserve">outputs of fiduciary decision-making; </w:t>
      </w:r>
      <w:r w:rsidR="00E160B7">
        <w:rPr>
          <w:color w:val="000000" w:themeColor="text1"/>
        </w:rPr>
        <w:t xml:space="preserve">but </w:t>
      </w:r>
      <w:r w:rsidRPr="001A3FB3">
        <w:rPr>
          <w:color w:val="000000" w:themeColor="text1"/>
        </w:rPr>
        <w:t>regulat</w:t>
      </w:r>
      <w:r w:rsidR="00E160B7">
        <w:rPr>
          <w:color w:val="000000" w:themeColor="text1"/>
        </w:rPr>
        <w:t>ing</w:t>
      </w:r>
      <w:r w:rsidRPr="001A3FB3">
        <w:rPr>
          <w:color w:val="000000" w:themeColor="text1"/>
        </w:rPr>
        <w:t xml:space="preserve"> inputs that inform it</w:t>
      </w:r>
      <w:r w:rsidR="00E160B7">
        <w:rPr>
          <w:color w:val="000000" w:themeColor="text1"/>
        </w:rPr>
        <w:t xml:space="preserve"> through rigid rules poses an entirely different question.</w:t>
      </w:r>
    </w:p>
    <w:p w14:paraId="0B2B3F7E" w14:textId="77777777" w:rsidR="005F5ACD" w:rsidRDefault="00000000">
      <w:pPr>
        <w:pStyle w:val="BodyText"/>
        <w:rPr>
          <w:color w:val="000000" w:themeColor="text1"/>
        </w:rPr>
      </w:pPr>
      <w:r w:rsidRPr="001A3FB3">
        <w:rPr>
          <w:color w:val="000000" w:themeColor="text1"/>
        </w:rPr>
        <w:t>The clause-level architecture this Article documents therefore turns less on whether a statute is Pro- or Anti-coded than on how it operates. State authority to set substantive pension-policy boundaries, to regulate public contracting, and to require factual professional or corporate disclosure is broad, and the institutional review of those exercises is correspondingly deferential. Other provisions cross into a different layer: they convert coalition membership into evidence of disqualification, require advisers to recite state-scripted characterizations of their own analytical basis, single out ESG-related proxy votes for special classification, or condition contracting eligibility on firmwide conduct unrelated to performance under the contract. These moves differ across Pro and Anti statutes and across actor categories—corporate issuers and directors, pension and ERISA fiduciaries, asset managers, proxy advisers, banks, insurers, state contractors, and the coalition signatories whose memberships the architecture reaches—but they raise a common institutional question: whether the state is regulating ends or preselecting the evidence on which professional and corporate judgment about contested financial risk is exercised. The point is not to favor ESG as such. It is to preserve the institutional space in which fiduciaries and corporate decision-makers evaluate financially material evidence before political classification controls.</w:t>
      </w:r>
    </w:p>
    <w:p w14:paraId="016AD211" w14:textId="77777777" w:rsidR="00E160B7" w:rsidRDefault="00E160B7">
      <w:pPr>
        <w:pStyle w:val="BodyText"/>
        <w:rPr>
          <w:color w:val="000000" w:themeColor="text1"/>
        </w:rPr>
      </w:pPr>
    </w:p>
    <w:p w14:paraId="38225B8E" w14:textId="77777777" w:rsidR="0006423C" w:rsidRDefault="0006423C" w:rsidP="0006423C">
      <w:pPr>
        <w:pStyle w:val="Heading1"/>
      </w:pPr>
      <w:bookmarkStart w:id="86" w:name="_Toc229502293"/>
      <w:r w:rsidRPr="002E78B0">
        <w:t>METHODOLOGY APPENDIX</w:t>
      </w:r>
      <w:bookmarkEnd w:id="86"/>
    </w:p>
    <w:p w14:paraId="191F37EC" w14:textId="77777777" w:rsidR="0006423C" w:rsidRPr="002E78B0" w:rsidRDefault="0006423C" w:rsidP="0006423C">
      <w:pPr>
        <w:pStyle w:val="BodyText"/>
        <w:ind w:firstLine="0"/>
        <w:rPr>
          <w:sz w:val="6"/>
          <w:szCs w:val="6"/>
        </w:rPr>
      </w:pPr>
    </w:p>
    <w:p w14:paraId="5DB10A56" w14:textId="227B9B1A" w:rsidR="0006423C" w:rsidRPr="002E78B0" w:rsidRDefault="0006423C" w:rsidP="0006423C">
      <w:pPr>
        <w:pStyle w:val="FirstParagraph"/>
        <w:spacing w:line="360" w:lineRule="auto"/>
        <w:rPr>
          <w:sz w:val="22"/>
          <w:szCs w:val="22"/>
        </w:rPr>
      </w:pPr>
      <w:r w:rsidRPr="002E78B0">
        <w:rPr>
          <w:sz w:val="22"/>
          <w:szCs w:val="22"/>
        </w:rPr>
        <w:t>This Appendix records the count conventions, universe definitions, and corpus-construction rules supporting the Article</w:t>
      </w:r>
      <w:r w:rsidR="00B62085">
        <w:rPr>
          <w:sz w:val="22"/>
          <w:szCs w:val="22"/>
        </w:rPr>
        <w:t>’</w:t>
      </w:r>
      <w:r w:rsidRPr="002E78B0">
        <w:rPr>
          <w:sz w:val="22"/>
          <w:szCs w:val="22"/>
        </w:rPr>
        <w:t>s empirical claims. It contains counting-unit, universe-funnel, enacted-corpus, Pro-comparator, climate-facing status, temporal-wave, sidecar-boundary, foreclosure-tier, and master-glossary tables (Tables A–H).</w:t>
      </w:r>
    </w:p>
    <w:p w14:paraId="6BE66885" w14:textId="77777777" w:rsidR="0006423C" w:rsidRPr="00FA1482" w:rsidRDefault="0006423C" w:rsidP="0006423C">
      <w:pPr>
        <w:pStyle w:val="Heading2"/>
        <w:rPr>
          <w:rFonts w:hint="cs"/>
        </w:rPr>
      </w:pPr>
      <w:bookmarkStart w:id="87" w:name="_Toc229502294"/>
      <w:r w:rsidRPr="00FA1482">
        <w:rPr>
          <w:rFonts w:hint="cs"/>
        </w:rPr>
        <w:t>A. Overview</w:t>
      </w:r>
      <w:bookmarkEnd w:id="87"/>
    </w:p>
    <w:p w14:paraId="0144AA03" w14:textId="33BCFA36"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 xml:space="preserve">The dataset is built at the clause level. Public bill labels often collapse legally different instruments into the same shorthand: a pension-fiduciary bill, a restricted-list procurement regime, a bank fair-access rule, an issuer-disclosure mandate, and a proxy-adviser statute may all be called </w:t>
      </w:r>
      <w:r w:rsidR="00B62085">
        <w:rPr>
          <w:rFonts w:cs="Times New Roman"/>
          <w:color w:val="000000" w:themeColor="text1"/>
        </w:rPr>
        <w:t>“</w:t>
      </w:r>
      <w:r w:rsidRPr="00FA1482">
        <w:rPr>
          <w:rFonts w:cs="Times New Roman" w:hint="cs"/>
          <w:color w:val="000000" w:themeColor="text1"/>
        </w:rPr>
        <w:t>ESG</w:t>
      </w:r>
      <w:r w:rsidR="00B62085">
        <w:rPr>
          <w:rFonts w:cs="Times New Roman"/>
          <w:color w:val="000000" w:themeColor="text1"/>
        </w:rPr>
        <w:t>”</w:t>
      </w:r>
      <w:r w:rsidRPr="00FA1482">
        <w:rPr>
          <w:rFonts w:cs="Times New Roman" w:hint="cs"/>
          <w:color w:val="000000" w:themeColor="text1"/>
        </w:rPr>
        <w:t xml:space="preserve"> legislation, but they regulate different actors through different legal channels. The coding therefore starts from operative text: definitions, commands, carveouts, evidence lists, enforcement provisions, disclosure duties, proxy and stewardship provisions, and actor-reach hooks.</w:t>
      </w:r>
    </w:p>
    <w:p w14:paraId="423AD396"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collection began with a broad state-legislative surface and then moved through nested filters. The full collection surface records source coverage. Substantive analysis begins with filtered ESG universes: broad ESG, corporate/financial ESG, core corporate/fiduciary ESG, and climate-facing ESG. Sidecar lanes–firearms-only, foreign-adversary/geopolitical, DEI/non-climate-social, energy-policy-only, federal-action-only, and other exclusions–remain visible as boundary checks and comparators rather than being silently merged into the climate denominator.</w:t>
      </w:r>
    </w:p>
    <w:p w14:paraId="65D3F88F"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Classification combined official-source normalization, structured machine labeling, clause-level evidence extraction, cross-model disagreement review, similarity analysis, and human legal review. Automated tools supplied first-pass labels and candidate relationships; operative text, definitions, public-act and codified-source records, companion-bill consolidation, and legal review controlled the final publication classifications.</w:t>
      </w:r>
    </w:p>
    <w:p w14:paraId="0FF36DCE" w14:textId="77777777" w:rsidR="0006423C" w:rsidRPr="00FA1482" w:rsidRDefault="0006423C" w:rsidP="0006423C">
      <w:pPr>
        <w:pStyle w:val="Heading2"/>
        <w:rPr>
          <w:rFonts w:hint="cs"/>
        </w:rPr>
      </w:pPr>
      <w:bookmarkStart w:id="88" w:name="_Toc229502295"/>
      <w:r w:rsidRPr="00FA1482">
        <w:rPr>
          <w:rFonts w:hint="cs"/>
        </w:rPr>
        <w:t>B. Source Collection and Normalization</w:t>
      </w:r>
      <w:bookmarkEnd w:id="88"/>
    </w:p>
    <w:p w14:paraId="08C821E0"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 xml:space="preserve">The source collection combined legislative-tracking data with official legal sources. </w:t>
      </w:r>
      <w:proofErr w:type="spellStart"/>
      <w:r w:rsidRPr="00FA1482">
        <w:rPr>
          <w:rFonts w:cs="Times New Roman" w:hint="cs"/>
          <w:color w:val="000000" w:themeColor="text1"/>
        </w:rPr>
        <w:t>LegiScan</w:t>
      </w:r>
      <w:proofErr w:type="spellEnd"/>
      <w:r w:rsidRPr="00FA1482">
        <w:rPr>
          <w:rFonts w:cs="Times New Roman" w:hint="cs"/>
          <w:color w:val="000000" w:themeColor="text1"/>
        </w:rPr>
        <w:t xml:space="preserve"> and BillTrack50 records supplied bill identifiers, session metadata, status histories, companion relationships, and initial text links. Ballotpedia, state legislative trackers, Pleiades Strategy materials, fiscal notes, attorney-general records, treasurer lists, pension-board materials, and litigation documents supplied additional public-source context for issue classification and enforcement history. Official state legislative pages, enrolled bills, session laws, codified statutes, fiscal notes, agency releases, and court records controlled final legal propositions.</w:t>
      </w:r>
    </w:p>
    <w:p w14:paraId="00C83E09"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Each candidate row was normalized to a stable bill key, state, session, status, stance, focus, mechanism, reach, legal-tool profile, and source-text status. Where a bill was enacted, the publication-facing citation was reconciled to codified law where available, then to session law or public act, then to enrolled bill or official legislative materials. Legislative trackers were used as discovery tools, not final legal authority when official text was available.</w:t>
      </w:r>
    </w:p>
    <w:p w14:paraId="1D008077" w14:textId="77777777" w:rsidR="0006423C" w:rsidRPr="00FA1482" w:rsidRDefault="0006423C" w:rsidP="0006423C">
      <w:pPr>
        <w:pStyle w:val="Heading2"/>
        <w:rPr>
          <w:rFonts w:hint="cs"/>
        </w:rPr>
      </w:pPr>
      <w:bookmarkStart w:id="89" w:name="_Toc229502296"/>
      <w:r w:rsidRPr="00FA1482">
        <w:rPr>
          <w:rFonts w:hint="cs"/>
        </w:rPr>
        <w:t>C. Counting Units</w:t>
      </w:r>
      <w:bookmarkEnd w:id="89"/>
    </w:p>
    <w:p w14:paraId="374D1A9E"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Different claims require different count grains. Annual observations measure legislative pressure over time. Filed bill records preserve source coverage and bill-text variation. Companion-collapsed bill groups consolidate chamber companions and close same-session variants into one bill group. When that group enacted, the text refers to it as one enacted statute or law.</w:t>
      </w:r>
    </w:p>
    <w:tbl>
      <w:tblPr>
        <w:tblStyle w:val="TableGrid"/>
        <w:tblW w:w="0" w:type="auto"/>
        <w:tblLook w:val="04A0" w:firstRow="1" w:lastRow="0" w:firstColumn="1" w:lastColumn="0" w:noHBand="0" w:noVBand="1"/>
      </w:tblPr>
      <w:tblGrid>
        <w:gridCol w:w="1165"/>
        <w:gridCol w:w="1800"/>
        <w:gridCol w:w="1080"/>
        <w:gridCol w:w="2880"/>
        <w:gridCol w:w="2425"/>
      </w:tblGrid>
      <w:tr w:rsidR="0006423C" w:rsidRPr="00FA1482" w14:paraId="4075E0A9" w14:textId="77777777" w:rsidTr="00DB0233">
        <w:tc>
          <w:tcPr>
            <w:tcW w:w="1165" w:type="dxa"/>
            <w:shd w:val="clear" w:color="auto" w:fill="EDEDED"/>
            <w:tcMar>
              <w:top w:w="70" w:type="dxa"/>
              <w:left w:w="70" w:type="dxa"/>
              <w:bottom w:w="70" w:type="dxa"/>
              <w:right w:w="70" w:type="dxa"/>
            </w:tcMar>
          </w:tcPr>
          <w:p w14:paraId="2402E605"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Code</w:t>
            </w:r>
          </w:p>
        </w:tc>
        <w:tc>
          <w:tcPr>
            <w:tcW w:w="1800" w:type="dxa"/>
            <w:shd w:val="clear" w:color="auto" w:fill="EDEDED"/>
            <w:tcMar>
              <w:top w:w="70" w:type="dxa"/>
              <w:left w:w="70" w:type="dxa"/>
              <w:bottom w:w="70" w:type="dxa"/>
              <w:right w:w="70" w:type="dxa"/>
            </w:tcMar>
          </w:tcPr>
          <w:p w14:paraId="1E3F1C0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Public label</w:t>
            </w:r>
          </w:p>
        </w:tc>
        <w:tc>
          <w:tcPr>
            <w:tcW w:w="1080" w:type="dxa"/>
            <w:shd w:val="clear" w:color="auto" w:fill="EDEDED"/>
            <w:tcMar>
              <w:top w:w="70" w:type="dxa"/>
              <w:left w:w="70" w:type="dxa"/>
              <w:bottom w:w="70" w:type="dxa"/>
              <w:right w:w="70" w:type="dxa"/>
            </w:tcMar>
          </w:tcPr>
          <w:p w14:paraId="76239DBF"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Count</w:t>
            </w:r>
          </w:p>
        </w:tc>
        <w:tc>
          <w:tcPr>
            <w:tcW w:w="2880" w:type="dxa"/>
            <w:shd w:val="clear" w:color="auto" w:fill="EDEDED"/>
            <w:tcMar>
              <w:top w:w="70" w:type="dxa"/>
              <w:left w:w="70" w:type="dxa"/>
              <w:bottom w:w="70" w:type="dxa"/>
              <w:right w:w="70" w:type="dxa"/>
            </w:tcMar>
          </w:tcPr>
          <w:p w14:paraId="4F679ABA"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What it measures</w:t>
            </w:r>
          </w:p>
        </w:tc>
        <w:tc>
          <w:tcPr>
            <w:tcW w:w="2425" w:type="dxa"/>
            <w:shd w:val="clear" w:color="auto" w:fill="EDEDED"/>
            <w:tcMar>
              <w:top w:w="70" w:type="dxa"/>
              <w:left w:w="70" w:type="dxa"/>
              <w:bottom w:w="70" w:type="dxa"/>
              <w:right w:w="70" w:type="dxa"/>
            </w:tcMar>
          </w:tcPr>
          <w:p w14:paraId="54A7B274"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Principal use</w:t>
            </w:r>
          </w:p>
        </w:tc>
      </w:tr>
      <w:tr w:rsidR="0006423C" w:rsidRPr="00FA1482" w14:paraId="1ED822CB" w14:textId="77777777" w:rsidTr="00DB0233">
        <w:tc>
          <w:tcPr>
            <w:tcW w:w="1165" w:type="dxa"/>
            <w:tcMar>
              <w:top w:w="70" w:type="dxa"/>
              <w:left w:w="70" w:type="dxa"/>
              <w:bottom w:w="70" w:type="dxa"/>
              <w:right w:w="70" w:type="dxa"/>
            </w:tcMar>
          </w:tcPr>
          <w:p w14:paraId="0538890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LY</w:t>
            </w:r>
          </w:p>
        </w:tc>
        <w:tc>
          <w:tcPr>
            <w:tcW w:w="1800" w:type="dxa"/>
            <w:tcMar>
              <w:top w:w="70" w:type="dxa"/>
              <w:left w:w="70" w:type="dxa"/>
              <w:bottom w:w="70" w:type="dxa"/>
              <w:right w:w="70" w:type="dxa"/>
            </w:tcMar>
          </w:tcPr>
          <w:p w14:paraId="64EE0FB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Annual attempts</w:t>
            </w:r>
          </w:p>
        </w:tc>
        <w:tc>
          <w:tcPr>
            <w:tcW w:w="1080" w:type="dxa"/>
            <w:tcMar>
              <w:top w:w="70" w:type="dxa"/>
              <w:left w:w="70" w:type="dxa"/>
              <w:bottom w:w="70" w:type="dxa"/>
              <w:right w:w="70" w:type="dxa"/>
            </w:tcMar>
          </w:tcPr>
          <w:p w14:paraId="1BDD931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1,524</w:t>
            </w:r>
          </w:p>
        </w:tc>
        <w:tc>
          <w:tcPr>
            <w:tcW w:w="2880" w:type="dxa"/>
            <w:tcMar>
              <w:top w:w="70" w:type="dxa"/>
              <w:left w:w="70" w:type="dxa"/>
              <w:bottom w:w="70" w:type="dxa"/>
              <w:right w:w="70" w:type="dxa"/>
            </w:tcMar>
          </w:tcPr>
          <w:p w14:paraId="1E61526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One year in which a filed bill was active; carryover bills can appear in more than one year.</w:t>
            </w:r>
          </w:p>
        </w:tc>
        <w:tc>
          <w:tcPr>
            <w:tcW w:w="2425" w:type="dxa"/>
            <w:tcMar>
              <w:top w:w="70" w:type="dxa"/>
              <w:left w:w="70" w:type="dxa"/>
              <w:bottom w:w="70" w:type="dxa"/>
              <w:right w:w="70" w:type="dxa"/>
            </w:tcMar>
          </w:tcPr>
          <w:p w14:paraId="16A3A40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Wave timing, annual pressure, agenda-setting.</w:t>
            </w:r>
          </w:p>
        </w:tc>
      </w:tr>
      <w:tr w:rsidR="0006423C" w:rsidRPr="00FA1482" w14:paraId="358F2742" w14:textId="77777777" w:rsidTr="00DB0233">
        <w:tc>
          <w:tcPr>
            <w:tcW w:w="1165" w:type="dxa"/>
            <w:tcMar>
              <w:top w:w="70" w:type="dxa"/>
              <w:left w:w="70" w:type="dxa"/>
              <w:bottom w:w="70" w:type="dxa"/>
              <w:right w:w="70" w:type="dxa"/>
            </w:tcMar>
          </w:tcPr>
          <w:p w14:paraId="64BB8A7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L2</w:t>
            </w:r>
          </w:p>
        </w:tc>
        <w:tc>
          <w:tcPr>
            <w:tcW w:w="1800" w:type="dxa"/>
            <w:tcMar>
              <w:top w:w="70" w:type="dxa"/>
              <w:left w:w="70" w:type="dxa"/>
              <w:bottom w:w="70" w:type="dxa"/>
              <w:right w:w="70" w:type="dxa"/>
            </w:tcMar>
          </w:tcPr>
          <w:p w14:paraId="09BB73A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Companion-collapsed bill groups</w:t>
            </w:r>
          </w:p>
        </w:tc>
        <w:tc>
          <w:tcPr>
            <w:tcW w:w="1080" w:type="dxa"/>
            <w:tcMar>
              <w:top w:w="70" w:type="dxa"/>
              <w:left w:w="70" w:type="dxa"/>
              <w:bottom w:w="70" w:type="dxa"/>
              <w:right w:w="70" w:type="dxa"/>
            </w:tcMar>
          </w:tcPr>
          <w:p w14:paraId="774FF27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1,059</w:t>
            </w:r>
          </w:p>
        </w:tc>
        <w:tc>
          <w:tcPr>
            <w:tcW w:w="2880" w:type="dxa"/>
            <w:tcMar>
              <w:top w:w="70" w:type="dxa"/>
              <w:left w:w="70" w:type="dxa"/>
              <w:bottom w:w="70" w:type="dxa"/>
              <w:right w:w="70" w:type="dxa"/>
            </w:tcMar>
          </w:tcPr>
          <w:p w14:paraId="5116305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House/Senate companions, special-session variants, and close same-session variants collapsed into one bill group.</w:t>
            </w:r>
          </w:p>
        </w:tc>
        <w:tc>
          <w:tcPr>
            <w:tcW w:w="2425" w:type="dxa"/>
            <w:tcMar>
              <w:top w:w="70" w:type="dxa"/>
              <w:left w:w="70" w:type="dxa"/>
              <w:bottom w:w="70" w:type="dxa"/>
              <w:right w:w="70" w:type="dxa"/>
            </w:tcMar>
          </w:tcPr>
          <w:p w14:paraId="5B49B41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Enactment rates, enacted-law counts, mechanism and reach distributions.</w:t>
            </w:r>
          </w:p>
        </w:tc>
      </w:tr>
      <w:tr w:rsidR="0006423C" w:rsidRPr="00FA1482" w14:paraId="2FB19290" w14:textId="77777777" w:rsidTr="00DB0233">
        <w:tc>
          <w:tcPr>
            <w:tcW w:w="1165" w:type="dxa"/>
            <w:tcMar>
              <w:top w:w="70" w:type="dxa"/>
              <w:left w:w="70" w:type="dxa"/>
              <w:bottom w:w="70" w:type="dxa"/>
              <w:right w:w="70" w:type="dxa"/>
            </w:tcMar>
          </w:tcPr>
          <w:p w14:paraId="4FE1D25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L1</w:t>
            </w:r>
          </w:p>
        </w:tc>
        <w:tc>
          <w:tcPr>
            <w:tcW w:w="1800" w:type="dxa"/>
            <w:tcMar>
              <w:top w:w="70" w:type="dxa"/>
              <w:left w:w="70" w:type="dxa"/>
              <w:bottom w:w="70" w:type="dxa"/>
              <w:right w:w="70" w:type="dxa"/>
            </w:tcMar>
          </w:tcPr>
          <w:p w14:paraId="254F126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Filed bill records</w:t>
            </w:r>
          </w:p>
        </w:tc>
        <w:tc>
          <w:tcPr>
            <w:tcW w:w="1080" w:type="dxa"/>
            <w:tcMar>
              <w:top w:w="70" w:type="dxa"/>
              <w:left w:w="70" w:type="dxa"/>
              <w:bottom w:w="70" w:type="dxa"/>
              <w:right w:w="70" w:type="dxa"/>
            </w:tcMar>
          </w:tcPr>
          <w:p w14:paraId="65818EC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1,204</w:t>
            </w:r>
          </w:p>
        </w:tc>
        <w:tc>
          <w:tcPr>
            <w:tcW w:w="2880" w:type="dxa"/>
            <w:tcMar>
              <w:top w:w="70" w:type="dxa"/>
              <w:left w:w="70" w:type="dxa"/>
              <w:bottom w:w="70" w:type="dxa"/>
              <w:right w:w="70" w:type="dxa"/>
            </w:tcMar>
          </w:tcPr>
          <w:p w14:paraId="364F12D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One filed bill-number vehicle; companions remain separate.</w:t>
            </w:r>
          </w:p>
        </w:tc>
        <w:tc>
          <w:tcPr>
            <w:tcW w:w="2425" w:type="dxa"/>
            <w:tcMar>
              <w:top w:w="70" w:type="dxa"/>
              <w:left w:w="70" w:type="dxa"/>
              <w:bottom w:w="70" w:type="dxa"/>
              <w:right w:w="70" w:type="dxa"/>
            </w:tcMar>
          </w:tcPr>
          <w:p w14:paraId="129315A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Source coverage, text review, citation/source reconciliation.</w:t>
            </w:r>
          </w:p>
        </w:tc>
      </w:tr>
      <w:tr w:rsidR="0006423C" w:rsidRPr="00FA1482" w14:paraId="0487A175" w14:textId="77777777" w:rsidTr="00DB0233">
        <w:tc>
          <w:tcPr>
            <w:tcW w:w="1165" w:type="dxa"/>
            <w:tcMar>
              <w:top w:w="70" w:type="dxa"/>
              <w:left w:w="70" w:type="dxa"/>
              <w:bottom w:w="70" w:type="dxa"/>
              <w:right w:w="70" w:type="dxa"/>
            </w:tcMar>
          </w:tcPr>
          <w:p w14:paraId="4A50665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L3</w:t>
            </w:r>
          </w:p>
        </w:tc>
        <w:tc>
          <w:tcPr>
            <w:tcW w:w="1800" w:type="dxa"/>
            <w:tcMar>
              <w:top w:w="70" w:type="dxa"/>
              <w:left w:w="70" w:type="dxa"/>
              <w:bottom w:w="70" w:type="dxa"/>
              <w:right w:w="70" w:type="dxa"/>
            </w:tcMar>
          </w:tcPr>
          <w:p w14:paraId="0972209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Policy lineages/packages</w:t>
            </w:r>
          </w:p>
        </w:tc>
        <w:tc>
          <w:tcPr>
            <w:tcW w:w="1080" w:type="dxa"/>
            <w:tcMar>
              <w:top w:w="70" w:type="dxa"/>
              <w:left w:w="70" w:type="dxa"/>
              <w:bottom w:w="70" w:type="dxa"/>
              <w:right w:w="70" w:type="dxa"/>
            </w:tcMar>
          </w:tcPr>
          <w:p w14:paraId="7A5A3C8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943</w:t>
            </w:r>
          </w:p>
        </w:tc>
        <w:tc>
          <w:tcPr>
            <w:tcW w:w="2880" w:type="dxa"/>
            <w:tcMar>
              <w:top w:w="70" w:type="dxa"/>
              <w:left w:w="70" w:type="dxa"/>
              <w:bottom w:w="70" w:type="dxa"/>
              <w:right w:w="70" w:type="dxa"/>
            </w:tcMar>
          </w:tcPr>
          <w:p w14:paraId="72D07C1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Broader policy family or package grouping across related vehicles.</w:t>
            </w:r>
          </w:p>
        </w:tc>
        <w:tc>
          <w:tcPr>
            <w:tcW w:w="2425" w:type="dxa"/>
            <w:tcMar>
              <w:top w:w="70" w:type="dxa"/>
              <w:left w:w="70" w:type="dxa"/>
              <w:bottom w:w="70" w:type="dxa"/>
              <w:right w:w="70" w:type="dxa"/>
            </w:tcMar>
          </w:tcPr>
          <w:p w14:paraId="4335DDB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Diffusion, template families, package tracking.</w:t>
            </w:r>
          </w:p>
        </w:tc>
      </w:tr>
    </w:tbl>
    <w:p w14:paraId="6249AF2A" w14:textId="77777777" w:rsidR="0006423C" w:rsidRPr="00FA1482" w:rsidRDefault="0006423C" w:rsidP="0006423C">
      <w:pPr>
        <w:pStyle w:val="AppendixBodyNoIndent"/>
        <w:rPr>
          <w:rFonts w:cs="Times New Roman" w:hint="cs"/>
          <w:color w:val="000000" w:themeColor="text1"/>
        </w:rPr>
      </w:pPr>
    </w:p>
    <w:p w14:paraId="3FD1B7CC" w14:textId="6C286219"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 xml:space="preserve">The body uses ordinary terms such as </w:t>
      </w:r>
      <w:r w:rsidR="00B62085">
        <w:rPr>
          <w:rFonts w:cs="Times New Roman"/>
          <w:color w:val="000000" w:themeColor="text1"/>
        </w:rPr>
        <w:t>“</w:t>
      </w:r>
      <w:r w:rsidRPr="00FA1482">
        <w:rPr>
          <w:rFonts w:cs="Times New Roman" w:hint="cs"/>
          <w:color w:val="000000" w:themeColor="text1"/>
        </w:rPr>
        <w:t>annual attempts,</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enacted statutes,</w:t>
      </w:r>
      <w:r w:rsidR="00B62085">
        <w:rPr>
          <w:rFonts w:cs="Times New Roman"/>
          <w:color w:val="000000" w:themeColor="text1"/>
        </w:rPr>
        <w:t>”</w:t>
      </w:r>
      <w:r w:rsidRPr="00FA1482">
        <w:rPr>
          <w:rFonts w:cs="Times New Roman" w:hint="cs"/>
          <w:color w:val="000000" w:themeColor="text1"/>
        </w:rPr>
        <w:t xml:space="preserve"> and </w:t>
      </w:r>
      <w:r w:rsidR="00B62085">
        <w:rPr>
          <w:rFonts w:cs="Times New Roman"/>
          <w:color w:val="000000" w:themeColor="text1"/>
        </w:rPr>
        <w:t>“</w:t>
      </w:r>
      <w:r w:rsidRPr="00FA1482">
        <w:rPr>
          <w:rFonts w:cs="Times New Roman" w:hint="cs"/>
          <w:color w:val="000000" w:themeColor="text1"/>
        </w:rPr>
        <w:t>companion-collapsed laws.</w:t>
      </w:r>
      <w:r w:rsidR="00B62085">
        <w:rPr>
          <w:rFonts w:cs="Times New Roman"/>
          <w:color w:val="000000" w:themeColor="text1"/>
        </w:rPr>
        <w:t>”</w:t>
      </w:r>
      <w:r w:rsidRPr="00FA1482">
        <w:rPr>
          <w:rFonts w:cs="Times New Roman" w:hint="cs"/>
          <w:color w:val="000000" w:themeColor="text1"/>
        </w:rPr>
        <w:t xml:space="preserve"> The technical L2 grain is the companion-collapsed bill group.</w:t>
      </w:r>
    </w:p>
    <w:p w14:paraId="6B84E945" w14:textId="77777777" w:rsidR="0006423C" w:rsidRPr="00FA1482" w:rsidRDefault="0006423C" w:rsidP="0006423C">
      <w:pPr>
        <w:pStyle w:val="Heading2"/>
        <w:rPr>
          <w:rFonts w:hint="cs"/>
        </w:rPr>
      </w:pPr>
      <w:bookmarkStart w:id="90" w:name="_Toc229502297"/>
      <w:r w:rsidRPr="00FA1482">
        <w:rPr>
          <w:rFonts w:hint="cs"/>
        </w:rPr>
        <w:t>D. Universe Funnel</w:t>
      </w:r>
      <w:bookmarkEnd w:id="90"/>
    </w:p>
    <w:p w14:paraId="64F5E5F0"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dataset uses nested universes rather than a single all-purpose ESG denominator. The full collection surface is retained for transparency. The filtered universes carry the substantive claims.</w:t>
      </w:r>
    </w:p>
    <w:tbl>
      <w:tblPr>
        <w:tblStyle w:val="TableGrid"/>
        <w:tblW w:w="0" w:type="auto"/>
        <w:tblLook w:val="04A0" w:firstRow="1" w:lastRow="0" w:firstColumn="1" w:lastColumn="0" w:noHBand="0" w:noVBand="1"/>
      </w:tblPr>
      <w:tblGrid>
        <w:gridCol w:w="1979"/>
        <w:gridCol w:w="1166"/>
        <w:gridCol w:w="1440"/>
        <w:gridCol w:w="1260"/>
        <w:gridCol w:w="3505"/>
      </w:tblGrid>
      <w:tr w:rsidR="0006423C" w:rsidRPr="00FA1482" w14:paraId="72E84FEF" w14:textId="77777777" w:rsidTr="0046034B">
        <w:tc>
          <w:tcPr>
            <w:tcW w:w="1979" w:type="dxa"/>
            <w:shd w:val="clear" w:color="auto" w:fill="EDEDED"/>
            <w:tcMar>
              <w:top w:w="70" w:type="dxa"/>
              <w:left w:w="70" w:type="dxa"/>
              <w:bottom w:w="70" w:type="dxa"/>
              <w:right w:w="70" w:type="dxa"/>
            </w:tcMar>
          </w:tcPr>
          <w:p w14:paraId="48831B5A"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Universe</w:t>
            </w:r>
          </w:p>
        </w:tc>
        <w:tc>
          <w:tcPr>
            <w:tcW w:w="1166" w:type="dxa"/>
            <w:shd w:val="clear" w:color="auto" w:fill="EDEDED"/>
            <w:tcMar>
              <w:top w:w="70" w:type="dxa"/>
              <w:left w:w="70" w:type="dxa"/>
              <w:bottom w:w="70" w:type="dxa"/>
              <w:right w:w="70" w:type="dxa"/>
            </w:tcMar>
          </w:tcPr>
          <w:p w14:paraId="68BD2C80"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Annual attempts</w:t>
            </w:r>
          </w:p>
        </w:tc>
        <w:tc>
          <w:tcPr>
            <w:tcW w:w="1440" w:type="dxa"/>
            <w:shd w:val="clear" w:color="auto" w:fill="EDEDED"/>
            <w:tcMar>
              <w:top w:w="70" w:type="dxa"/>
              <w:left w:w="70" w:type="dxa"/>
              <w:bottom w:w="70" w:type="dxa"/>
              <w:right w:w="70" w:type="dxa"/>
            </w:tcMar>
          </w:tcPr>
          <w:p w14:paraId="3C611E6A"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Companion-collapsed bill groups</w:t>
            </w:r>
          </w:p>
        </w:tc>
        <w:tc>
          <w:tcPr>
            <w:tcW w:w="1260" w:type="dxa"/>
            <w:shd w:val="clear" w:color="auto" w:fill="EDEDED"/>
            <w:tcMar>
              <w:top w:w="70" w:type="dxa"/>
              <w:left w:w="70" w:type="dxa"/>
              <w:bottom w:w="70" w:type="dxa"/>
              <w:right w:w="70" w:type="dxa"/>
            </w:tcMar>
          </w:tcPr>
          <w:p w14:paraId="74D8A245"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Filed bill records</w:t>
            </w:r>
          </w:p>
        </w:tc>
        <w:tc>
          <w:tcPr>
            <w:tcW w:w="3505" w:type="dxa"/>
            <w:shd w:val="clear" w:color="auto" w:fill="EDEDED"/>
            <w:tcMar>
              <w:top w:w="70" w:type="dxa"/>
              <w:left w:w="70" w:type="dxa"/>
              <w:bottom w:w="70" w:type="dxa"/>
              <w:right w:w="70" w:type="dxa"/>
            </w:tcMar>
          </w:tcPr>
          <w:p w14:paraId="35D62222"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Use</w:t>
            </w:r>
          </w:p>
        </w:tc>
      </w:tr>
      <w:tr w:rsidR="0006423C" w:rsidRPr="00FA1482" w14:paraId="4DECD0C1" w14:textId="77777777" w:rsidTr="0046034B">
        <w:tc>
          <w:tcPr>
            <w:tcW w:w="1979" w:type="dxa"/>
            <w:tcMar>
              <w:top w:w="70" w:type="dxa"/>
              <w:left w:w="70" w:type="dxa"/>
              <w:bottom w:w="70" w:type="dxa"/>
              <w:right w:w="70" w:type="dxa"/>
            </w:tcMar>
          </w:tcPr>
          <w:p w14:paraId="554F7F0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Full collection surface</w:t>
            </w:r>
          </w:p>
        </w:tc>
        <w:tc>
          <w:tcPr>
            <w:tcW w:w="1166" w:type="dxa"/>
            <w:tcMar>
              <w:top w:w="70" w:type="dxa"/>
              <w:left w:w="70" w:type="dxa"/>
              <w:bottom w:w="70" w:type="dxa"/>
              <w:right w:w="70" w:type="dxa"/>
            </w:tcMar>
          </w:tcPr>
          <w:p w14:paraId="65C83AE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1,524</w:t>
            </w:r>
          </w:p>
        </w:tc>
        <w:tc>
          <w:tcPr>
            <w:tcW w:w="1440" w:type="dxa"/>
            <w:tcMar>
              <w:top w:w="70" w:type="dxa"/>
              <w:left w:w="70" w:type="dxa"/>
              <w:bottom w:w="70" w:type="dxa"/>
              <w:right w:w="70" w:type="dxa"/>
            </w:tcMar>
          </w:tcPr>
          <w:p w14:paraId="4D87AAB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1,059</w:t>
            </w:r>
          </w:p>
        </w:tc>
        <w:tc>
          <w:tcPr>
            <w:tcW w:w="1260" w:type="dxa"/>
            <w:tcMar>
              <w:top w:w="70" w:type="dxa"/>
              <w:left w:w="70" w:type="dxa"/>
              <w:bottom w:w="70" w:type="dxa"/>
              <w:right w:w="70" w:type="dxa"/>
            </w:tcMar>
          </w:tcPr>
          <w:p w14:paraId="68AC4A2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1,204</w:t>
            </w:r>
          </w:p>
        </w:tc>
        <w:tc>
          <w:tcPr>
            <w:tcW w:w="3505" w:type="dxa"/>
            <w:tcMar>
              <w:top w:w="70" w:type="dxa"/>
              <w:left w:w="70" w:type="dxa"/>
              <w:bottom w:w="70" w:type="dxa"/>
              <w:right w:w="70" w:type="dxa"/>
            </w:tcMar>
          </w:tcPr>
          <w:p w14:paraId="34A58BB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Source collection and filtering transparency; includes hard non-ESG false positives and general-retirement-only rows.</w:t>
            </w:r>
          </w:p>
        </w:tc>
      </w:tr>
      <w:tr w:rsidR="0006423C" w:rsidRPr="00FA1482" w14:paraId="0B65F51C" w14:textId="77777777" w:rsidTr="0046034B">
        <w:tc>
          <w:tcPr>
            <w:tcW w:w="1979" w:type="dxa"/>
            <w:tcMar>
              <w:top w:w="70" w:type="dxa"/>
              <w:left w:w="70" w:type="dxa"/>
              <w:bottom w:w="70" w:type="dxa"/>
              <w:right w:w="70" w:type="dxa"/>
            </w:tcMar>
          </w:tcPr>
          <w:p w14:paraId="1111529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 ESG universe</w:t>
            </w:r>
          </w:p>
        </w:tc>
        <w:tc>
          <w:tcPr>
            <w:tcW w:w="1166" w:type="dxa"/>
            <w:tcMar>
              <w:top w:w="70" w:type="dxa"/>
              <w:left w:w="70" w:type="dxa"/>
              <w:bottom w:w="70" w:type="dxa"/>
              <w:right w:w="70" w:type="dxa"/>
            </w:tcMar>
          </w:tcPr>
          <w:p w14:paraId="6099E92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1,329</w:t>
            </w:r>
          </w:p>
        </w:tc>
        <w:tc>
          <w:tcPr>
            <w:tcW w:w="1440" w:type="dxa"/>
            <w:tcMar>
              <w:top w:w="70" w:type="dxa"/>
              <w:left w:w="70" w:type="dxa"/>
              <w:bottom w:w="70" w:type="dxa"/>
              <w:right w:w="70" w:type="dxa"/>
            </w:tcMar>
          </w:tcPr>
          <w:p w14:paraId="0B91906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911</w:t>
            </w:r>
          </w:p>
        </w:tc>
        <w:tc>
          <w:tcPr>
            <w:tcW w:w="1260" w:type="dxa"/>
            <w:tcMar>
              <w:top w:w="70" w:type="dxa"/>
              <w:left w:w="70" w:type="dxa"/>
              <w:bottom w:w="70" w:type="dxa"/>
              <w:right w:w="70" w:type="dxa"/>
            </w:tcMar>
          </w:tcPr>
          <w:p w14:paraId="6A5C703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1,048</w:t>
            </w:r>
          </w:p>
        </w:tc>
        <w:tc>
          <w:tcPr>
            <w:tcW w:w="3505" w:type="dxa"/>
            <w:tcMar>
              <w:top w:w="70" w:type="dxa"/>
              <w:left w:w="70" w:type="dxa"/>
              <w:bottom w:w="70" w:type="dxa"/>
              <w:right w:w="70" w:type="dxa"/>
            </w:tcMar>
          </w:tcPr>
          <w:p w14:paraId="774ACB4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Largest filtered ESG-adjacent surface after hard false-positive and general-retirement exclusions.</w:t>
            </w:r>
          </w:p>
        </w:tc>
      </w:tr>
      <w:tr w:rsidR="0006423C" w:rsidRPr="00FA1482" w14:paraId="0A603D24" w14:textId="77777777" w:rsidTr="0046034B">
        <w:tc>
          <w:tcPr>
            <w:tcW w:w="1979" w:type="dxa"/>
            <w:tcMar>
              <w:top w:w="70" w:type="dxa"/>
              <w:left w:w="70" w:type="dxa"/>
              <w:bottom w:w="70" w:type="dxa"/>
              <w:right w:w="70" w:type="dxa"/>
            </w:tcMar>
          </w:tcPr>
          <w:p w14:paraId="6178E63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Corporate/financial ESG universe</w:t>
            </w:r>
          </w:p>
        </w:tc>
        <w:tc>
          <w:tcPr>
            <w:tcW w:w="1166" w:type="dxa"/>
            <w:tcMar>
              <w:top w:w="70" w:type="dxa"/>
              <w:left w:w="70" w:type="dxa"/>
              <w:bottom w:w="70" w:type="dxa"/>
              <w:right w:w="70" w:type="dxa"/>
            </w:tcMar>
          </w:tcPr>
          <w:p w14:paraId="762400C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1,125</w:t>
            </w:r>
          </w:p>
        </w:tc>
        <w:tc>
          <w:tcPr>
            <w:tcW w:w="1440" w:type="dxa"/>
            <w:tcMar>
              <w:top w:w="70" w:type="dxa"/>
              <w:left w:w="70" w:type="dxa"/>
              <w:bottom w:w="70" w:type="dxa"/>
              <w:right w:w="70" w:type="dxa"/>
            </w:tcMar>
          </w:tcPr>
          <w:p w14:paraId="5E3DB7D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769</w:t>
            </w:r>
          </w:p>
        </w:tc>
        <w:tc>
          <w:tcPr>
            <w:tcW w:w="1260" w:type="dxa"/>
            <w:tcMar>
              <w:top w:w="70" w:type="dxa"/>
              <w:left w:w="70" w:type="dxa"/>
              <w:bottom w:w="70" w:type="dxa"/>
              <w:right w:w="70" w:type="dxa"/>
            </w:tcMar>
          </w:tcPr>
          <w:p w14:paraId="00C38BB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893</w:t>
            </w:r>
          </w:p>
        </w:tc>
        <w:tc>
          <w:tcPr>
            <w:tcW w:w="3505" w:type="dxa"/>
            <w:tcMar>
              <w:top w:w="70" w:type="dxa"/>
              <w:left w:w="70" w:type="dxa"/>
              <w:bottom w:w="70" w:type="dxa"/>
              <w:right w:w="70" w:type="dxa"/>
            </w:tcMar>
          </w:tcPr>
          <w:p w14:paraId="68D339E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Market-facing ESG activity with a corporate, fiduciary, investor, financial-sector, contracting, proxy, disclosure, or market-conduct nexus.</w:t>
            </w:r>
          </w:p>
        </w:tc>
      </w:tr>
      <w:tr w:rsidR="0006423C" w:rsidRPr="00FA1482" w14:paraId="345D95EC" w14:textId="77777777" w:rsidTr="0046034B">
        <w:tc>
          <w:tcPr>
            <w:tcW w:w="1979" w:type="dxa"/>
            <w:tcMar>
              <w:top w:w="70" w:type="dxa"/>
              <w:left w:w="70" w:type="dxa"/>
              <w:bottom w:w="70" w:type="dxa"/>
              <w:right w:w="70" w:type="dxa"/>
            </w:tcMar>
          </w:tcPr>
          <w:p w14:paraId="2916493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Corporate/financial ESG plus energy sensitivity</w:t>
            </w:r>
          </w:p>
        </w:tc>
        <w:tc>
          <w:tcPr>
            <w:tcW w:w="1166" w:type="dxa"/>
            <w:tcMar>
              <w:top w:w="70" w:type="dxa"/>
              <w:left w:w="70" w:type="dxa"/>
              <w:bottom w:w="70" w:type="dxa"/>
              <w:right w:w="70" w:type="dxa"/>
            </w:tcMar>
          </w:tcPr>
          <w:p w14:paraId="5702E91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1,249</w:t>
            </w:r>
          </w:p>
        </w:tc>
        <w:tc>
          <w:tcPr>
            <w:tcW w:w="1440" w:type="dxa"/>
            <w:tcMar>
              <w:top w:w="70" w:type="dxa"/>
              <w:left w:w="70" w:type="dxa"/>
              <w:bottom w:w="70" w:type="dxa"/>
              <w:right w:w="70" w:type="dxa"/>
            </w:tcMar>
          </w:tcPr>
          <w:p w14:paraId="25B40C3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856</w:t>
            </w:r>
          </w:p>
        </w:tc>
        <w:tc>
          <w:tcPr>
            <w:tcW w:w="1260" w:type="dxa"/>
            <w:tcMar>
              <w:top w:w="70" w:type="dxa"/>
              <w:left w:w="70" w:type="dxa"/>
              <w:bottom w:w="70" w:type="dxa"/>
              <w:right w:w="70" w:type="dxa"/>
            </w:tcMar>
          </w:tcPr>
          <w:p w14:paraId="0745680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980</w:t>
            </w:r>
          </w:p>
        </w:tc>
        <w:tc>
          <w:tcPr>
            <w:tcW w:w="3505" w:type="dxa"/>
            <w:tcMar>
              <w:top w:w="70" w:type="dxa"/>
              <w:left w:w="70" w:type="dxa"/>
              <w:bottom w:w="70" w:type="dxa"/>
              <w:right w:w="70" w:type="dxa"/>
            </w:tcMar>
          </w:tcPr>
          <w:p w14:paraId="0CB5C54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Sensitivity lane adding energy-policy-only rows back into the corporate/financial surface.</w:t>
            </w:r>
          </w:p>
        </w:tc>
      </w:tr>
      <w:tr w:rsidR="0006423C" w:rsidRPr="00FA1482" w14:paraId="5B7ADD3C" w14:textId="77777777" w:rsidTr="0046034B">
        <w:tc>
          <w:tcPr>
            <w:tcW w:w="1979" w:type="dxa"/>
            <w:tcMar>
              <w:top w:w="70" w:type="dxa"/>
              <w:left w:w="70" w:type="dxa"/>
              <w:bottom w:w="70" w:type="dxa"/>
              <w:right w:w="70" w:type="dxa"/>
            </w:tcMar>
          </w:tcPr>
          <w:p w14:paraId="054D5ED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Core corporate/fiduciary ESG universe</w:t>
            </w:r>
          </w:p>
        </w:tc>
        <w:tc>
          <w:tcPr>
            <w:tcW w:w="1166" w:type="dxa"/>
            <w:tcMar>
              <w:top w:w="70" w:type="dxa"/>
              <w:left w:w="70" w:type="dxa"/>
              <w:bottom w:w="70" w:type="dxa"/>
              <w:right w:w="70" w:type="dxa"/>
            </w:tcMar>
          </w:tcPr>
          <w:p w14:paraId="043D463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909</w:t>
            </w:r>
          </w:p>
        </w:tc>
        <w:tc>
          <w:tcPr>
            <w:tcW w:w="1440" w:type="dxa"/>
            <w:tcMar>
              <w:top w:w="70" w:type="dxa"/>
              <w:left w:w="70" w:type="dxa"/>
              <w:bottom w:w="70" w:type="dxa"/>
              <w:right w:w="70" w:type="dxa"/>
            </w:tcMar>
          </w:tcPr>
          <w:p w14:paraId="3DBB5E1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604</w:t>
            </w:r>
          </w:p>
        </w:tc>
        <w:tc>
          <w:tcPr>
            <w:tcW w:w="1260" w:type="dxa"/>
            <w:tcMar>
              <w:top w:w="70" w:type="dxa"/>
              <w:left w:w="70" w:type="dxa"/>
              <w:bottom w:w="70" w:type="dxa"/>
              <w:right w:w="70" w:type="dxa"/>
            </w:tcMar>
          </w:tcPr>
          <w:p w14:paraId="58161F8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726</w:t>
            </w:r>
          </w:p>
        </w:tc>
        <w:tc>
          <w:tcPr>
            <w:tcW w:w="3505" w:type="dxa"/>
            <w:tcMar>
              <w:top w:w="70" w:type="dxa"/>
              <w:left w:w="70" w:type="dxa"/>
              <w:bottom w:w="70" w:type="dxa"/>
              <w:right w:w="70" w:type="dxa"/>
            </w:tcMar>
          </w:tcPr>
          <w:p w14:paraId="63C36EB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Primary non-sidecar corporate/fiduciary universe after removing energy-program-only rows and the most politically distinct sidecars.</w:t>
            </w:r>
          </w:p>
        </w:tc>
      </w:tr>
      <w:tr w:rsidR="0006423C" w:rsidRPr="00FA1482" w14:paraId="4C9C0852" w14:textId="77777777" w:rsidTr="0046034B">
        <w:tc>
          <w:tcPr>
            <w:tcW w:w="1979" w:type="dxa"/>
            <w:tcMar>
              <w:top w:w="70" w:type="dxa"/>
              <w:left w:w="70" w:type="dxa"/>
              <w:bottom w:w="70" w:type="dxa"/>
              <w:right w:w="70" w:type="dxa"/>
            </w:tcMar>
          </w:tcPr>
          <w:p w14:paraId="13862B9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 universe</w:t>
            </w:r>
          </w:p>
        </w:tc>
        <w:tc>
          <w:tcPr>
            <w:tcW w:w="1166" w:type="dxa"/>
            <w:tcMar>
              <w:top w:w="70" w:type="dxa"/>
              <w:left w:w="70" w:type="dxa"/>
              <w:bottom w:w="70" w:type="dxa"/>
              <w:right w:w="70" w:type="dxa"/>
            </w:tcMar>
          </w:tcPr>
          <w:p w14:paraId="1D428C0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739</w:t>
            </w:r>
          </w:p>
        </w:tc>
        <w:tc>
          <w:tcPr>
            <w:tcW w:w="1440" w:type="dxa"/>
            <w:tcMar>
              <w:top w:w="70" w:type="dxa"/>
              <w:left w:w="70" w:type="dxa"/>
              <w:bottom w:w="70" w:type="dxa"/>
              <w:right w:w="70" w:type="dxa"/>
            </w:tcMar>
          </w:tcPr>
          <w:p w14:paraId="1D01E7E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492</w:t>
            </w:r>
          </w:p>
        </w:tc>
        <w:tc>
          <w:tcPr>
            <w:tcW w:w="1260" w:type="dxa"/>
            <w:tcMar>
              <w:top w:w="70" w:type="dxa"/>
              <w:left w:w="70" w:type="dxa"/>
              <w:bottom w:w="70" w:type="dxa"/>
              <w:right w:w="70" w:type="dxa"/>
            </w:tcMar>
          </w:tcPr>
          <w:p w14:paraId="6D29F46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595</w:t>
            </w:r>
          </w:p>
        </w:tc>
        <w:tc>
          <w:tcPr>
            <w:tcW w:w="3505" w:type="dxa"/>
            <w:tcMar>
              <w:top w:w="70" w:type="dxa"/>
              <w:left w:w="70" w:type="dxa"/>
              <w:bottom w:w="70" w:type="dxa"/>
              <w:right w:w="70" w:type="dxa"/>
            </w:tcMar>
          </w:tcPr>
          <w:p w14:paraId="7D915CA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Climate-explicit, climate-implicit, and broad-ESG provisions that can plausibly affect climate-related financial analysis or market conduct.</w:t>
            </w:r>
          </w:p>
        </w:tc>
      </w:tr>
      <w:tr w:rsidR="0006423C" w:rsidRPr="00FA1482" w14:paraId="44DFCF97" w14:textId="77777777" w:rsidTr="0046034B">
        <w:tc>
          <w:tcPr>
            <w:tcW w:w="1979" w:type="dxa"/>
            <w:tcMar>
              <w:top w:w="70" w:type="dxa"/>
              <w:left w:w="70" w:type="dxa"/>
              <w:bottom w:w="70" w:type="dxa"/>
              <w:right w:w="70" w:type="dxa"/>
            </w:tcMar>
          </w:tcPr>
          <w:p w14:paraId="18F81EA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DEI/NCS diagnostic sidecar</w:t>
            </w:r>
          </w:p>
        </w:tc>
        <w:tc>
          <w:tcPr>
            <w:tcW w:w="1166" w:type="dxa"/>
            <w:tcMar>
              <w:top w:w="70" w:type="dxa"/>
              <w:left w:w="70" w:type="dxa"/>
              <w:bottom w:w="70" w:type="dxa"/>
              <w:right w:w="70" w:type="dxa"/>
            </w:tcMar>
          </w:tcPr>
          <w:p w14:paraId="01BD105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146</w:t>
            </w:r>
          </w:p>
        </w:tc>
        <w:tc>
          <w:tcPr>
            <w:tcW w:w="1440" w:type="dxa"/>
            <w:tcMar>
              <w:top w:w="70" w:type="dxa"/>
              <w:left w:w="70" w:type="dxa"/>
              <w:bottom w:w="70" w:type="dxa"/>
              <w:right w:w="70" w:type="dxa"/>
            </w:tcMar>
          </w:tcPr>
          <w:p w14:paraId="4D279B8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100</w:t>
            </w:r>
          </w:p>
        </w:tc>
        <w:tc>
          <w:tcPr>
            <w:tcW w:w="1260" w:type="dxa"/>
            <w:tcMar>
              <w:top w:w="70" w:type="dxa"/>
              <w:left w:w="70" w:type="dxa"/>
              <w:bottom w:w="70" w:type="dxa"/>
              <w:right w:w="70" w:type="dxa"/>
            </w:tcMar>
          </w:tcPr>
          <w:p w14:paraId="0385D14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116</w:t>
            </w:r>
          </w:p>
        </w:tc>
        <w:tc>
          <w:tcPr>
            <w:tcW w:w="3505" w:type="dxa"/>
            <w:tcMar>
              <w:top w:w="70" w:type="dxa"/>
              <w:left w:w="70" w:type="dxa"/>
              <w:bottom w:w="70" w:type="dxa"/>
              <w:right w:w="70" w:type="dxa"/>
            </w:tcMar>
          </w:tcPr>
          <w:p w14:paraId="3FB95AD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Non-climate social diagnostic lane.</w:t>
            </w:r>
          </w:p>
        </w:tc>
      </w:tr>
    </w:tbl>
    <w:p w14:paraId="592B9EA2" w14:textId="77777777" w:rsidR="0006423C" w:rsidRPr="00FA1482" w:rsidRDefault="0006423C" w:rsidP="0006423C">
      <w:pPr>
        <w:pStyle w:val="AppendixBodyNoIndent"/>
        <w:rPr>
          <w:rFonts w:cs="Times New Roman" w:hint="cs"/>
          <w:color w:val="000000" w:themeColor="text1"/>
        </w:rPr>
      </w:pPr>
    </w:p>
    <w:p w14:paraId="79719154"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broad ESG universe shows the widest filtered legislative surface. The corporate/financial ESG universe supports the market-governance frame. The core corporate/fiduciary universe removes the most distinct political sidecars. The climate-facing ESG universe supplies the principal denominator for climate, fiduciary, investor, disclosure, proxy, contracting, and market-conduct claims.</w:t>
      </w:r>
    </w:p>
    <w:p w14:paraId="14E1339C" w14:textId="77777777" w:rsidR="0006423C" w:rsidRPr="00FA1482" w:rsidRDefault="0006423C" w:rsidP="0006423C">
      <w:pPr>
        <w:pStyle w:val="Heading2"/>
        <w:rPr>
          <w:rFonts w:hint="cs"/>
        </w:rPr>
      </w:pPr>
      <w:bookmarkStart w:id="91" w:name="_Toc229502298"/>
      <w:r w:rsidRPr="00FA1482">
        <w:rPr>
          <w:rFonts w:hint="cs"/>
        </w:rPr>
        <w:t>E. Stance Coding</w:t>
      </w:r>
      <w:bookmarkEnd w:id="91"/>
    </w:p>
    <w:p w14:paraId="1E85B753"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Stance captures the direction of the legal move, not the political valence of a state or sponsor.</w:t>
      </w:r>
    </w:p>
    <w:tbl>
      <w:tblPr>
        <w:tblStyle w:val="TableGrid"/>
        <w:tblW w:w="0" w:type="auto"/>
        <w:tblLook w:val="04A0" w:firstRow="1" w:lastRow="0" w:firstColumn="1" w:lastColumn="0" w:noHBand="0" w:noVBand="1"/>
      </w:tblPr>
      <w:tblGrid>
        <w:gridCol w:w="985"/>
        <w:gridCol w:w="8365"/>
      </w:tblGrid>
      <w:tr w:rsidR="0006423C" w:rsidRPr="00FA1482" w14:paraId="5066BF95" w14:textId="77777777" w:rsidTr="0046034B">
        <w:tc>
          <w:tcPr>
            <w:tcW w:w="985" w:type="dxa"/>
            <w:shd w:val="clear" w:color="auto" w:fill="EDEDED"/>
            <w:tcMar>
              <w:top w:w="70" w:type="dxa"/>
              <w:left w:w="70" w:type="dxa"/>
              <w:bottom w:w="70" w:type="dxa"/>
              <w:right w:w="70" w:type="dxa"/>
            </w:tcMar>
          </w:tcPr>
          <w:p w14:paraId="0AD6A1D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Stance</w:t>
            </w:r>
          </w:p>
        </w:tc>
        <w:tc>
          <w:tcPr>
            <w:tcW w:w="8365" w:type="dxa"/>
            <w:shd w:val="clear" w:color="auto" w:fill="EDEDED"/>
            <w:tcMar>
              <w:top w:w="70" w:type="dxa"/>
              <w:left w:w="70" w:type="dxa"/>
              <w:bottom w:w="70" w:type="dxa"/>
              <w:right w:w="70" w:type="dxa"/>
            </w:tcMar>
          </w:tcPr>
          <w:p w14:paraId="670BF299"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Definition</w:t>
            </w:r>
          </w:p>
        </w:tc>
      </w:tr>
      <w:tr w:rsidR="0006423C" w:rsidRPr="00FA1482" w14:paraId="5E264908" w14:textId="77777777" w:rsidTr="0046034B">
        <w:tc>
          <w:tcPr>
            <w:tcW w:w="985" w:type="dxa"/>
            <w:tcMar>
              <w:top w:w="70" w:type="dxa"/>
              <w:left w:w="70" w:type="dxa"/>
              <w:bottom w:w="70" w:type="dxa"/>
              <w:right w:w="70" w:type="dxa"/>
            </w:tcMar>
          </w:tcPr>
          <w:p w14:paraId="10D0957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8365" w:type="dxa"/>
            <w:tcMar>
              <w:top w:w="70" w:type="dxa"/>
              <w:left w:w="70" w:type="dxa"/>
              <w:bottom w:w="70" w:type="dxa"/>
              <w:right w:w="70" w:type="dxa"/>
            </w:tcMar>
          </w:tcPr>
          <w:p w14:paraId="2D02C40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Restricts, penalizes, disincentivizes, burdens, or preempts ESG-related analysis, disclosure, association, investment, stewardship, contracting, financial services, or market conduct.</w:t>
            </w:r>
          </w:p>
        </w:tc>
      </w:tr>
      <w:tr w:rsidR="0006423C" w:rsidRPr="00FA1482" w14:paraId="116FF910" w14:textId="77777777" w:rsidTr="0046034B">
        <w:tc>
          <w:tcPr>
            <w:tcW w:w="985" w:type="dxa"/>
            <w:tcMar>
              <w:top w:w="70" w:type="dxa"/>
              <w:left w:w="70" w:type="dxa"/>
              <w:bottom w:w="70" w:type="dxa"/>
              <w:right w:w="70" w:type="dxa"/>
            </w:tcMar>
          </w:tcPr>
          <w:p w14:paraId="7DCC9C9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8365" w:type="dxa"/>
            <w:tcMar>
              <w:top w:w="70" w:type="dxa"/>
              <w:left w:w="70" w:type="dxa"/>
              <w:bottom w:w="70" w:type="dxa"/>
              <w:right w:w="70" w:type="dxa"/>
            </w:tcMar>
          </w:tcPr>
          <w:p w14:paraId="2DA0EB4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Authorizes, requires, protects, subsidizes, or encourages ESG-related analysis, disclosure, investment, divestment, stewardship, or market conduct.</w:t>
            </w:r>
          </w:p>
        </w:tc>
      </w:tr>
      <w:tr w:rsidR="0006423C" w:rsidRPr="00FA1482" w14:paraId="22D15C78" w14:textId="77777777" w:rsidTr="0046034B">
        <w:tc>
          <w:tcPr>
            <w:tcW w:w="985" w:type="dxa"/>
            <w:tcMar>
              <w:top w:w="70" w:type="dxa"/>
              <w:left w:w="70" w:type="dxa"/>
              <w:bottom w:w="70" w:type="dxa"/>
              <w:right w:w="70" w:type="dxa"/>
            </w:tcMar>
          </w:tcPr>
          <w:p w14:paraId="0FB2999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FA</w:t>
            </w:r>
          </w:p>
        </w:tc>
        <w:tc>
          <w:tcPr>
            <w:tcW w:w="8365" w:type="dxa"/>
            <w:tcMar>
              <w:top w:w="70" w:type="dxa"/>
              <w:left w:w="70" w:type="dxa"/>
              <w:bottom w:w="70" w:type="dxa"/>
              <w:right w:w="70" w:type="dxa"/>
            </w:tcMar>
          </w:tcPr>
          <w:p w14:paraId="51BB8B0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Foreign-adversary, BDS/geopolitical, national-security, or sanctions-linked control lane.</w:t>
            </w:r>
          </w:p>
        </w:tc>
      </w:tr>
      <w:tr w:rsidR="0006423C" w:rsidRPr="00FA1482" w14:paraId="3AC57E63" w14:textId="77777777" w:rsidTr="0046034B">
        <w:tc>
          <w:tcPr>
            <w:tcW w:w="985" w:type="dxa"/>
            <w:tcMar>
              <w:top w:w="70" w:type="dxa"/>
              <w:left w:w="70" w:type="dxa"/>
              <w:bottom w:w="70" w:type="dxa"/>
              <w:right w:w="70" w:type="dxa"/>
            </w:tcMar>
          </w:tcPr>
          <w:p w14:paraId="54D521A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X</w:t>
            </w:r>
          </w:p>
        </w:tc>
        <w:tc>
          <w:tcPr>
            <w:tcW w:w="8365" w:type="dxa"/>
            <w:tcMar>
              <w:top w:w="70" w:type="dxa"/>
              <w:left w:w="70" w:type="dxa"/>
              <w:bottom w:w="70" w:type="dxa"/>
              <w:right w:w="70" w:type="dxa"/>
            </w:tcMar>
          </w:tcPr>
          <w:p w14:paraId="0F7947D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Non-ESG, general-retirement-only, energy-policy-only, residual, or boundary row not directionally classified for a substantive ESG claim.</w:t>
            </w:r>
          </w:p>
        </w:tc>
      </w:tr>
    </w:tbl>
    <w:p w14:paraId="458E64CC" w14:textId="77777777" w:rsidR="0006423C" w:rsidRPr="00FA1482" w:rsidRDefault="0006423C" w:rsidP="0006423C">
      <w:pPr>
        <w:pStyle w:val="AppendixBodyNoIndent"/>
        <w:rPr>
          <w:rFonts w:cs="Times New Roman" w:hint="cs"/>
          <w:color w:val="000000" w:themeColor="text1"/>
        </w:rPr>
      </w:pPr>
    </w:p>
    <w:p w14:paraId="02BDAEDE" w14:textId="77777777" w:rsidR="0006423C" w:rsidRPr="00FA1482" w:rsidRDefault="0006423C" w:rsidP="0006423C">
      <w:pPr>
        <w:pStyle w:val="Heading2"/>
        <w:rPr>
          <w:rFonts w:hint="cs"/>
        </w:rPr>
      </w:pPr>
      <w:bookmarkStart w:id="92" w:name="_Toc229502299"/>
      <w:r w:rsidRPr="00FA1482">
        <w:rPr>
          <w:rFonts w:hint="cs"/>
        </w:rPr>
        <w:t>F. Focus Coding: CE, CI, and Broad ESG</w:t>
      </w:r>
      <w:bookmarkEnd w:id="92"/>
    </w:p>
    <w:p w14:paraId="41EA3C70" w14:textId="07C23999"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 xml:space="preserve">Focus coding is a legal-text exercise, not a keyword search. The coding asks what the operative language can regulate once the definitions, actor hooks, exceptions, evidence provisions, and enforcement channel are read together. A title that mentions energy, retirement, procurement, or ESG is not enough. Conversely, a statute can reach climate-related analysis without using the word </w:t>
      </w:r>
      <w:r w:rsidR="00B62085">
        <w:rPr>
          <w:rFonts w:cs="Times New Roman"/>
          <w:color w:val="000000" w:themeColor="text1"/>
        </w:rPr>
        <w:t>“</w:t>
      </w:r>
      <w:r w:rsidRPr="00FA1482">
        <w:rPr>
          <w:rFonts w:cs="Times New Roman" w:hint="cs"/>
          <w:color w:val="000000" w:themeColor="text1"/>
        </w:rPr>
        <w:t>climate</w:t>
      </w:r>
      <w:r w:rsidR="00B62085">
        <w:rPr>
          <w:rFonts w:cs="Times New Roman"/>
          <w:color w:val="000000" w:themeColor="text1"/>
        </w:rPr>
        <w:t>”</w:t>
      </w:r>
      <w:r w:rsidRPr="00FA1482">
        <w:rPr>
          <w:rFonts w:cs="Times New Roman" w:hint="cs"/>
          <w:color w:val="000000" w:themeColor="text1"/>
        </w:rPr>
        <w:t xml:space="preserve"> if it restricts ESG, pecuniary-factor analysis, stewardship, proxy voting, sector discrimination, boycott determinations, financial access, or long-horizon systemic-risk analysis in a way that can cover climate-related financial judgment.</w:t>
      </w:r>
    </w:p>
    <w:p w14:paraId="521D5A99"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classification proceeds in this order:</w:t>
      </w:r>
    </w:p>
    <w:p w14:paraId="4B297C1E" w14:textId="77777777" w:rsidR="0006423C" w:rsidRPr="00FA1482" w:rsidRDefault="0006423C" w:rsidP="0006423C">
      <w:pPr>
        <w:pStyle w:val="AppendixBodyNoIndent"/>
        <w:numPr>
          <w:ilvl w:val="0"/>
          <w:numId w:val="21"/>
        </w:numPr>
        <w:spacing w:line="360" w:lineRule="auto"/>
        <w:rPr>
          <w:rFonts w:cs="Times New Roman" w:hint="cs"/>
          <w:color w:val="000000" w:themeColor="text1"/>
        </w:rPr>
      </w:pPr>
      <w:r w:rsidRPr="00FA1482">
        <w:rPr>
          <w:rFonts w:cs="Times New Roman" w:hint="cs"/>
          <w:color w:val="000000" w:themeColor="text1"/>
        </w:rPr>
        <w:t xml:space="preserve">identify the operative channel and actor: pension fiduciary, public funds, contractor, bank, insurer, proxy adviser, issuer, higher-education fund, government agency, or </w:t>
      </w:r>
      <w:proofErr w:type="gramStart"/>
      <w:r w:rsidRPr="00FA1482">
        <w:rPr>
          <w:rFonts w:cs="Times New Roman" w:hint="cs"/>
          <w:color w:val="000000" w:themeColor="text1"/>
        </w:rPr>
        <w:t>other</w:t>
      </w:r>
      <w:proofErr w:type="gramEnd"/>
      <w:r w:rsidRPr="00FA1482">
        <w:rPr>
          <w:rFonts w:cs="Times New Roman" w:hint="cs"/>
          <w:color w:val="000000" w:themeColor="text1"/>
        </w:rPr>
        <w:t xml:space="preserve"> regulated actor;</w:t>
      </w:r>
    </w:p>
    <w:p w14:paraId="118B7141" w14:textId="77777777" w:rsidR="0006423C" w:rsidRPr="00FA1482" w:rsidRDefault="0006423C" w:rsidP="0006423C">
      <w:pPr>
        <w:pStyle w:val="AppendixBodyNoIndent"/>
        <w:numPr>
          <w:ilvl w:val="0"/>
          <w:numId w:val="21"/>
        </w:numPr>
        <w:spacing w:line="360" w:lineRule="auto"/>
        <w:rPr>
          <w:rFonts w:cs="Times New Roman" w:hint="cs"/>
          <w:color w:val="000000" w:themeColor="text1"/>
        </w:rPr>
      </w:pPr>
      <w:r w:rsidRPr="00FA1482">
        <w:rPr>
          <w:rFonts w:cs="Times New Roman" w:hint="cs"/>
          <w:color w:val="000000" w:themeColor="text1"/>
        </w:rPr>
        <w:t xml:space="preserve">remove hard non-ESG rows, general-retirement housekeeping, and omnibus bills where energy, retirement, or procurement language is incidental rather than </w:t>
      </w:r>
      <w:proofErr w:type="gramStart"/>
      <w:r w:rsidRPr="00FA1482">
        <w:rPr>
          <w:rFonts w:cs="Times New Roman" w:hint="cs"/>
          <w:color w:val="000000" w:themeColor="text1"/>
        </w:rPr>
        <w:t>load-bearing</w:t>
      </w:r>
      <w:proofErr w:type="gramEnd"/>
      <w:r w:rsidRPr="00FA1482">
        <w:rPr>
          <w:rFonts w:cs="Times New Roman" w:hint="cs"/>
          <w:color w:val="000000" w:themeColor="text1"/>
        </w:rPr>
        <w:t>;</w:t>
      </w:r>
    </w:p>
    <w:p w14:paraId="2D8482BC" w14:textId="77777777" w:rsidR="0006423C" w:rsidRPr="00FA1482" w:rsidRDefault="0006423C" w:rsidP="0006423C">
      <w:pPr>
        <w:pStyle w:val="AppendixBodyNoIndent"/>
        <w:numPr>
          <w:ilvl w:val="0"/>
          <w:numId w:val="21"/>
        </w:numPr>
        <w:spacing w:line="360" w:lineRule="auto"/>
        <w:rPr>
          <w:rFonts w:cs="Times New Roman" w:hint="cs"/>
          <w:color w:val="000000" w:themeColor="text1"/>
        </w:rPr>
      </w:pPr>
      <w:r w:rsidRPr="00FA1482">
        <w:rPr>
          <w:rFonts w:cs="Times New Roman" w:hint="cs"/>
          <w:color w:val="000000" w:themeColor="text1"/>
        </w:rPr>
        <w:t>separate sidecars before assigning a climate focus: firearms-only, foreign-adversary/geopolitical, DEI/non-climate-social, energy-policy-only, and federal-action-only rows;</w:t>
      </w:r>
    </w:p>
    <w:p w14:paraId="4F984202" w14:textId="77777777" w:rsidR="0006423C" w:rsidRPr="00FA1482" w:rsidRDefault="0006423C" w:rsidP="0006423C">
      <w:pPr>
        <w:pStyle w:val="AppendixBodyNoIndent"/>
        <w:numPr>
          <w:ilvl w:val="0"/>
          <w:numId w:val="21"/>
        </w:numPr>
        <w:spacing w:line="360" w:lineRule="auto"/>
        <w:rPr>
          <w:rFonts w:cs="Times New Roman" w:hint="cs"/>
          <w:color w:val="000000" w:themeColor="text1"/>
        </w:rPr>
      </w:pPr>
      <w:r w:rsidRPr="00FA1482">
        <w:rPr>
          <w:rFonts w:cs="Times New Roman" w:hint="cs"/>
          <w:color w:val="000000" w:themeColor="text1"/>
        </w:rPr>
        <w:t>confirm a corporate, fiduciary, financial, disclosure, proxy, contracting, investment, or market-conduct nexus for the corporate/financial ESG universes;</w:t>
      </w:r>
    </w:p>
    <w:p w14:paraId="1F292D28" w14:textId="77777777" w:rsidR="0006423C" w:rsidRPr="00FA1482" w:rsidRDefault="0006423C" w:rsidP="0006423C">
      <w:pPr>
        <w:pStyle w:val="AppendixBodyNoIndent"/>
        <w:numPr>
          <w:ilvl w:val="0"/>
          <w:numId w:val="21"/>
        </w:numPr>
        <w:spacing w:line="360" w:lineRule="auto"/>
        <w:rPr>
          <w:rFonts w:cs="Times New Roman" w:hint="cs"/>
          <w:color w:val="000000" w:themeColor="text1"/>
        </w:rPr>
      </w:pPr>
      <w:r w:rsidRPr="00FA1482">
        <w:rPr>
          <w:rFonts w:cs="Times New Roman" w:hint="cs"/>
          <w:color w:val="000000" w:themeColor="text1"/>
        </w:rPr>
        <w:t>assign climate-explicit, climate-implicit, or broad-ESG focus based on the text that remains.</w:t>
      </w:r>
    </w:p>
    <w:p w14:paraId="09B616A0"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This order matters. DEI hiring rules inside state agencies, higher-education curriculum or admissions provisions, general board-diversity mandates without investment or market-conduct hooks, foreign-adversary investment restrictions, firearms-only access rules, and renewable-energy program bills can be politically adjacent to ESG debates. They are not automatically climate-facing corporate/fiduciary ESG legislation. They enter the broad ESG or diagnostic sidecar tables only when the operative text supplies the relevant ESG or market-governance connection.</w:t>
      </w:r>
    </w:p>
    <w:tbl>
      <w:tblPr>
        <w:tblStyle w:val="TableGrid"/>
        <w:tblW w:w="0" w:type="auto"/>
        <w:tblLook w:val="04A0" w:firstRow="1" w:lastRow="0" w:firstColumn="1" w:lastColumn="0" w:noHBand="0" w:noVBand="1"/>
      </w:tblPr>
      <w:tblGrid>
        <w:gridCol w:w="1165"/>
        <w:gridCol w:w="1530"/>
        <w:gridCol w:w="3780"/>
        <w:gridCol w:w="2875"/>
      </w:tblGrid>
      <w:tr w:rsidR="0006423C" w:rsidRPr="00FA1482" w14:paraId="5E40205A" w14:textId="77777777" w:rsidTr="0046034B">
        <w:tc>
          <w:tcPr>
            <w:tcW w:w="1165" w:type="dxa"/>
            <w:shd w:val="clear" w:color="auto" w:fill="EDEDED"/>
            <w:tcMar>
              <w:top w:w="70" w:type="dxa"/>
              <w:left w:w="70" w:type="dxa"/>
              <w:bottom w:w="70" w:type="dxa"/>
              <w:right w:w="70" w:type="dxa"/>
            </w:tcMar>
          </w:tcPr>
          <w:p w14:paraId="298EA95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Focus</w:t>
            </w:r>
          </w:p>
        </w:tc>
        <w:tc>
          <w:tcPr>
            <w:tcW w:w="1530" w:type="dxa"/>
            <w:shd w:val="clear" w:color="auto" w:fill="EDEDED"/>
            <w:tcMar>
              <w:top w:w="70" w:type="dxa"/>
              <w:left w:w="70" w:type="dxa"/>
              <w:bottom w:w="70" w:type="dxa"/>
              <w:right w:w="70" w:type="dxa"/>
            </w:tcMar>
          </w:tcPr>
          <w:p w14:paraId="6103C87F"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Public label</w:t>
            </w:r>
          </w:p>
        </w:tc>
        <w:tc>
          <w:tcPr>
            <w:tcW w:w="3780" w:type="dxa"/>
            <w:shd w:val="clear" w:color="auto" w:fill="EDEDED"/>
            <w:tcMar>
              <w:top w:w="70" w:type="dxa"/>
              <w:left w:w="70" w:type="dxa"/>
              <w:bottom w:w="70" w:type="dxa"/>
              <w:right w:w="70" w:type="dxa"/>
            </w:tcMar>
          </w:tcPr>
          <w:p w14:paraId="692F921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Coding rule</w:t>
            </w:r>
          </w:p>
        </w:tc>
        <w:tc>
          <w:tcPr>
            <w:tcW w:w="2875" w:type="dxa"/>
            <w:shd w:val="clear" w:color="auto" w:fill="EDEDED"/>
            <w:tcMar>
              <w:top w:w="70" w:type="dxa"/>
              <w:left w:w="70" w:type="dxa"/>
              <w:bottom w:w="70" w:type="dxa"/>
              <w:right w:w="70" w:type="dxa"/>
            </w:tcMar>
          </w:tcPr>
          <w:p w14:paraId="61037F86"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Common text signals</w:t>
            </w:r>
          </w:p>
        </w:tc>
      </w:tr>
      <w:tr w:rsidR="0006423C" w:rsidRPr="00FA1482" w14:paraId="580798AF" w14:textId="77777777" w:rsidTr="0046034B">
        <w:tc>
          <w:tcPr>
            <w:tcW w:w="1165" w:type="dxa"/>
            <w:tcMar>
              <w:top w:w="70" w:type="dxa"/>
              <w:left w:w="70" w:type="dxa"/>
              <w:bottom w:w="70" w:type="dxa"/>
              <w:right w:w="70" w:type="dxa"/>
            </w:tcMar>
          </w:tcPr>
          <w:p w14:paraId="5D26136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CE</w:t>
            </w:r>
          </w:p>
        </w:tc>
        <w:tc>
          <w:tcPr>
            <w:tcW w:w="1530" w:type="dxa"/>
            <w:tcMar>
              <w:top w:w="70" w:type="dxa"/>
              <w:left w:w="70" w:type="dxa"/>
              <w:bottom w:w="70" w:type="dxa"/>
              <w:right w:w="70" w:type="dxa"/>
            </w:tcMar>
          </w:tcPr>
          <w:p w14:paraId="18C265A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Climate-explicit</w:t>
            </w:r>
          </w:p>
        </w:tc>
        <w:tc>
          <w:tcPr>
            <w:tcW w:w="3780" w:type="dxa"/>
            <w:tcMar>
              <w:top w:w="70" w:type="dxa"/>
              <w:left w:w="70" w:type="dxa"/>
              <w:bottom w:w="70" w:type="dxa"/>
              <w:right w:w="70" w:type="dxa"/>
            </w:tcMar>
          </w:tcPr>
          <w:p w14:paraId="74C2835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The text, title, definition, or operative command expressly names climate, fossil fuels, emissions, greenhouse gases, carbon, net zero, energy transition, fossil-fuel boycott, energy-company boycott, or closely related climate/energy terms.</w:t>
            </w:r>
          </w:p>
        </w:tc>
        <w:tc>
          <w:tcPr>
            <w:tcW w:w="2875" w:type="dxa"/>
            <w:tcMar>
              <w:top w:w="70" w:type="dxa"/>
              <w:left w:w="70" w:type="dxa"/>
              <w:bottom w:w="70" w:type="dxa"/>
              <w:right w:w="70" w:type="dxa"/>
            </w:tcMar>
          </w:tcPr>
          <w:p w14:paraId="6535B257" w14:textId="6E054617" w:rsidR="0006423C" w:rsidRPr="00FA1482" w:rsidRDefault="00B62085" w:rsidP="00DB0233">
            <w:pPr>
              <w:pStyle w:val="AppendixTableCellNoIndent"/>
              <w:rPr>
                <w:rFonts w:ascii="Times New Roman" w:hAnsi="Times New Roman" w:cs="Times New Roman" w:hint="cs"/>
                <w:color w:val="000000" w:themeColor="text1"/>
              </w:rPr>
            </w:pP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climate-related financial risk</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 xml:space="preserve">; </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greenhouse gas emissions</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 xml:space="preserve">; </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fossil fuel</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 xml:space="preserve">; </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energy company</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 xml:space="preserve">; </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boycott energy companies</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 xml:space="preserve">; </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net zero.</w:t>
            </w:r>
            <w:r>
              <w:rPr>
                <w:rFonts w:ascii="Times New Roman" w:eastAsia="Times New Roman" w:hAnsi="Times New Roman" w:cs="Times New Roman"/>
                <w:color w:val="000000" w:themeColor="text1"/>
              </w:rPr>
              <w:t>”</w:t>
            </w:r>
          </w:p>
        </w:tc>
      </w:tr>
      <w:tr w:rsidR="0006423C" w:rsidRPr="00FA1482" w14:paraId="69A0D382" w14:textId="77777777" w:rsidTr="0046034B">
        <w:tc>
          <w:tcPr>
            <w:tcW w:w="1165" w:type="dxa"/>
            <w:tcMar>
              <w:top w:w="70" w:type="dxa"/>
              <w:left w:w="70" w:type="dxa"/>
              <w:bottom w:w="70" w:type="dxa"/>
              <w:right w:w="70" w:type="dxa"/>
            </w:tcMar>
          </w:tcPr>
          <w:p w14:paraId="36794CB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CI</w:t>
            </w:r>
          </w:p>
        </w:tc>
        <w:tc>
          <w:tcPr>
            <w:tcW w:w="1530" w:type="dxa"/>
            <w:tcMar>
              <w:top w:w="70" w:type="dxa"/>
              <w:left w:w="70" w:type="dxa"/>
              <w:bottom w:w="70" w:type="dxa"/>
              <w:right w:w="70" w:type="dxa"/>
            </w:tcMar>
          </w:tcPr>
          <w:p w14:paraId="667FD0F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Climate-implicit</w:t>
            </w:r>
          </w:p>
        </w:tc>
        <w:tc>
          <w:tcPr>
            <w:tcW w:w="3780" w:type="dxa"/>
            <w:tcMar>
              <w:top w:w="70" w:type="dxa"/>
              <w:left w:w="70" w:type="dxa"/>
              <w:bottom w:w="70" w:type="dxa"/>
              <w:right w:w="70" w:type="dxa"/>
            </w:tcMar>
          </w:tcPr>
          <w:p w14:paraId="50810D3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The text does not necessarily use climate words, but definitions and operative hooks are broad enough to reach climate-related financial analysis or climate-coded conduct.</w:t>
            </w:r>
          </w:p>
        </w:tc>
        <w:tc>
          <w:tcPr>
            <w:tcW w:w="2875" w:type="dxa"/>
            <w:tcMar>
              <w:top w:w="70" w:type="dxa"/>
              <w:left w:w="70" w:type="dxa"/>
              <w:bottom w:w="70" w:type="dxa"/>
              <w:right w:w="70" w:type="dxa"/>
            </w:tcMar>
          </w:tcPr>
          <w:p w14:paraId="01E5D81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ESG, pecuniary/nonpecuniary factors, fiduciary purpose, boycott/discrimination, systemic or long-horizon risk, proxy/stewardship burdens, banking/insurance access rules, sector/industry language.</w:t>
            </w:r>
          </w:p>
        </w:tc>
      </w:tr>
      <w:tr w:rsidR="0006423C" w:rsidRPr="00FA1482" w14:paraId="0949D9D8" w14:textId="77777777" w:rsidTr="0046034B">
        <w:tc>
          <w:tcPr>
            <w:tcW w:w="1165" w:type="dxa"/>
            <w:tcMar>
              <w:top w:w="70" w:type="dxa"/>
              <w:left w:w="70" w:type="dxa"/>
              <w:bottom w:w="70" w:type="dxa"/>
              <w:right w:w="70" w:type="dxa"/>
            </w:tcMar>
          </w:tcPr>
          <w:p w14:paraId="59DF0F8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EB</w:t>
            </w:r>
          </w:p>
        </w:tc>
        <w:tc>
          <w:tcPr>
            <w:tcW w:w="1530" w:type="dxa"/>
            <w:tcMar>
              <w:top w:w="70" w:type="dxa"/>
              <w:left w:w="70" w:type="dxa"/>
              <w:bottom w:w="70" w:type="dxa"/>
              <w:right w:w="70" w:type="dxa"/>
            </w:tcMar>
          </w:tcPr>
          <w:p w14:paraId="5D645F3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 ESG</w:t>
            </w:r>
          </w:p>
        </w:tc>
        <w:tc>
          <w:tcPr>
            <w:tcW w:w="3780" w:type="dxa"/>
            <w:tcMar>
              <w:top w:w="70" w:type="dxa"/>
              <w:left w:w="70" w:type="dxa"/>
              <w:bottom w:w="70" w:type="dxa"/>
              <w:right w:w="70" w:type="dxa"/>
            </w:tcMar>
          </w:tcPr>
          <w:p w14:paraId="6EA6071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Residual broad-ESG language with no more specific climate, NCS, firearms, foreign-adversary, or energy-policy-only hook. Included in climate-facing ESG only when no exclusion applies because broad ESG formulations can reach climate analysis.</w:t>
            </w:r>
          </w:p>
        </w:tc>
        <w:tc>
          <w:tcPr>
            <w:tcW w:w="2875" w:type="dxa"/>
            <w:tcMar>
              <w:top w:w="70" w:type="dxa"/>
              <w:left w:w="70" w:type="dxa"/>
              <w:bottom w:w="70" w:type="dxa"/>
              <w:right w:w="70" w:type="dxa"/>
            </w:tcMar>
          </w:tcPr>
          <w:p w14:paraId="726AE115" w14:textId="3461DF34" w:rsidR="0006423C" w:rsidRPr="00FA1482" w:rsidRDefault="00B62085" w:rsidP="00DB0233">
            <w:pPr>
              <w:pStyle w:val="AppendixTableCellNoIndent"/>
              <w:rPr>
                <w:rFonts w:ascii="Times New Roman" w:hAnsi="Times New Roman" w:cs="Times New Roman" w:hint="cs"/>
                <w:color w:val="000000" w:themeColor="text1"/>
              </w:rPr>
            </w:pP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environmental, social, and governance</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 xml:space="preserve">; </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social credit score</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 xml:space="preserve">; </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political or ideological</w:t>
            </w:r>
            <w:r>
              <w:rPr>
                <w:rFonts w:ascii="Times New Roman" w:eastAsia="Times New Roman" w:hAnsi="Times New Roman" w:cs="Times New Roman"/>
                <w:color w:val="000000" w:themeColor="text1"/>
              </w:rPr>
              <w:t>”</w:t>
            </w:r>
            <w:r w:rsidR="0006423C" w:rsidRPr="00FA1482">
              <w:rPr>
                <w:rFonts w:ascii="Times New Roman" w:eastAsia="Times New Roman" w:hAnsi="Times New Roman" w:cs="Times New Roman" w:hint="cs"/>
                <w:color w:val="000000" w:themeColor="text1"/>
              </w:rPr>
              <w:t>; broad ESG compliance standards.</w:t>
            </w:r>
          </w:p>
        </w:tc>
      </w:tr>
      <w:tr w:rsidR="0006423C" w:rsidRPr="00FA1482" w14:paraId="11CEDACC" w14:textId="77777777" w:rsidTr="0046034B">
        <w:tc>
          <w:tcPr>
            <w:tcW w:w="1165" w:type="dxa"/>
            <w:tcMar>
              <w:top w:w="70" w:type="dxa"/>
              <w:left w:w="70" w:type="dxa"/>
              <w:bottom w:w="70" w:type="dxa"/>
              <w:right w:w="70" w:type="dxa"/>
            </w:tcMar>
          </w:tcPr>
          <w:p w14:paraId="7136E6A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NCS/DEI</w:t>
            </w:r>
          </w:p>
        </w:tc>
        <w:tc>
          <w:tcPr>
            <w:tcW w:w="1530" w:type="dxa"/>
            <w:tcMar>
              <w:top w:w="70" w:type="dxa"/>
              <w:left w:w="70" w:type="dxa"/>
              <w:bottom w:w="70" w:type="dxa"/>
              <w:right w:w="70" w:type="dxa"/>
            </w:tcMar>
          </w:tcPr>
          <w:p w14:paraId="623B241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Non-climate social</w:t>
            </w:r>
          </w:p>
        </w:tc>
        <w:tc>
          <w:tcPr>
            <w:tcW w:w="3780" w:type="dxa"/>
            <w:tcMar>
              <w:top w:w="70" w:type="dxa"/>
              <w:left w:w="70" w:type="dxa"/>
              <w:bottom w:w="70" w:type="dxa"/>
              <w:right w:w="70" w:type="dxa"/>
            </w:tcMar>
          </w:tcPr>
          <w:p w14:paraId="11E4E35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DEI or social-policy provisions, tracked separately unless tied to corporate/fiduciary financial analysis.</w:t>
            </w:r>
          </w:p>
        </w:tc>
        <w:tc>
          <w:tcPr>
            <w:tcW w:w="2875" w:type="dxa"/>
            <w:tcMar>
              <w:top w:w="70" w:type="dxa"/>
              <w:left w:w="70" w:type="dxa"/>
              <w:bottom w:w="70" w:type="dxa"/>
              <w:right w:w="70" w:type="dxa"/>
            </w:tcMar>
          </w:tcPr>
          <w:p w14:paraId="14F18D8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Board-composition mandates, DEI contracting controls, non-climate social disclosure.</w:t>
            </w:r>
          </w:p>
        </w:tc>
      </w:tr>
      <w:tr w:rsidR="0006423C" w:rsidRPr="00FA1482" w14:paraId="038396F1" w14:textId="77777777" w:rsidTr="0046034B">
        <w:tc>
          <w:tcPr>
            <w:tcW w:w="1165" w:type="dxa"/>
            <w:tcMar>
              <w:top w:w="70" w:type="dxa"/>
              <w:left w:w="70" w:type="dxa"/>
              <w:bottom w:w="70" w:type="dxa"/>
              <w:right w:w="70" w:type="dxa"/>
            </w:tcMar>
          </w:tcPr>
          <w:p w14:paraId="47AC6F6B" w14:textId="7D12BB49"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FA/</w:t>
            </w:r>
            <w:r w:rsidR="0046034B">
              <w:rPr>
                <w:rFonts w:ascii="Times New Roman" w:eastAsia="Times New Roman" w:hAnsi="Times New Roman" w:cs="Times New Roman"/>
                <w:color w:val="000000" w:themeColor="text1"/>
              </w:rPr>
              <w:t xml:space="preserve"> </w:t>
            </w:r>
            <w:r w:rsidRPr="00FA1482">
              <w:rPr>
                <w:rFonts w:ascii="Times New Roman" w:eastAsia="Times New Roman" w:hAnsi="Times New Roman" w:cs="Times New Roman" w:hint="cs"/>
                <w:color w:val="000000" w:themeColor="text1"/>
              </w:rPr>
              <w:t>geopolitical</w:t>
            </w:r>
          </w:p>
        </w:tc>
        <w:tc>
          <w:tcPr>
            <w:tcW w:w="1530" w:type="dxa"/>
            <w:tcMar>
              <w:top w:w="70" w:type="dxa"/>
              <w:left w:w="70" w:type="dxa"/>
              <w:bottom w:w="70" w:type="dxa"/>
              <w:right w:w="70" w:type="dxa"/>
            </w:tcMar>
          </w:tcPr>
          <w:p w14:paraId="3D3B3543" w14:textId="55C6B81E" w:rsidR="0006423C" w:rsidRPr="00FA1482" w:rsidRDefault="0006423C" w:rsidP="00DB0233">
            <w:pPr>
              <w:pStyle w:val="AppendixTableCellNoIndent"/>
              <w:rPr>
                <w:rFonts w:ascii="Times New Roman" w:hAnsi="Times New Roman" w:cs="Times New Roman" w:hint="cs"/>
                <w:color w:val="000000" w:themeColor="text1"/>
              </w:rPr>
            </w:pPr>
            <w:proofErr w:type="gramStart"/>
            <w:r w:rsidRPr="00FA1482">
              <w:rPr>
                <w:rFonts w:ascii="Times New Roman" w:eastAsia="Times New Roman" w:hAnsi="Times New Roman" w:cs="Times New Roman" w:hint="cs"/>
                <w:color w:val="000000" w:themeColor="text1"/>
              </w:rPr>
              <w:t>Foreign-adversary</w:t>
            </w:r>
            <w:proofErr w:type="gramEnd"/>
            <w:r w:rsidRPr="00FA1482">
              <w:rPr>
                <w:rFonts w:ascii="Times New Roman" w:eastAsia="Times New Roman" w:hAnsi="Times New Roman" w:cs="Times New Roman" w:hint="cs"/>
                <w:color w:val="000000" w:themeColor="text1"/>
              </w:rPr>
              <w:t>/</w:t>
            </w:r>
            <w:r w:rsidR="0046034B">
              <w:rPr>
                <w:rFonts w:ascii="Times New Roman" w:eastAsia="Times New Roman" w:hAnsi="Times New Roman" w:cs="Times New Roman"/>
                <w:color w:val="000000" w:themeColor="text1"/>
              </w:rPr>
              <w:t xml:space="preserve"> </w:t>
            </w:r>
            <w:r w:rsidRPr="00FA1482">
              <w:rPr>
                <w:rFonts w:ascii="Times New Roman" w:eastAsia="Times New Roman" w:hAnsi="Times New Roman" w:cs="Times New Roman" w:hint="cs"/>
                <w:color w:val="000000" w:themeColor="text1"/>
              </w:rPr>
              <w:t>geopolitical</w:t>
            </w:r>
          </w:p>
        </w:tc>
        <w:tc>
          <w:tcPr>
            <w:tcW w:w="3780" w:type="dxa"/>
            <w:tcMar>
              <w:top w:w="70" w:type="dxa"/>
              <w:left w:w="70" w:type="dxa"/>
              <w:bottom w:w="70" w:type="dxa"/>
              <w:right w:w="70" w:type="dxa"/>
            </w:tcMar>
          </w:tcPr>
          <w:p w14:paraId="2377199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China, foreign-adversary, Israel/BDS, sanctions, national-security, or geopolitical screens.</w:t>
            </w:r>
          </w:p>
        </w:tc>
        <w:tc>
          <w:tcPr>
            <w:tcW w:w="2875" w:type="dxa"/>
            <w:tcMar>
              <w:top w:w="70" w:type="dxa"/>
              <w:left w:w="70" w:type="dxa"/>
              <w:bottom w:w="70" w:type="dxa"/>
              <w:right w:w="70" w:type="dxa"/>
            </w:tcMar>
          </w:tcPr>
          <w:p w14:paraId="2B1C9B6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Foreign adversary investment restrictions; BDS/geopolitical divestment.</w:t>
            </w:r>
          </w:p>
        </w:tc>
      </w:tr>
      <w:tr w:rsidR="0006423C" w:rsidRPr="00FA1482" w14:paraId="09B1B91A" w14:textId="77777777" w:rsidTr="0046034B">
        <w:tc>
          <w:tcPr>
            <w:tcW w:w="1165" w:type="dxa"/>
            <w:tcMar>
              <w:top w:w="70" w:type="dxa"/>
              <w:left w:w="70" w:type="dxa"/>
              <w:bottom w:w="70" w:type="dxa"/>
              <w:right w:w="70" w:type="dxa"/>
            </w:tcMar>
          </w:tcPr>
          <w:p w14:paraId="6A425611" w14:textId="52A7D455"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X/</w:t>
            </w:r>
            <w:r w:rsidR="0046034B">
              <w:rPr>
                <w:rFonts w:ascii="Times New Roman" w:eastAsia="Times New Roman" w:hAnsi="Times New Roman" w:cs="Times New Roman"/>
                <w:color w:val="000000" w:themeColor="text1"/>
              </w:rPr>
              <w:t xml:space="preserve"> </w:t>
            </w:r>
            <w:r w:rsidRPr="00FA1482">
              <w:rPr>
                <w:rFonts w:ascii="Times New Roman" w:eastAsia="Times New Roman" w:hAnsi="Times New Roman" w:cs="Times New Roman" w:hint="cs"/>
                <w:color w:val="000000" w:themeColor="text1"/>
              </w:rPr>
              <w:t>boundary</w:t>
            </w:r>
          </w:p>
        </w:tc>
        <w:tc>
          <w:tcPr>
            <w:tcW w:w="1530" w:type="dxa"/>
            <w:tcMar>
              <w:top w:w="70" w:type="dxa"/>
              <w:left w:w="70" w:type="dxa"/>
              <w:bottom w:w="70" w:type="dxa"/>
              <w:right w:w="70" w:type="dxa"/>
            </w:tcMar>
          </w:tcPr>
          <w:p w14:paraId="0DECC51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No usable ESG focus</w:t>
            </w:r>
          </w:p>
        </w:tc>
        <w:tc>
          <w:tcPr>
            <w:tcW w:w="3780" w:type="dxa"/>
            <w:tcMar>
              <w:top w:w="70" w:type="dxa"/>
              <w:left w:w="70" w:type="dxa"/>
              <w:bottom w:w="70" w:type="dxa"/>
              <w:right w:w="70" w:type="dxa"/>
            </w:tcMar>
          </w:tcPr>
          <w:p w14:paraId="4F50A61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False positives, general-retirement-only rows, energy-policy-only rows, and residual rows where ESG focus is not load-bearing.</w:t>
            </w:r>
          </w:p>
        </w:tc>
        <w:tc>
          <w:tcPr>
            <w:tcW w:w="2875" w:type="dxa"/>
            <w:tcMar>
              <w:top w:w="70" w:type="dxa"/>
              <w:left w:w="70" w:type="dxa"/>
              <w:bottom w:w="70" w:type="dxa"/>
              <w:right w:w="70" w:type="dxa"/>
            </w:tcMar>
          </w:tcPr>
          <w:p w14:paraId="6400B1C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General renewable-energy programs, ordinary retirement housekeeping, omnibus bills with incidental energy references.</w:t>
            </w:r>
          </w:p>
        </w:tc>
      </w:tr>
    </w:tbl>
    <w:p w14:paraId="0216D3B2" w14:textId="77777777" w:rsidR="0006423C" w:rsidRPr="00FA1482" w:rsidRDefault="0006423C" w:rsidP="0006423C">
      <w:pPr>
        <w:pStyle w:val="AppendixBodyNoIndent"/>
        <w:spacing w:line="360" w:lineRule="auto"/>
        <w:rPr>
          <w:rFonts w:cs="Times New Roman" w:hint="cs"/>
          <w:color w:val="000000" w:themeColor="text1"/>
        </w:rPr>
      </w:pPr>
    </w:p>
    <w:p w14:paraId="40C3FE73" w14:textId="54F48BDB" w:rsidR="0006423C" w:rsidRPr="00FA1482" w:rsidRDefault="0006423C" w:rsidP="0006423C">
      <w:pPr>
        <w:pStyle w:val="AppendixBodyNoIndent"/>
        <w:numPr>
          <w:ilvl w:val="0"/>
          <w:numId w:val="24"/>
        </w:numPr>
        <w:spacing w:line="360" w:lineRule="auto"/>
        <w:rPr>
          <w:rFonts w:cs="Times New Roman" w:hint="cs"/>
          <w:color w:val="000000" w:themeColor="text1"/>
        </w:rPr>
      </w:pPr>
      <w:r w:rsidRPr="00FA1482">
        <w:rPr>
          <w:rFonts w:cs="Times New Roman" w:hint="cs"/>
          <w:color w:val="000000" w:themeColor="text1"/>
        </w:rPr>
        <w:t xml:space="preserve">Climate-explicit focus includes the direct climate and fossil-fuel vocabulary. Examples include </w:t>
      </w:r>
      <w:r w:rsidR="00B62085">
        <w:rPr>
          <w:rFonts w:cs="Times New Roman"/>
          <w:color w:val="000000" w:themeColor="text1"/>
        </w:rPr>
        <w:t>“</w:t>
      </w:r>
      <w:r w:rsidRPr="00FA1482">
        <w:rPr>
          <w:rFonts w:cs="Times New Roman" w:hint="cs"/>
          <w:color w:val="000000" w:themeColor="text1"/>
        </w:rPr>
        <w:t>climate,</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climate-related financial risk,</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greenhouse gas,</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carbon,</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emissions,</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net zero,</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energy transition,</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fossil fuel,</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coal,</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oil,</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gas,</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energy company,</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boycott energy companies,</w:t>
      </w:r>
      <w:r w:rsidR="00B62085">
        <w:rPr>
          <w:rFonts w:cs="Times New Roman"/>
          <w:color w:val="000000" w:themeColor="text1"/>
        </w:rPr>
        <w:t>”</w:t>
      </w:r>
      <w:r w:rsidRPr="00FA1482">
        <w:rPr>
          <w:rFonts w:cs="Times New Roman" w:hint="cs"/>
          <w:color w:val="000000" w:themeColor="text1"/>
        </w:rPr>
        <w:t xml:space="preserve"> and statutory references to fossil-fuel divestment or emissions disclosure. A fossil-fuel or energy-company boycott definition is coded climate-explicit because the statute names the carbon-intensive sector that is the object of the legal restriction, even if the sponsor describes the bill as anti-discrimination rather than climate policy.</w:t>
      </w:r>
    </w:p>
    <w:p w14:paraId="3A0550C1" w14:textId="77777777" w:rsidR="0006423C" w:rsidRPr="00FA1482" w:rsidRDefault="0006423C" w:rsidP="0006423C">
      <w:pPr>
        <w:pStyle w:val="AppendixBodyNoIndent"/>
        <w:numPr>
          <w:ilvl w:val="0"/>
          <w:numId w:val="24"/>
        </w:numPr>
        <w:spacing w:line="360" w:lineRule="auto"/>
        <w:rPr>
          <w:rFonts w:cs="Times New Roman" w:hint="cs"/>
          <w:color w:val="000000" w:themeColor="text1"/>
        </w:rPr>
      </w:pPr>
      <w:r w:rsidRPr="00FA1482">
        <w:rPr>
          <w:rFonts w:cs="Times New Roman" w:hint="cs"/>
          <w:color w:val="000000" w:themeColor="text1"/>
        </w:rPr>
        <w:t>Climate-implicit focus is broader but not unlimited. It applies when a clause can reach climate-related financial analysis through legal structure rather than climate vocabulary. Recurring CI hooks include:</w:t>
      </w:r>
    </w:p>
    <w:p w14:paraId="78F7D7D3" w14:textId="5B8F87CE" w:rsidR="0006423C" w:rsidRPr="00FA1482" w:rsidRDefault="00B62085" w:rsidP="0006423C">
      <w:pPr>
        <w:pStyle w:val="AppendixBodyNoIndent"/>
        <w:numPr>
          <w:ilvl w:val="0"/>
          <w:numId w:val="24"/>
        </w:numPr>
        <w:spacing w:line="360" w:lineRule="auto"/>
        <w:rPr>
          <w:rFonts w:cs="Times New Roman" w:hint="cs"/>
          <w:color w:val="000000" w:themeColor="text1"/>
        </w:rPr>
      </w:pPr>
      <w:r>
        <w:rPr>
          <w:rFonts w:cs="Times New Roman"/>
          <w:color w:val="000000" w:themeColor="text1"/>
        </w:rPr>
        <w:t>“</w:t>
      </w:r>
      <w:r w:rsidR="0006423C" w:rsidRPr="00FA1482">
        <w:rPr>
          <w:rFonts w:cs="Times New Roman" w:hint="cs"/>
          <w:color w:val="000000" w:themeColor="text1"/>
        </w:rPr>
        <w:t>ESG,</w:t>
      </w:r>
      <w:r>
        <w:rPr>
          <w:rFonts w:cs="Times New Roman"/>
          <w:color w:val="000000" w:themeColor="text1"/>
        </w:rPr>
        <w:t>”</w:t>
      </w:r>
      <w:r w:rsidR="0006423C" w:rsidRPr="00FA1482">
        <w:rPr>
          <w:rFonts w:cs="Times New Roman" w:hint="cs"/>
          <w:color w:val="000000" w:themeColor="text1"/>
        </w:rPr>
        <w:t xml:space="preserve"> </w:t>
      </w:r>
      <w:r>
        <w:rPr>
          <w:rFonts w:cs="Times New Roman"/>
          <w:color w:val="000000" w:themeColor="text1"/>
        </w:rPr>
        <w:t>“</w:t>
      </w:r>
      <w:r w:rsidR="0006423C" w:rsidRPr="00FA1482">
        <w:rPr>
          <w:rFonts w:cs="Times New Roman" w:hint="cs"/>
          <w:color w:val="000000" w:themeColor="text1"/>
        </w:rPr>
        <w:t>environmental, social, and governance,</w:t>
      </w:r>
      <w:r>
        <w:rPr>
          <w:rFonts w:cs="Times New Roman"/>
          <w:color w:val="000000" w:themeColor="text1"/>
        </w:rPr>
        <w:t>”</w:t>
      </w:r>
      <w:r w:rsidR="0006423C" w:rsidRPr="00FA1482">
        <w:rPr>
          <w:rFonts w:cs="Times New Roman" w:hint="cs"/>
          <w:color w:val="000000" w:themeColor="text1"/>
        </w:rPr>
        <w:t xml:space="preserve"> </w:t>
      </w:r>
      <w:r>
        <w:rPr>
          <w:rFonts w:cs="Times New Roman"/>
          <w:color w:val="000000" w:themeColor="text1"/>
        </w:rPr>
        <w:t>“</w:t>
      </w:r>
      <w:r w:rsidR="0006423C" w:rsidRPr="00FA1482">
        <w:rPr>
          <w:rFonts w:cs="Times New Roman" w:hint="cs"/>
          <w:color w:val="000000" w:themeColor="text1"/>
        </w:rPr>
        <w:t>pecuniary factor,</w:t>
      </w:r>
      <w:r>
        <w:rPr>
          <w:rFonts w:cs="Times New Roman"/>
          <w:color w:val="000000" w:themeColor="text1"/>
        </w:rPr>
        <w:t>”</w:t>
      </w:r>
      <w:r w:rsidR="0006423C" w:rsidRPr="00FA1482">
        <w:rPr>
          <w:rFonts w:cs="Times New Roman" w:hint="cs"/>
          <w:color w:val="000000" w:themeColor="text1"/>
        </w:rPr>
        <w:t xml:space="preserve"> </w:t>
      </w:r>
      <w:r>
        <w:rPr>
          <w:rFonts w:cs="Times New Roman"/>
          <w:color w:val="000000" w:themeColor="text1"/>
        </w:rPr>
        <w:t>“</w:t>
      </w:r>
      <w:r w:rsidR="0006423C" w:rsidRPr="00FA1482">
        <w:rPr>
          <w:rFonts w:cs="Times New Roman" w:hint="cs"/>
          <w:color w:val="000000" w:themeColor="text1"/>
        </w:rPr>
        <w:t>nonpecuniary factor,</w:t>
      </w:r>
      <w:r>
        <w:rPr>
          <w:rFonts w:cs="Times New Roman"/>
          <w:color w:val="000000" w:themeColor="text1"/>
        </w:rPr>
        <w:t>”</w:t>
      </w:r>
      <w:r w:rsidR="0006423C" w:rsidRPr="00FA1482">
        <w:rPr>
          <w:rFonts w:cs="Times New Roman" w:hint="cs"/>
          <w:color w:val="000000" w:themeColor="text1"/>
        </w:rPr>
        <w:t xml:space="preserve"> </w:t>
      </w:r>
      <w:r>
        <w:rPr>
          <w:rFonts w:cs="Times New Roman"/>
          <w:color w:val="000000" w:themeColor="text1"/>
        </w:rPr>
        <w:t>“</w:t>
      </w:r>
      <w:r w:rsidR="0006423C" w:rsidRPr="00FA1482">
        <w:rPr>
          <w:rFonts w:cs="Times New Roman" w:hint="cs"/>
          <w:color w:val="000000" w:themeColor="text1"/>
        </w:rPr>
        <w:t>material,</w:t>
      </w:r>
      <w:r>
        <w:rPr>
          <w:rFonts w:cs="Times New Roman"/>
          <w:color w:val="000000" w:themeColor="text1"/>
        </w:rPr>
        <w:t>”</w:t>
      </w:r>
      <w:r w:rsidR="0006423C" w:rsidRPr="00FA1482">
        <w:rPr>
          <w:rFonts w:cs="Times New Roman" w:hint="cs"/>
          <w:color w:val="000000" w:themeColor="text1"/>
        </w:rPr>
        <w:t xml:space="preserve"> </w:t>
      </w:r>
      <w:r>
        <w:rPr>
          <w:rFonts w:cs="Times New Roman"/>
          <w:color w:val="000000" w:themeColor="text1"/>
        </w:rPr>
        <w:t>“</w:t>
      </w:r>
      <w:r w:rsidR="0006423C" w:rsidRPr="00FA1482">
        <w:rPr>
          <w:rFonts w:cs="Times New Roman" w:hint="cs"/>
          <w:color w:val="000000" w:themeColor="text1"/>
        </w:rPr>
        <w:t>fiduciary purpose,</w:t>
      </w:r>
      <w:r>
        <w:rPr>
          <w:rFonts w:cs="Times New Roman"/>
          <w:color w:val="000000" w:themeColor="text1"/>
        </w:rPr>
        <w:t>”</w:t>
      </w:r>
      <w:r w:rsidR="0006423C" w:rsidRPr="00FA1482">
        <w:rPr>
          <w:rFonts w:cs="Times New Roman" w:hint="cs"/>
          <w:color w:val="000000" w:themeColor="text1"/>
        </w:rPr>
        <w:t xml:space="preserve"> or </w:t>
      </w:r>
      <w:r>
        <w:rPr>
          <w:rFonts w:cs="Times New Roman"/>
          <w:color w:val="000000" w:themeColor="text1"/>
        </w:rPr>
        <w:t>“</w:t>
      </w:r>
      <w:r w:rsidR="0006423C" w:rsidRPr="00FA1482">
        <w:rPr>
          <w:rFonts w:cs="Times New Roman" w:hint="cs"/>
          <w:color w:val="000000" w:themeColor="text1"/>
        </w:rPr>
        <w:t>sole financial interest</w:t>
      </w:r>
      <w:r>
        <w:rPr>
          <w:rFonts w:cs="Times New Roman"/>
          <w:color w:val="000000" w:themeColor="text1"/>
        </w:rPr>
        <w:t>”</w:t>
      </w:r>
      <w:r w:rsidR="0006423C" w:rsidRPr="00FA1482">
        <w:rPr>
          <w:rFonts w:cs="Times New Roman" w:hint="cs"/>
          <w:color w:val="000000" w:themeColor="text1"/>
        </w:rPr>
        <w:t xml:space="preserve"> language in pension, trust, public-fund, or investment provisions;</w:t>
      </w:r>
    </w:p>
    <w:p w14:paraId="571FA014" w14:textId="77777777" w:rsidR="0006423C" w:rsidRPr="00FA1482" w:rsidRDefault="0006423C" w:rsidP="0006423C">
      <w:pPr>
        <w:pStyle w:val="AppendixBodyNoIndent"/>
        <w:numPr>
          <w:ilvl w:val="0"/>
          <w:numId w:val="24"/>
        </w:numPr>
        <w:spacing w:line="360" w:lineRule="auto"/>
        <w:rPr>
          <w:rFonts w:cs="Times New Roman" w:hint="cs"/>
          <w:color w:val="000000" w:themeColor="text1"/>
        </w:rPr>
      </w:pPr>
      <w:r w:rsidRPr="00FA1482">
        <w:rPr>
          <w:rFonts w:cs="Times New Roman" w:hint="cs"/>
          <w:color w:val="000000" w:themeColor="text1"/>
        </w:rPr>
        <w:t>exclusions from materiality for long-horizon, future, systemic, general, speculative, or non-investment-specific risks, where those exclusions can cover climate-risk analysis;</w:t>
      </w:r>
    </w:p>
    <w:p w14:paraId="734D04CA" w14:textId="23E87837" w:rsidR="0006423C" w:rsidRPr="00FA1482" w:rsidRDefault="0006423C" w:rsidP="0006423C">
      <w:pPr>
        <w:pStyle w:val="AppendixBodyNoIndent"/>
        <w:numPr>
          <w:ilvl w:val="0"/>
          <w:numId w:val="24"/>
        </w:numPr>
        <w:spacing w:line="360" w:lineRule="auto"/>
        <w:rPr>
          <w:rFonts w:cs="Times New Roman" w:hint="cs"/>
          <w:color w:val="000000" w:themeColor="text1"/>
        </w:rPr>
      </w:pPr>
      <w:r w:rsidRPr="00FA1482">
        <w:rPr>
          <w:rFonts w:cs="Times New Roman" w:hint="cs"/>
          <w:color w:val="000000" w:themeColor="text1"/>
        </w:rPr>
        <w:t xml:space="preserve">boycott, discrimination, or refusal-to-deal language aimed at a </w:t>
      </w:r>
      <w:r w:rsidR="00B62085">
        <w:rPr>
          <w:rFonts w:cs="Times New Roman"/>
          <w:color w:val="000000" w:themeColor="text1"/>
        </w:rPr>
        <w:t>“</w:t>
      </w:r>
      <w:r w:rsidRPr="00FA1482">
        <w:rPr>
          <w:rFonts w:cs="Times New Roman" w:hint="cs"/>
          <w:color w:val="000000" w:themeColor="text1"/>
        </w:rPr>
        <w:t>sector,</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industry,</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business,</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company,</w:t>
      </w:r>
      <w:r w:rsidR="00B62085">
        <w:rPr>
          <w:rFonts w:cs="Times New Roman"/>
          <w:color w:val="000000" w:themeColor="text1"/>
        </w:rPr>
        <w:t>”</w:t>
      </w:r>
      <w:r w:rsidRPr="00FA1482">
        <w:rPr>
          <w:rFonts w:cs="Times New Roman" w:hint="cs"/>
          <w:color w:val="000000" w:themeColor="text1"/>
        </w:rPr>
        <w:t xml:space="preserve"> </w:t>
      </w:r>
      <w:r w:rsidR="00B62085">
        <w:rPr>
          <w:rFonts w:cs="Times New Roman"/>
          <w:color w:val="000000" w:themeColor="text1"/>
        </w:rPr>
        <w:t>“</w:t>
      </w:r>
      <w:r w:rsidRPr="00FA1482">
        <w:rPr>
          <w:rFonts w:cs="Times New Roman" w:hint="cs"/>
          <w:color w:val="000000" w:themeColor="text1"/>
        </w:rPr>
        <w:t>lawful business activity,</w:t>
      </w:r>
      <w:r w:rsidR="00B62085">
        <w:rPr>
          <w:rFonts w:cs="Times New Roman"/>
          <w:color w:val="000000" w:themeColor="text1"/>
        </w:rPr>
        <w:t>”</w:t>
      </w:r>
      <w:r w:rsidRPr="00FA1482">
        <w:rPr>
          <w:rFonts w:cs="Times New Roman" w:hint="cs"/>
          <w:color w:val="000000" w:themeColor="text1"/>
        </w:rPr>
        <w:t xml:space="preserve"> or </w:t>
      </w:r>
      <w:r w:rsidR="00B62085">
        <w:rPr>
          <w:rFonts w:cs="Times New Roman"/>
          <w:color w:val="000000" w:themeColor="text1"/>
        </w:rPr>
        <w:t>“</w:t>
      </w:r>
      <w:r w:rsidRPr="00FA1482">
        <w:rPr>
          <w:rFonts w:cs="Times New Roman" w:hint="cs"/>
          <w:color w:val="000000" w:themeColor="text1"/>
        </w:rPr>
        <w:t>economic activity</w:t>
      </w:r>
      <w:r w:rsidR="00B62085">
        <w:rPr>
          <w:rFonts w:cs="Times New Roman"/>
          <w:color w:val="000000" w:themeColor="text1"/>
        </w:rPr>
        <w:t>”</w:t>
      </w:r>
      <w:r w:rsidRPr="00FA1482">
        <w:rPr>
          <w:rFonts w:cs="Times New Roman" w:hint="cs"/>
          <w:color w:val="000000" w:themeColor="text1"/>
        </w:rPr>
        <w:t xml:space="preserve"> when the statute operates through financial institutions, public contracts, pension assets, public funds, or proxy advice;</w:t>
      </w:r>
    </w:p>
    <w:p w14:paraId="6CBDBE4E" w14:textId="77777777" w:rsidR="0006423C" w:rsidRPr="00FA1482" w:rsidRDefault="0006423C" w:rsidP="0006423C">
      <w:pPr>
        <w:pStyle w:val="AppendixBodyNoIndent"/>
        <w:numPr>
          <w:ilvl w:val="0"/>
          <w:numId w:val="24"/>
        </w:numPr>
        <w:spacing w:line="360" w:lineRule="auto"/>
        <w:rPr>
          <w:rFonts w:cs="Times New Roman" w:hint="cs"/>
          <w:color w:val="000000" w:themeColor="text1"/>
        </w:rPr>
      </w:pPr>
      <w:r w:rsidRPr="00FA1482">
        <w:rPr>
          <w:rFonts w:cs="Times New Roman" w:hint="cs"/>
          <w:color w:val="000000" w:themeColor="text1"/>
        </w:rPr>
        <w:t>proxy-voting, stewardship, engagement, coalition-membership, initiative-signatory, or portfolio-company-communication provisions that can convert climate stewardship into evidence or compliance burden;</w:t>
      </w:r>
    </w:p>
    <w:p w14:paraId="463A9904" w14:textId="77777777" w:rsidR="0006423C" w:rsidRPr="00FA1482" w:rsidRDefault="0006423C" w:rsidP="0006423C">
      <w:pPr>
        <w:pStyle w:val="AppendixBodyNoIndent"/>
        <w:numPr>
          <w:ilvl w:val="0"/>
          <w:numId w:val="24"/>
        </w:numPr>
        <w:spacing w:line="360" w:lineRule="auto"/>
        <w:rPr>
          <w:rFonts w:cs="Times New Roman" w:hint="cs"/>
          <w:color w:val="000000" w:themeColor="text1"/>
        </w:rPr>
      </w:pPr>
      <w:r w:rsidRPr="00FA1482">
        <w:rPr>
          <w:rFonts w:cs="Times New Roman" w:hint="cs"/>
          <w:color w:val="000000" w:themeColor="text1"/>
        </w:rPr>
        <w:t>banking, insurance, payment-system, procurement, or contracting rules that forbid consideration of political, ideological, social, or ESG criteria in ways broad enough to cover climate policies or climate-risk standards.</w:t>
      </w:r>
    </w:p>
    <w:p w14:paraId="510D10D5" w14:textId="77777777" w:rsidR="0006423C" w:rsidRPr="00FA1482" w:rsidRDefault="0006423C" w:rsidP="0006423C">
      <w:pPr>
        <w:pStyle w:val="AppendixBodyNoIndent"/>
        <w:numPr>
          <w:ilvl w:val="0"/>
          <w:numId w:val="24"/>
        </w:numPr>
        <w:spacing w:line="360" w:lineRule="auto"/>
        <w:rPr>
          <w:rFonts w:cs="Times New Roman" w:hint="cs"/>
          <w:color w:val="000000" w:themeColor="text1"/>
        </w:rPr>
      </w:pPr>
      <w:r w:rsidRPr="00FA1482">
        <w:rPr>
          <w:rFonts w:cs="Times New Roman" w:hint="cs"/>
          <w:color w:val="000000" w:themeColor="text1"/>
        </w:rPr>
        <w:t>Broad ESG is the residual market-facing ESG category. It captures text that uses ESG, social-credit-score, political/ideological, or comparable language but does not supply a more specific climate, NCS/DEI, firearms, foreign-adversary, or energy-policy-only hook. Broad ESG rows matter for the broad ESG universe and for sensitivity analysis. They are not treated as direct evidence of climate-specific targeting unless the operative clause can plausibly reach climate-related financial analysis, disclosure, investment, proxy voting, contracting, or market conduct.</w:t>
      </w:r>
    </w:p>
    <w:p w14:paraId="7D4BA82C"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sidecar coding prevents overclaiming. Firearms-only and foreign-adversary/geopolitical bills are tracked because some political accounts group them with Anti-ESG legislation, but they do not form the climate denominator. DEI/NCS rows are separated when the operative focus is board diversity, government DEI rules, hiring, education, contracting preferences, abortion, gender, or other non-climate social policy. Those rows reenter the corporate/financial ESG analysis only when they regulate corporate governance, fiduciary analysis, investor conduct, disclosure, procurement eligibility, or market access rather than internal public-employer or education policy. Energy-policy-only rows are separated when the bill creates or funds renewable-energy programs, grid policy, utility procurement, tax incentives, or energy infrastructure without using ESG as a legal criterion and without regulating corporate/fiduciary financial judgment.</w:t>
      </w:r>
    </w:p>
    <w:p w14:paraId="5A7F964B"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coding therefore distinguishes three questions that public ESG shorthand often merges: whether a bill is politically adjacent to ESG; whether it regulates corporate, fiduciary, financial, disclosure, proxy, contracting, or market conduct; and whether its text can reach climate-related analysis. The climate-facing universe answers the third question after the first two filters have been applied.</w:t>
      </w:r>
    </w:p>
    <w:p w14:paraId="6BB5B441" w14:textId="77777777" w:rsidR="0006423C" w:rsidRPr="00FA1482" w:rsidRDefault="0006423C" w:rsidP="0006423C">
      <w:pPr>
        <w:pStyle w:val="Heading2"/>
        <w:rPr>
          <w:rFonts w:hint="cs"/>
        </w:rPr>
      </w:pPr>
      <w:bookmarkStart w:id="93" w:name="_Toc229502300"/>
      <w:r w:rsidRPr="00FA1482">
        <w:rPr>
          <w:rFonts w:hint="cs"/>
        </w:rPr>
        <w:t>G. Exclusions and Sidecars</w:t>
      </w:r>
      <w:bookmarkEnd w:id="93"/>
    </w:p>
    <w:p w14:paraId="34D108DE"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Sidecars prevent denominator drift. Firearms-only laws, foreign-adversary investment restrictions, energy-program bills, government-internal DEI rules, and general-retirement housekeeping measures may be politically adjacent to ESG debates, but they answer different legal questions from climate-facing corporate/fiduciary ESG regulation.</w:t>
      </w:r>
    </w:p>
    <w:tbl>
      <w:tblPr>
        <w:tblStyle w:val="TableGrid"/>
        <w:tblW w:w="0" w:type="auto"/>
        <w:tblLook w:val="04A0" w:firstRow="1" w:lastRow="0" w:firstColumn="1" w:lastColumn="0" w:noHBand="0" w:noVBand="1"/>
      </w:tblPr>
      <w:tblGrid>
        <w:gridCol w:w="2032"/>
        <w:gridCol w:w="1383"/>
        <w:gridCol w:w="1710"/>
        <w:gridCol w:w="1620"/>
        <w:gridCol w:w="2605"/>
      </w:tblGrid>
      <w:tr w:rsidR="0006423C" w:rsidRPr="00FA1482" w14:paraId="4350324C" w14:textId="77777777" w:rsidTr="0046034B">
        <w:tc>
          <w:tcPr>
            <w:tcW w:w="2032" w:type="dxa"/>
            <w:shd w:val="clear" w:color="auto" w:fill="EDEDED"/>
            <w:tcMar>
              <w:top w:w="70" w:type="dxa"/>
              <w:left w:w="70" w:type="dxa"/>
              <w:bottom w:w="70" w:type="dxa"/>
              <w:right w:w="70" w:type="dxa"/>
            </w:tcMar>
          </w:tcPr>
          <w:p w14:paraId="524DEBAA"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Sidecar or exclusion</w:t>
            </w:r>
          </w:p>
        </w:tc>
        <w:tc>
          <w:tcPr>
            <w:tcW w:w="1383" w:type="dxa"/>
            <w:shd w:val="clear" w:color="auto" w:fill="EDEDED"/>
            <w:tcMar>
              <w:top w:w="70" w:type="dxa"/>
              <w:left w:w="70" w:type="dxa"/>
              <w:bottom w:w="70" w:type="dxa"/>
              <w:right w:w="70" w:type="dxa"/>
            </w:tcMar>
          </w:tcPr>
          <w:p w14:paraId="1256A962"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Annual attempts</w:t>
            </w:r>
          </w:p>
        </w:tc>
        <w:tc>
          <w:tcPr>
            <w:tcW w:w="1710" w:type="dxa"/>
            <w:shd w:val="clear" w:color="auto" w:fill="EDEDED"/>
            <w:tcMar>
              <w:top w:w="70" w:type="dxa"/>
              <w:left w:w="70" w:type="dxa"/>
              <w:bottom w:w="70" w:type="dxa"/>
              <w:right w:w="70" w:type="dxa"/>
            </w:tcMar>
          </w:tcPr>
          <w:p w14:paraId="21ACD92A" w14:textId="568AA3E8"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Companion-collapsed groups</w:t>
            </w:r>
          </w:p>
        </w:tc>
        <w:tc>
          <w:tcPr>
            <w:tcW w:w="1620" w:type="dxa"/>
            <w:shd w:val="clear" w:color="auto" w:fill="EDEDED"/>
            <w:tcMar>
              <w:top w:w="70" w:type="dxa"/>
              <w:left w:w="70" w:type="dxa"/>
              <w:bottom w:w="70" w:type="dxa"/>
              <w:right w:w="70" w:type="dxa"/>
            </w:tcMar>
          </w:tcPr>
          <w:p w14:paraId="7F13DB73"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Filed bill records</w:t>
            </w:r>
          </w:p>
        </w:tc>
        <w:tc>
          <w:tcPr>
            <w:tcW w:w="2605" w:type="dxa"/>
            <w:shd w:val="clear" w:color="auto" w:fill="EDEDED"/>
            <w:tcMar>
              <w:top w:w="70" w:type="dxa"/>
              <w:left w:w="70" w:type="dxa"/>
              <w:bottom w:w="70" w:type="dxa"/>
              <w:right w:w="70" w:type="dxa"/>
            </w:tcMar>
          </w:tcPr>
          <w:p w14:paraId="37D6B7A6"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Treatment</w:t>
            </w:r>
          </w:p>
        </w:tc>
      </w:tr>
      <w:tr w:rsidR="0006423C" w:rsidRPr="00FA1482" w14:paraId="40471331" w14:textId="77777777" w:rsidTr="0046034B">
        <w:tc>
          <w:tcPr>
            <w:tcW w:w="2032" w:type="dxa"/>
            <w:tcMar>
              <w:top w:w="70" w:type="dxa"/>
              <w:left w:w="70" w:type="dxa"/>
              <w:bottom w:w="70" w:type="dxa"/>
              <w:right w:w="70" w:type="dxa"/>
            </w:tcMar>
          </w:tcPr>
          <w:p w14:paraId="76A6630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Hard non-ESG false positives</w:t>
            </w:r>
          </w:p>
        </w:tc>
        <w:tc>
          <w:tcPr>
            <w:tcW w:w="1383" w:type="dxa"/>
            <w:tcMar>
              <w:top w:w="70" w:type="dxa"/>
              <w:left w:w="70" w:type="dxa"/>
              <w:bottom w:w="70" w:type="dxa"/>
              <w:right w:w="70" w:type="dxa"/>
            </w:tcMar>
          </w:tcPr>
          <w:p w14:paraId="6831E01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172</w:t>
            </w:r>
          </w:p>
        </w:tc>
        <w:tc>
          <w:tcPr>
            <w:tcW w:w="1710" w:type="dxa"/>
            <w:tcMar>
              <w:top w:w="70" w:type="dxa"/>
              <w:left w:w="70" w:type="dxa"/>
              <w:bottom w:w="70" w:type="dxa"/>
              <w:right w:w="70" w:type="dxa"/>
            </w:tcMar>
          </w:tcPr>
          <w:p w14:paraId="5C6E45B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128</w:t>
            </w:r>
          </w:p>
        </w:tc>
        <w:tc>
          <w:tcPr>
            <w:tcW w:w="1620" w:type="dxa"/>
            <w:tcMar>
              <w:top w:w="70" w:type="dxa"/>
              <w:left w:w="70" w:type="dxa"/>
              <w:bottom w:w="70" w:type="dxa"/>
              <w:right w:w="70" w:type="dxa"/>
            </w:tcMar>
          </w:tcPr>
          <w:p w14:paraId="0D747CC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136</w:t>
            </w:r>
          </w:p>
        </w:tc>
        <w:tc>
          <w:tcPr>
            <w:tcW w:w="2605" w:type="dxa"/>
            <w:tcMar>
              <w:top w:w="70" w:type="dxa"/>
              <w:left w:w="70" w:type="dxa"/>
              <w:bottom w:w="70" w:type="dxa"/>
              <w:right w:w="70" w:type="dxa"/>
            </w:tcMar>
          </w:tcPr>
          <w:p w14:paraId="48E2CFB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Excluded from substantive ESG denominators.</w:t>
            </w:r>
          </w:p>
        </w:tc>
      </w:tr>
      <w:tr w:rsidR="0006423C" w:rsidRPr="00FA1482" w14:paraId="53F06B29" w14:textId="77777777" w:rsidTr="0046034B">
        <w:tc>
          <w:tcPr>
            <w:tcW w:w="2032" w:type="dxa"/>
            <w:tcMar>
              <w:top w:w="70" w:type="dxa"/>
              <w:left w:w="70" w:type="dxa"/>
              <w:bottom w:w="70" w:type="dxa"/>
              <w:right w:w="70" w:type="dxa"/>
            </w:tcMar>
          </w:tcPr>
          <w:p w14:paraId="01B820B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General-retirement-only rows</w:t>
            </w:r>
          </w:p>
        </w:tc>
        <w:tc>
          <w:tcPr>
            <w:tcW w:w="1383" w:type="dxa"/>
            <w:tcMar>
              <w:top w:w="70" w:type="dxa"/>
              <w:left w:w="70" w:type="dxa"/>
              <w:bottom w:w="70" w:type="dxa"/>
              <w:right w:w="70" w:type="dxa"/>
            </w:tcMar>
          </w:tcPr>
          <w:p w14:paraId="0FCC8F4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w:t>
            </w:r>
          </w:p>
        </w:tc>
        <w:tc>
          <w:tcPr>
            <w:tcW w:w="1710" w:type="dxa"/>
            <w:tcMar>
              <w:top w:w="70" w:type="dxa"/>
              <w:left w:w="70" w:type="dxa"/>
              <w:bottom w:w="70" w:type="dxa"/>
              <w:right w:w="70" w:type="dxa"/>
            </w:tcMar>
          </w:tcPr>
          <w:p w14:paraId="35A1A5D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w:t>
            </w:r>
          </w:p>
        </w:tc>
        <w:tc>
          <w:tcPr>
            <w:tcW w:w="1620" w:type="dxa"/>
            <w:tcMar>
              <w:top w:w="70" w:type="dxa"/>
              <w:left w:w="70" w:type="dxa"/>
              <w:bottom w:w="70" w:type="dxa"/>
              <w:right w:w="70" w:type="dxa"/>
            </w:tcMar>
          </w:tcPr>
          <w:p w14:paraId="1563C3B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w:t>
            </w:r>
          </w:p>
        </w:tc>
        <w:tc>
          <w:tcPr>
            <w:tcW w:w="2605" w:type="dxa"/>
            <w:tcMar>
              <w:top w:w="70" w:type="dxa"/>
              <w:left w:w="70" w:type="dxa"/>
              <w:bottom w:w="70" w:type="dxa"/>
              <w:right w:w="70" w:type="dxa"/>
            </w:tcMar>
          </w:tcPr>
          <w:p w14:paraId="2F57BCB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Excluded from substantive ESG denominators.</w:t>
            </w:r>
          </w:p>
        </w:tc>
      </w:tr>
      <w:tr w:rsidR="0006423C" w:rsidRPr="00FA1482" w14:paraId="4800FD77" w14:textId="77777777" w:rsidTr="0046034B">
        <w:tc>
          <w:tcPr>
            <w:tcW w:w="2032" w:type="dxa"/>
            <w:tcMar>
              <w:top w:w="70" w:type="dxa"/>
              <w:left w:w="70" w:type="dxa"/>
              <w:bottom w:w="70" w:type="dxa"/>
              <w:right w:w="70" w:type="dxa"/>
            </w:tcMar>
          </w:tcPr>
          <w:p w14:paraId="494BEF3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Energy-policy-only rows</w:t>
            </w:r>
          </w:p>
        </w:tc>
        <w:tc>
          <w:tcPr>
            <w:tcW w:w="1383" w:type="dxa"/>
            <w:tcMar>
              <w:top w:w="70" w:type="dxa"/>
              <w:left w:w="70" w:type="dxa"/>
              <w:bottom w:w="70" w:type="dxa"/>
              <w:right w:w="70" w:type="dxa"/>
            </w:tcMar>
          </w:tcPr>
          <w:p w14:paraId="012408D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124</w:t>
            </w:r>
          </w:p>
        </w:tc>
        <w:tc>
          <w:tcPr>
            <w:tcW w:w="1710" w:type="dxa"/>
            <w:tcMar>
              <w:top w:w="70" w:type="dxa"/>
              <w:left w:w="70" w:type="dxa"/>
              <w:bottom w:w="70" w:type="dxa"/>
              <w:right w:w="70" w:type="dxa"/>
            </w:tcMar>
          </w:tcPr>
          <w:p w14:paraId="5E73D20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87</w:t>
            </w:r>
          </w:p>
        </w:tc>
        <w:tc>
          <w:tcPr>
            <w:tcW w:w="1620" w:type="dxa"/>
            <w:tcMar>
              <w:top w:w="70" w:type="dxa"/>
              <w:left w:w="70" w:type="dxa"/>
              <w:bottom w:w="70" w:type="dxa"/>
              <w:right w:w="70" w:type="dxa"/>
            </w:tcMar>
          </w:tcPr>
          <w:p w14:paraId="1C4C6F8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87</w:t>
            </w:r>
          </w:p>
        </w:tc>
        <w:tc>
          <w:tcPr>
            <w:tcW w:w="2605" w:type="dxa"/>
            <w:tcMar>
              <w:top w:w="70" w:type="dxa"/>
              <w:left w:w="70" w:type="dxa"/>
              <w:bottom w:w="70" w:type="dxa"/>
              <w:right w:w="70" w:type="dxa"/>
            </w:tcMar>
          </w:tcPr>
          <w:p w14:paraId="3B5F099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Boundary/sensitivity lane; not the default corporate/fiduciary denominator.</w:t>
            </w:r>
          </w:p>
        </w:tc>
      </w:tr>
      <w:tr w:rsidR="0006423C" w:rsidRPr="00FA1482" w14:paraId="71CAAFAE" w14:textId="77777777" w:rsidTr="0046034B">
        <w:tc>
          <w:tcPr>
            <w:tcW w:w="2032" w:type="dxa"/>
            <w:tcMar>
              <w:top w:w="70" w:type="dxa"/>
              <w:left w:w="70" w:type="dxa"/>
              <w:bottom w:w="70" w:type="dxa"/>
              <w:right w:w="70" w:type="dxa"/>
            </w:tcMar>
          </w:tcPr>
          <w:p w14:paraId="69089CD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Firearms-only rows</w:t>
            </w:r>
          </w:p>
        </w:tc>
        <w:tc>
          <w:tcPr>
            <w:tcW w:w="1383" w:type="dxa"/>
            <w:tcMar>
              <w:top w:w="70" w:type="dxa"/>
              <w:left w:w="70" w:type="dxa"/>
              <w:bottom w:w="70" w:type="dxa"/>
              <w:right w:w="70" w:type="dxa"/>
            </w:tcMar>
          </w:tcPr>
          <w:p w14:paraId="0A76B3F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112</w:t>
            </w:r>
          </w:p>
        </w:tc>
        <w:tc>
          <w:tcPr>
            <w:tcW w:w="1710" w:type="dxa"/>
            <w:tcMar>
              <w:top w:w="70" w:type="dxa"/>
              <w:left w:w="70" w:type="dxa"/>
              <w:bottom w:w="70" w:type="dxa"/>
              <w:right w:w="70" w:type="dxa"/>
            </w:tcMar>
          </w:tcPr>
          <w:p w14:paraId="06E1B60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91</w:t>
            </w:r>
          </w:p>
        </w:tc>
        <w:tc>
          <w:tcPr>
            <w:tcW w:w="1620" w:type="dxa"/>
            <w:tcMar>
              <w:top w:w="70" w:type="dxa"/>
              <w:left w:w="70" w:type="dxa"/>
              <w:bottom w:w="70" w:type="dxa"/>
              <w:right w:w="70" w:type="dxa"/>
            </w:tcMar>
          </w:tcPr>
          <w:p w14:paraId="1C1050E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91</w:t>
            </w:r>
          </w:p>
        </w:tc>
        <w:tc>
          <w:tcPr>
            <w:tcW w:w="2605" w:type="dxa"/>
            <w:tcMar>
              <w:top w:w="70" w:type="dxa"/>
              <w:left w:w="70" w:type="dxa"/>
              <w:bottom w:w="70" w:type="dxa"/>
              <w:right w:w="70" w:type="dxa"/>
            </w:tcMar>
          </w:tcPr>
          <w:p w14:paraId="38FD8B0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Sidecar comparator; removed before core corporate/fiduciary ESG.</w:t>
            </w:r>
          </w:p>
        </w:tc>
      </w:tr>
      <w:tr w:rsidR="0006423C" w:rsidRPr="00FA1482" w14:paraId="6E0A2FA0" w14:textId="77777777" w:rsidTr="0046034B">
        <w:tc>
          <w:tcPr>
            <w:tcW w:w="2032" w:type="dxa"/>
            <w:tcMar>
              <w:top w:w="70" w:type="dxa"/>
              <w:left w:w="70" w:type="dxa"/>
              <w:bottom w:w="70" w:type="dxa"/>
              <w:right w:w="70" w:type="dxa"/>
            </w:tcMar>
          </w:tcPr>
          <w:p w14:paraId="07C28BE4" w14:textId="77777777" w:rsidR="0006423C" w:rsidRPr="00FA1482" w:rsidRDefault="0006423C" w:rsidP="00DB0233">
            <w:pPr>
              <w:pStyle w:val="AppendixTableCellNoIndent"/>
              <w:rPr>
                <w:rFonts w:ascii="Times New Roman" w:hAnsi="Times New Roman" w:cs="Times New Roman" w:hint="cs"/>
                <w:color w:val="000000" w:themeColor="text1"/>
              </w:rPr>
            </w:pPr>
            <w:proofErr w:type="gramStart"/>
            <w:r w:rsidRPr="00FA1482">
              <w:rPr>
                <w:rFonts w:ascii="Times New Roman" w:eastAsia="Times New Roman" w:hAnsi="Times New Roman" w:cs="Times New Roman" w:hint="cs"/>
                <w:color w:val="000000" w:themeColor="text1"/>
              </w:rPr>
              <w:t>Foreign-adversary</w:t>
            </w:r>
            <w:proofErr w:type="gramEnd"/>
            <w:r w:rsidRPr="00FA1482">
              <w:rPr>
                <w:rFonts w:ascii="Times New Roman" w:eastAsia="Times New Roman" w:hAnsi="Times New Roman" w:cs="Times New Roman" w:hint="cs"/>
                <w:color w:val="000000" w:themeColor="text1"/>
              </w:rPr>
              <w:t>/geopolitical rows</w:t>
            </w:r>
          </w:p>
        </w:tc>
        <w:tc>
          <w:tcPr>
            <w:tcW w:w="1383" w:type="dxa"/>
            <w:tcMar>
              <w:top w:w="70" w:type="dxa"/>
              <w:left w:w="70" w:type="dxa"/>
              <w:bottom w:w="70" w:type="dxa"/>
              <w:right w:w="70" w:type="dxa"/>
            </w:tcMar>
          </w:tcPr>
          <w:p w14:paraId="4D7D700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104</w:t>
            </w:r>
          </w:p>
        </w:tc>
        <w:tc>
          <w:tcPr>
            <w:tcW w:w="1710" w:type="dxa"/>
            <w:tcMar>
              <w:top w:w="70" w:type="dxa"/>
              <w:left w:w="70" w:type="dxa"/>
              <w:bottom w:w="70" w:type="dxa"/>
              <w:right w:w="70" w:type="dxa"/>
            </w:tcMar>
          </w:tcPr>
          <w:p w14:paraId="603FEAA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74</w:t>
            </w:r>
          </w:p>
        </w:tc>
        <w:tc>
          <w:tcPr>
            <w:tcW w:w="1620" w:type="dxa"/>
            <w:tcMar>
              <w:top w:w="70" w:type="dxa"/>
              <w:left w:w="70" w:type="dxa"/>
              <w:bottom w:w="70" w:type="dxa"/>
              <w:right w:w="70" w:type="dxa"/>
            </w:tcMar>
          </w:tcPr>
          <w:p w14:paraId="0F1ACDC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76</w:t>
            </w:r>
          </w:p>
        </w:tc>
        <w:tc>
          <w:tcPr>
            <w:tcW w:w="2605" w:type="dxa"/>
            <w:tcMar>
              <w:top w:w="70" w:type="dxa"/>
              <w:left w:w="70" w:type="dxa"/>
              <w:bottom w:w="70" w:type="dxa"/>
              <w:right w:w="70" w:type="dxa"/>
            </w:tcMar>
          </w:tcPr>
          <w:p w14:paraId="125550D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Sidecar comparator; not Anti/Pro climate ESG.</w:t>
            </w:r>
          </w:p>
        </w:tc>
      </w:tr>
      <w:tr w:rsidR="0006423C" w:rsidRPr="00FA1482" w14:paraId="1514855E" w14:textId="77777777" w:rsidTr="0046034B">
        <w:tc>
          <w:tcPr>
            <w:tcW w:w="2032" w:type="dxa"/>
            <w:tcMar>
              <w:top w:w="70" w:type="dxa"/>
              <w:left w:w="70" w:type="dxa"/>
              <w:bottom w:w="70" w:type="dxa"/>
              <w:right w:w="70" w:type="dxa"/>
            </w:tcMar>
          </w:tcPr>
          <w:p w14:paraId="17D1F4D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DEI/NCS diagnostic rows</w:t>
            </w:r>
          </w:p>
        </w:tc>
        <w:tc>
          <w:tcPr>
            <w:tcW w:w="1383" w:type="dxa"/>
            <w:tcMar>
              <w:top w:w="70" w:type="dxa"/>
              <w:left w:w="70" w:type="dxa"/>
              <w:bottom w:w="70" w:type="dxa"/>
              <w:right w:w="70" w:type="dxa"/>
            </w:tcMar>
          </w:tcPr>
          <w:p w14:paraId="6CAA2B7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146</w:t>
            </w:r>
          </w:p>
        </w:tc>
        <w:tc>
          <w:tcPr>
            <w:tcW w:w="1710" w:type="dxa"/>
            <w:tcMar>
              <w:top w:w="70" w:type="dxa"/>
              <w:left w:w="70" w:type="dxa"/>
              <w:bottom w:w="70" w:type="dxa"/>
              <w:right w:w="70" w:type="dxa"/>
            </w:tcMar>
          </w:tcPr>
          <w:p w14:paraId="5752C59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100</w:t>
            </w:r>
          </w:p>
        </w:tc>
        <w:tc>
          <w:tcPr>
            <w:tcW w:w="1620" w:type="dxa"/>
            <w:tcMar>
              <w:top w:w="70" w:type="dxa"/>
              <w:left w:w="70" w:type="dxa"/>
              <w:bottom w:w="70" w:type="dxa"/>
              <w:right w:w="70" w:type="dxa"/>
            </w:tcMar>
          </w:tcPr>
          <w:p w14:paraId="1D72ABF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116</w:t>
            </w:r>
          </w:p>
        </w:tc>
        <w:tc>
          <w:tcPr>
            <w:tcW w:w="2605" w:type="dxa"/>
            <w:tcMar>
              <w:top w:w="70" w:type="dxa"/>
              <w:left w:w="70" w:type="dxa"/>
              <w:bottom w:w="70" w:type="dxa"/>
              <w:right w:w="70" w:type="dxa"/>
            </w:tcMar>
          </w:tcPr>
          <w:p w14:paraId="533AE29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Non-climate social diagnostic lane.</w:t>
            </w:r>
          </w:p>
        </w:tc>
      </w:tr>
      <w:tr w:rsidR="0006423C" w:rsidRPr="00FA1482" w14:paraId="04621DC0" w14:textId="77777777" w:rsidTr="0046034B">
        <w:tc>
          <w:tcPr>
            <w:tcW w:w="2032" w:type="dxa"/>
            <w:tcMar>
              <w:top w:w="70" w:type="dxa"/>
              <w:left w:w="70" w:type="dxa"/>
              <w:bottom w:w="70" w:type="dxa"/>
              <w:right w:w="70" w:type="dxa"/>
            </w:tcMar>
          </w:tcPr>
          <w:p w14:paraId="4F4D22F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Federal-action-only / federal-only rows</w:t>
            </w:r>
          </w:p>
        </w:tc>
        <w:tc>
          <w:tcPr>
            <w:tcW w:w="1383" w:type="dxa"/>
            <w:tcMar>
              <w:top w:w="70" w:type="dxa"/>
              <w:left w:w="70" w:type="dxa"/>
              <w:bottom w:w="70" w:type="dxa"/>
              <w:right w:w="70" w:type="dxa"/>
            </w:tcMar>
          </w:tcPr>
          <w:p w14:paraId="5D424F7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55</w:t>
            </w:r>
          </w:p>
        </w:tc>
        <w:tc>
          <w:tcPr>
            <w:tcW w:w="1710" w:type="dxa"/>
            <w:tcMar>
              <w:top w:w="70" w:type="dxa"/>
              <w:left w:w="70" w:type="dxa"/>
              <w:bottom w:w="70" w:type="dxa"/>
              <w:right w:w="70" w:type="dxa"/>
            </w:tcMar>
          </w:tcPr>
          <w:p w14:paraId="53EE7E5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33</w:t>
            </w:r>
          </w:p>
        </w:tc>
        <w:tc>
          <w:tcPr>
            <w:tcW w:w="1620" w:type="dxa"/>
            <w:tcMar>
              <w:top w:w="70" w:type="dxa"/>
              <w:left w:w="70" w:type="dxa"/>
              <w:bottom w:w="70" w:type="dxa"/>
              <w:right w:w="70" w:type="dxa"/>
            </w:tcMar>
          </w:tcPr>
          <w:p w14:paraId="7F72873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46</w:t>
            </w:r>
          </w:p>
        </w:tc>
        <w:tc>
          <w:tcPr>
            <w:tcW w:w="2605" w:type="dxa"/>
            <w:tcMar>
              <w:top w:w="70" w:type="dxa"/>
              <w:left w:w="70" w:type="dxa"/>
              <w:bottom w:w="70" w:type="dxa"/>
              <w:right w:w="70" w:type="dxa"/>
            </w:tcMar>
          </w:tcPr>
          <w:p w14:paraId="67BACD4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Federal-side boundary lane; not the state-law corporate/fiduciary core.</w:t>
            </w:r>
          </w:p>
        </w:tc>
      </w:tr>
    </w:tbl>
    <w:p w14:paraId="431BF304" w14:textId="77777777" w:rsidR="0006423C" w:rsidRPr="00FA1482" w:rsidRDefault="0006423C" w:rsidP="0006423C">
      <w:pPr>
        <w:pStyle w:val="AppendixBodyNoIndent"/>
        <w:rPr>
          <w:rFonts w:cs="Times New Roman" w:hint="cs"/>
          <w:color w:val="000000" w:themeColor="text1"/>
        </w:rPr>
      </w:pPr>
    </w:p>
    <w:tbl>
      <w:tblPr>
        <w:tblStyle w:val="TableGrid"/>
        <w:tblW w:w="0" w:type="auto"/>
        <w:tblLook w:val="04A0" w:firstRow="1" w:lastRow="0" w:firstColumn="1" w:lastColumn="0" w:noHBand="0" w:noVBand="1"/>
      </w:tblPr>
      <w:tblGrid>
        <w:gridCol w:w="1918"/>
        <w:gridCol w:w="1194"/>
        <w:gridCol w:w="942"/>
        <w:gridCol w:w="1066"/>
        <w:gridCol w:w="1066"/>
        <w:gridCol w:w="937"/>
        <w:gridCol w:w="1066"/>
        <w:gridCol w:w="1161"/>
      </w:tblGrid>
      <w:tr w:rsidR="0006423C" w:rsidRPr="00FA1482" w14:paraId="52D0B67D" w14:textId="77777777" w:rsidTr="00DB0233">
        <w:tc>
          <w:tcPr>
            <w:tcW w:w="1296" w:type="dxa"/>
            <w:shd w:val="clear" w:color="auto" w:fill="EDEDED"/>
            <w:tcMar>
              <w:top w:w="70" w:type="dxa"/>
              <w:left w:w="70" w:type="dxa"/>
              <w:bottom w:w="70" w:type="dxa"/>
              <w:right w:w="70" w:type="dxa"/>
            </w:tcMar>
          </w:tcPr>
          <w:p w14:paraId="2246B6FF"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Sidecar lane</w:t>
            </w:r>
          </w:p>
        </w:tc>
        <w:tc>
          <w:tcPr>
            <w:tcW w:w="1296" w:type="dxa"/>
            <w:shd w:val="clear" w:color="auto" w:fill="EDEDED"/>
            <w:tcMar>
              <w:top w:w="70" w:type="dxa"/>
              <w:left w:w="70" w:type="dxa"/>
              <w:bottom w:w="70" w:type="dxa"/>
              <w:right w:w="70" w:type="dxa"/>
            </w:tcMar>
          </w:tcPr>
          <w:p w14:paraId="0DE7269D"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Stance</w:t>
            </w:r>
          </w:p>
        </w:tc>
        <w:tc>
          <w:tcPr>
            <w:tcW w:w="1296" w:type="dxa"/>
            <w:shd w:val="clear" w:color="auto" w:fill="EDEDED"/>
            <w:tcMar>
              <w:top w:w="70" w:type="dxa"/>
              <w:left w:w="70" w:type="dxa"/>
              <w:bottom w:w="70" w:type="dxa"/>
              <w:right w:w="70" w:type="dxa"/>
            </w:tcMar>
          </w:tcPr>
          <w:p w14:paraId="77C0FD9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Total</w:t>
            </w:r>
          </w:p>
        </w:tc>
        <w:tc>
          <w:tcPr>
            <w:tcW w:w="1296" w:type="dxa"/>
            <w:shd w:val="clear" w:color="auto" w:fill="EDEDED"/>
            <w:tcMar>
              <w:top w:w="70" w:type="dxa"/>
              <w:left w:w="70" w:type="dxa"/>
              <w:bottom w:w="70" w:type="dxa"/>
              <w:right w:w="70" w:type="dxa"/>
            </w:tcMar>
          </w:tcPr>
          <w:p w14:paraId="41CCAE25"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w:t>
            </w:r>
          </w:p>
        </w:tc>
        <w:tc>
          <w:tcPr>
            <w:tcW w:w="1296" w:type="dxa"/>
            <w:shd w:val="clear" w:color="auto" w:fill="EDEDED"/>
            <w:tcMar>
              <w:top w:w="70" w:type="dxa"/>
              <w:left w:w="70" w:type="dxa"/>
              <w:bottom w:w="70" w:type="dxa"/>
              <w:right w:w="70" w:type="dxa"/>
            </w:tcMar>
          </w:tcPr>
          <w:p w14:paraId="64418EB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Pending</w:t>
            </w:r>
          </w:p>
        </w:tc>
        <w:tc>
          <w:tcPr>
            <w:tcW w:w="1296" w:type="dxa"/>
            <w:shd w:val="clear" w:color="auto" w:fill="EDEDED"/>
            <w:tcMar>
              <w:top w:w="70" w:type="dxa"/>
              <w:left w:w="70" w:type="dxa"/>
              <w:bottom w:w="70" w:type="dxa"/>
              <w:right w:w="70" w:type="dxa"/>
            </w:tcMar>
          </w:tcPr>
          <w:p w14:paraId="420C008E"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Dead</w:t>
            </w:r>
          </w:p>
        </w:tc>
        <w:tc>
          <w:tcPr>
            <w:tcW w:w="1296" w:type="dxa"/>
            <w:shd w:val="clear" w:color="auto" w:fill="EDEDED"/>
            <w:tcMar>
              <w:top w:w="70" w:type="dxa"/>
              <w:left w:w="70" w:type="dxa"/>
              <w:bottom w:w="70" w:type="dxa"/>
              <w:right w:w="70" w:type="dxa"/>
            </w:tcMar>
          </w:tcPr>
          <w:p w14:paraId="617E22C6"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 states</w:t>
            </w:r>
          </w:p>
        </w:tc>
        <w:tc>
          <w:tcPr>
            <w:tcW w:w="1296" w:type="dxa"/>
            <w:shd w:val="clear" w:color="auto" w:fill="EDEDED"/>
            <w:tcMar>
              <w:top w:w="70" w:type="dxa"/>
              <w:left w:w="70" w:type="dxa"/>
              <w:bottom w:w="70" w:type="dxa"/>
              <w:right w:w="70" w:type="dxa"/>
            </w:tcMar>
          </w:tcPr>
          <w:p w14:paraId="3F08E1F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Resolved enactment rate</w:t>
            </w:r>
          </w:p>
        </w:tc>
      </w:tr>
      <w:tr w:rsidR="0006423C" w:rsidRPr="00FA1482" w14:paraId="447826E4" w14:textId="77777777" w:rsidTr="00DB0233">
        <w:tc>
          <w:tcPr>
            <w:tcW w:w="1296" w:type="dxa"/>
            <w:tcMar>
              <w:top w:w="70" w:type="dxa"/>
              <w:left w:w="70" w:type="dxa"/>
              <w:bottom w:w="70" w:type="dxa"/>
              <w:right w:w="70" w:type="dxa"/>
            </w:tcMar>
          </w:tcPr>
          <w:p w14:paraId="2BF5AE6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Firearms-only</w:t>
            </w:r>
          </w:p>
        </w:tc>
        <w:tc>
          <w:tcPr>
            <w:tcW w:w="1296" w:type="dxa"/>
            <w:tcMar>
              <w:top w:w="70" w:type="dxa"/>
              <w:left w:w="70" w:type="dxa"/>
              <w:bottom w:w="70" w:type="dxa"/>
              <w:right w:w="70" w:type="dxa"/>
            </w:tcMar>
          </w:tcPr>
          <w:p w14:paraId="0B2F985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296" w:type="dxa"/>
            <w:tcMar>
              <w:top w:w="70" w:type="dxa"/>
              <w:left w:w="70" w:type="dxa"/>
              <w:bottom w:w="70" w:type="dxa"/>
              <w:right w:w="70" w:type="dxa"/>
            </w:tcMar>
          </w:tcPr>
          <w:p w14:paraId="3BF3A73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61</w:t>
            </w:r>
          </w:p>
        </w:tc>
        <w:tc>
          <w:tcPr>
            <w:tcW w:w="1296" w:type="dxa"/>
            <w:tcMar>
              <w:top w:w="70" w:type="dxa"/>
              <w:left w:w="70" w:type="dxa"/>
              <w:bottom w:w="70" w:type="dxa"/>
              <w:right w:w="70" w:type="dxa"/>
            </w:tcMar>
          </w:tcPr>
          <w:p w14:paraId="0D635EA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w:t>
            </w:r>
          </w:p>
        </w:tc>
        <w:tc>
          <w:tcPr>
            <w:tcW w:w="1296" w:type="dxa"/>
            <w:tcMar>
              <w:top w:w="70" w:type="dxa"/>
              <w:left w:w="70" w:type="dxa"/>
              <w:bottom w:w="70" w:type="dxa"/>
              <w:right w:w="70" w:type="dxa"/>
            </w:tcMar>
          </w:tcPr>
          <w:p w14:paraId="3833B6F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w:t>
            </w:r>
          </w:p>
        </w:tc>
        <w:tc>
          <w:tcPr>
            <w:tcW w:w="1296" w:type="dxa"/>
            <w:tcMar>
              <w:top w:w="70" w:type="dxa"/>
              <w:left w:w="70" w:type="dxa"/>
              <w:bottom w:w="70" w:type="dxa"/>
              <w:right w:w="70" w:type="dxa"/>
            </w:tcMar>
          </w:tcPr>
          <w:p w14:paraId="32FEEA5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43</w:t>
            </w:r>
          </w:p>
        </w:tc>
        <w:tc>
          <w:tcPr>
            <w:tcW w:w="1296" w:type="dxa"/>
            <w:tcMar>
              <w:top w:w="70" w:type="dxa"/>
              <w:left w:w="70" w:type="dxa"/>
              <w:bottom w:w="70" w:type="dxa"/>
              <w:right w:w="70" w:type="dxa"/>
            </w:tcMar>
          </w:tcPr>
          <w:p w14:paraId="7870BF7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w:t>
            </w:r>
          </w:p>
        </w:tc>
        <w:tc>
          <w:tcPr>
            <w:tcW w:w="1296" w:type="dxa"/>
            <w:tcMar>
              <w:top w:w="70" w:type="dxa"/>
              <w:left w:w="70" w:type="dxa"/>
              <w:bottom w:w="70" w:type="dxa"/>
              <w:right w:w="70" w:type="dxa"/>
            </w:tcMar>
          </w:tcPr>
          <w:p w14:paraId="186DB9A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20.37%</w:t>
            </w:r>
          </w:p>
        </w:tc>
      </w:tr>
      <w:tr w:rsidR="0006423C" w:rsidRPr="00FA1482" w14:paraId="68CD5372" w14:textId="77777777" w:rsidTr="00DB0233">
        <w:tc>
          <w:tcPr>
            <w:tcW w:w="1296" w:type="dxa"/>
            <w:tcMar>
              <w:top w:w="70" w:type="dxa"/>
              <w:left w:w="70" w:type="dxa"/>
              <w:bottom w:w="70" w:type="dxa"/>
              <w:right w:w="70" w:type="dxa"/>
            </w:tcMar>
          </w:tcPr>
          <w:p w14:paraId="5078CFE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Firearms-only</w:t>
            </w:r>
          </w:p>
        </w:tc>
        <w:tc>
          <w:tcPr>
            <w:tcW w:w="1296" w:type="dxa"/>
            <w:tcMar>
              <w:top w:w="70" w:type="dxa"/>
              <w:left w:w="70" w:type="dxa"/>
              <w:bottom w:w="70" w:type="dxa"/>
              <w:right w:w="70" w:type="dxa"/>
            </w:tcMar>
          </w:tcPr>
          <w:p w14:paraId="45CC609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296" w:type="dxa"/>
            <w:tcMar>
              <w:top w:w="70" w:type="dxa"/>
              <w:left w:w="70" w:type="dxa"/>
              <w:bottom w:w="70" w:type="dxa"/>
              <w:right w:w="70" w:type="dxa"/>
            </w:tcMar>
          </w:tcPr>
          <w:p w14:paraId="4CA1E62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30</w:t>
            </w:r>
          </w:p>
        </w:tc>
        <w:tc>
          <w:tcPr>
            <w:tcW w:w="1296" w:type="dxa"/>
            <w:tcMar>
              <w:top w:w="70" w:type="dxa"/>
              <w:left w:w="70" w:type="dxa"/>
              <w:bottom w:w="70" w:type="dxa"/>
              <w:right w:w="70" w:type="dxa"/>
            </w:tcMar>
          </w:tcPr>
          <w:p w14:paraId="7A08596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296" w:type="dxa"/>
            <w:tcMar>
              <w:top w:w="70" w:type="dxa"/>
              <w:left w:w="70" w:type="dxa"/>
              <w:bottom w:w="70" w:type="dxa"/>
              <w:right w:w="70" w:type="dxa"/>
            </w:tcMar>
          </w:tcPr>
          <w:p w14:paraId="2D5BF8A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w:t>
            </w:r>
          </w:p>
        </w:tc>
        <w:tc>
          <w:tcPr>
            <w:tcW w:w="1296" w:type="dxa"/>
            <w:tcMar>
              <w:top w:w="70" w:type="dxa"/>
              <w:left w:w="70" w:type="dxa"/>
              <w:bottom w:w="70" w:type="dxa"/>
              <w:right w:w="70" w:type="dxa"/>
            </w:tcMar>
          </w:tcPr>
          <w:p w14:paraId="3C5EE5C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w:t>
            </w:r>
          </w:p>
        </w:tc>
        <w:tc>
          <w:tcPr>
            <w:tcW w:w="1296" w:type="dxa"/>
            <w:tcMar>
              <w:top w:w="70" w:type="dxa"/>
              <w:left w:w="70" w:type="dxa"/>
              <w:bottom w:w="70" w:type="dxa"/>
              <w:right w:w="70" w:type="dxa"/>
            </w:tcMar>
          </w:tcPr>
          <w:p w14:paraId="1FA1C53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296" w:type="dxa"/>
            <w:tcMar>
              <w:top w:w="70" w:type="dxa"/>
              <w:left w:w="70" w:type="dxa"/>
              <w:bottom w:w="70" w:type="dxa"/>
              <w:right w:w="70" w:type="dxa"/>
            </w:tcMar>
          </w:tcPr>
          <w:p w14:paraId="1C183C4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0.00%</w:t>
            </w:r>
          </w:p>
        </w:tc>
      </w:tr>
      <w:tr w:rsidR="0006423C" w:rsidRPr="00FA1482" w14:paraId="0D031B0F" w14:textId="77777777" w:rsidTr="00DB0233">
        <w:tc>
          <w:tcPr>
            <w:tcW w:w="1296" w:type="dxa"/>
            <w:tcMar>
              <w:top w:w="70" w:type="dxa"/>
              <w:left w:w="70" w:type="dxa"/>
              <w:bottom w:w="70" w:type="dxa"/>
              <w:right w:w="70" w:type="dxa"/>
            </w:tcMar>
          </w:tcPr>
          <w:p w14:paraId="28072C95" w14:textId="77777777" w:rsidR="0006423C" w:rsidRPr="00FA1482" w:rsidRDefault="0006423C" w:rsidP="00DB0233">
            <w:pPr>
              <w:pStyle w:val="AppendixTableCellNoIndent"/>
              <w:rPr>
                <w:rFonts w:ascii="Times New Roman" w:hAnsi="Times New Roman" w:cs="Times New Roman" w:hint="cs"/>
                <w:color w:val="000000" w:themeColor="text1"/>
              </w:rPr>
            </w:pPr>
            <w:proofErr w:type="gramStart"/>
            <w:r w:rsidRPr="00FA1482">
              <w:rPr>
                <w:rFonts w:ascii="Times New Roman" w:eastAsia="Times New Roman" w:hAnsi="Times New Roman" w:cs="Times New Roman" w:hint="cs"/>
                <w:color w:val="000000" w:themeColor="text1"/>
              </w:rPr>
              <w:t>Foreign-adversary</w:t>
            </w:r>
            <w:proofErr w:type="gramEnd"/>
            <w:r w:rsidRPr="00FA1482">
              <w:rPr>
                <w:rFonts w:ascii="Times New Roman" w:eastAsia="Times New Roman" w:hAnsi="Times New Roman" w:cs="Times New Roman" w:hint="cs"/>
                <w:color w:val="000000" w:themeColor="text1"/>
              </w:rPr>
              <w:t>/geopolitical</w:t>
            </w:r>
          </w:p>
        </w:tc>
        <w:tc>
          <w:tcPr>
            <w:tcW w:w="1296" w:type="dxa"/>
            <w:tcMar>
              <w:top w:w="70" w:type="dxa"/>
              <w:left w:w="70" w:type="dxa"/>
              <w:bottom w:w="70" w:type="dxa"/>
              <w:right w:w="70" w:type="dxa"/>
            </w:tcMar>
          </w:tcPr>
          <w:p w14:paraId="364626B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FA</w:t>
            </w:r>
          </w:p>
        </w:tc>
        <w:tc>
          <w:tcPr>
            <w:tcW w:w="1296" w:type="dxa"/>
            <w:tcMar>
              <w:top w:w="70" w:type="dxa"/>
              <w:left w:w="70" w:type="dxa"/>
              <w:bottom w:w="70" w:type="dxa"/>
              <w:right w:w="70" w:type="dxa"/>
            </w:tcMar>
          </w:tcPr>
          <w:p w14:paraId="3C49465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69</w:t>
            </w:r>
          </w:p>
        </w:tc>
        <w:tc>
          <w:tcPr>
            <w:tcW w:w="1296" w:type="dxa"/>
            <w:tcMar>
              <w:top w:w="70" w:type="dxa"/>
              <w:left w:w="70" w:type="dxa"/>
              <w:bottom w:w="70" w:type="dxa"/>
              <w:right w:w="70" w:type="dxa"/>
            </w:tcMar>
          </w:tcPr>
          <w:p w14:paraId="621BCF4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w:t>
            </w:r>
          </w:p>
        </w:tc>
        <w:tc>
          <w:tcPr>
            <w:tcW w:w="1296" w:type="dxa"/>
            <w:tcMar>
              <w:top w:w="70" w:type="dxa"/>
              <w:left w:w="70" w:type="dxa"/>
              <w:bottom w:w="70" w:type="dxa"/>
              <w:right w:w="70" w:type="dxa"/>
            </w:tcMar>
          </w:tcPr>
          <w:p w14:paraId="5FEC54B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w:t>
            </w:r>
          </w:p>
        </w:tc>
        <w:tc>
          <w:tcPr>
            <w:tcW w:w="1296" w:type="dxa"/>
            <w:tcMar>
              <w:top w:w="70" w:type="dxa"/>
              <w:left w:w="70" w:type="dxa"/>
              <w:bottom w:w="70" w:type="dxa"/>
              <w:right w:w="70" w:type="dxa"/>
            </w:tcMar>
          </w:tcPr>
          <w:p w14:paraId="087B2D4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48</w:t>
            </w:r>
          </w:p>
        </w:tc>
        <w:tc>
          <w:tcPr>
            <w:tcW w:w="1296" w:type="dxa"/>
            <w:tcMar>
              <w:top w:w="70" w:type="dxa"/>
              <w:left w:w="70" w:type="dxa"/>
              <w:bottom w:w="70" w:type="dxa"/>
              <w:right w:w="70" w:type="dxa"/>
            </w:tcMar>
          </w:tcPr>
          <w:p w14:paraId="7885B29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w:t>
            </w:r>
          </w:p>
        </w:tc>
        <w:tc>
          <w:tcPr>
            <w:tcW w:w="1296" w:type="dxa"/>
            <w:tcMar>
              <w:top w:w="70" w:type="dxa"/>
              <w:left w:w="70" w:type="dxa"/>
              <w:bottom w:w="70" w:type="dxa"/>
              <w:right w:w="70" w:type="dxa"/>
            </w:tcMar>
          </w:tcPr>
          <w:p w14:paraId="3C225AD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17.24%</w:t>
            </w:r>
          </w:p>
        </w:tc>
      </w:tr>
      <w:tr w:rsidR="0006423C" w:rsidRPr="00FA1482" w14:paraId="4EF05A57" w14:textId="77777777" w:rsidTr="00DB0233">
        <w:tc>
          <w:tcPr>
            <w:tcW w:w="1296" w:type="dxa"/>
            <w:tcMar>
              <w:top w:w="70" w:type="dxa"/>
              <w:left w:w="70" w:type="dxa"/>
              <w:bottom w:w="70" w:type="dxa"/>
              <w:right w:w="70" w:type="dxa"/>
            </w:tcMar>
          </w:tcPr>
          <w:p w14:paraId="4B31D01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DEI/NCS diagnostic</w:t>
            </w:r>
          </w:p>
        </w:tc>
        <w:tc>
          <w:tcPr>
            <w:tcW w:w="1296" w:type="dxa"/>
            <w:tcMar>
              <w:top w:w="70" w:type="dxa"/>
              <w:left w:w="70" w:type="dxa"/>
              <w:bottom w:w="70" w:type="dxa"/>
              <w:right w:w="70" w:type="dxa"/>
            </w:tcMar>
          </w:tcPr>
          <w:p w14:paraId="5108BA5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296" w:type="dxa"/>
            <w:tcMar>
              <w:top w:w="70" w:type="dxa"/>
              <w:left w:w="70" w:type="dxa"/>
              <w:bottom w:w="70" w:type="dxa"/>
              <w:right w:w="70" w:type="dxa"/>
            </w:tcMar>
          </w:tcPr>
          <w:p w14:paraId="56E0F64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45</w:t>
            </w:r>
          </w:p>
        </w:tc>
        <w:tc>
          <w:tcPr>
            <w:tcW w:w="1296" w:type="dxa"/>
            <w:tcMar>
              <w:top w:w="70" w:type="dxa"/>
              <w:left w:w="70" w:type="dxa"/>
              <w:bottom w:w="70" w:type="dxa"/>
              <w:right w:w="70" w:type="dxa"/>
            </w:tcMar>
          </w:tcPr>
          <w:p w14:paraId="0F55638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c>
          <w:tcPr>
            <w:tcW w:w="1296" w:type="dxa"/>
            <w:tcMar>
              <w:top w:w="70" w:type="dxa"/>
              <w:left w:w="70" w:type="dxa"/>
              <w:bottom w:w="70" w:type="dxa"/>
              <w:right w:w="70" w:type="dxa"/>
            </w:tcMar>
          </w:tcPr>
          <w:p w14:paraId="59D8FCE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w:t>
            </w:r>
          </w:p>
        </w:tc>
        <w:tc>
          <w:tcPr>
            <w:tcW w:w="1296" w:type="dxa"/>
            <w:tcMar>
              <w:top w:w="70" w:type="dxa"/>
              <w:left w:w="70" w:type="dxa"/>
              <w:bottom w:w="70" w:type="dxa"/>
              <w:right w:w="70" w:type="dxa"/>
            </w:tcMar>
          </w:tcPr>
          <w:p w14:paraId="746BEEB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29</w:t>
            </w:r>
          </w:p>
        </w:tc>
        <w:tc>
          <w:tcPr>
            <w:tcW w:w="1296" w:type="dxa"/>
            <w:tcMar>
              <w:top w:w="70" w:type="dxa"/>
              <w:left w:w="70" w:type="dxa"/>
              <w:bottom w:w="70" w:type="dxa"/>
              <w:right w:w="70" w:type="dxa"/>
            </w:tcMar>
          </w:tcPr>
          <w:p w14:paraId="6BB2659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c>
          <w:tcPr>
            <w:tcW w:w="1296" w:type="dxa"/>
            <w:tcMar>
              <w:top w:w="70" w:type="dxa"/>
              <w:left w:w="70" w:type="dxa"/>
              <w:bottom w:w="70" w:type="dxa"/>
              <w:right w:w="70" w:type="dxa"/>
            </w:tcMar>
          </w:tcPr>
          <w:p w14:paraId="35EFE35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14.71%</w:t>
            </w:r>
          </w:p>
        </w:tc>
      </w:tr>
      <w:tr w:rsidR="0006423C" w:rsidRPr="00FA1482" w14:paraId="587DEBED" w14:textId="77777777" w:rsidTr="00DB0233">
        <w:tc>
          <w:tcPr>
            <w:tcW w:w="1296" w:type="dxa"/>
            <w:tcMar>
              <w:top w:w="70" w:type="dxa"/>
              <w:left w:w="70" w:type="dxa"/>
              <w:bottom w:w="70" w:type="dxa"/>
              <w:right w:w="70" w:type="dxa"/>
            </w:tcMar>
          </w:tcPr>
          <w:p w14:paraId="75C6931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DEI/NCS diagnostic</w:t>
            </w:r>
          </w:p>
        </w:tc>
        <w:tc>
          <w:tcPr>
            <w:tcW w:w="1296" w:type="dxa"/>
            <w:tcMar>
              <w:top w:w="70" w:type="dxa"/>
              <w:left w:w="70" w:type="dxa"/>
              <w:bottom w:w="70" w:type="dxa"/>
              <w:right w:w="70" w:type="dxa"/>
            </w:tcMar>
          </w:tcPr>
          <w:p w14:paraId="5E06EC1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296" w:type="dxa"/>
            <w:tcMar>
              <w:top w:w="70" w:type="dxa"/>
              <w:left w:w="70" w:type="dxa"/>
              <w:bottom w:w="70" w:type="dxa"/>
              <w:right w:w="70" w:type="dxa"/>
            </w:tcMar>
          </w:tcPr>
          <w:p w14:paraId="4A9C3AD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55</w:t>
            </w:r>
          </w:p>
        </w:tc>
        <w:tc>
          <w:tcPr>
            <w:tcW w:w="1296" w:type="dxa"/>
            <w:tcMar>
              <w:top w:w="70" w:type="dxa"/>
              <w:left w:w="70" w:type="dxa"/>
              <w:bottom w:w="70" w:type="dxa"/>
              <w:right w:w="70" w:type="dxa"/>
            </w:tcMar>
          </w:tcPr>
          <w:p w14:paraId="668A606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c>
          <w:tcPr>
            <w:tcW w:w="1296" w:type="dxa"/>
            <w:tcMar>
              <w:top w:w="70" w:type="dxa"/>
              <w:left w:w="70" w:type="dxa"/>
              <w:bottom w:w="70" w:type="dxa"/>
              <w:right w:w="70" w:type="dxa"/>
            </w:tcMar>
          </w:tcPr>
          <w:p w14:paraId="65A1843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w:t>
            </w:r>
          </w:p>
        </w:tc>
        <w:tc>
          <w:tcPr>
            <w:tcW w:w="1296" w:type="dxa"/>
            <w:tcMar>
              <w:top w:w="70" w:type="dxa"/>
              <w:left w:w="70" w:type="dxa"/>
              <w:bottom w:w="70" w:type="dxa"/>
              <w:right w:w="70" w:type="dxa"/>
            </w:tcMar>
          </w:tcPr>
          <w:p w14:paraId="005A3DA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38</w:t>
            </w:r>
          </w:p>
        </w:tc>
        <w:tc>
          <w:tcPr>
            <w:tcW w:w="1296" w:type="dxa"/>
            <w:tcMar>
              <w:top w:w="70" w:type="dxa"/>
              <w:left w:w="70" w:type="dxa"/>
              <w:bottom w:w="70" w:type="dxa"/>
              <w:right w:w="70" w:type="dxa"/>
            </w:tcMar>
          </w:tcPr>
          <w:p w14:paraId="20FBD2F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c>
          <w:tcPr>
            <w:tcW w:w="1296" w:type="dxa"/>
            <w:tcMar>
              <w:top w:w="70" w:type="dxa"/>
              <w:left w:w="70" w:type="dxa"/>
              <w:bottom w:w="70" w:type="dxa"/>
              <w:right w:w="70" w:type="dxa"/>
            </w:tcMar>
          </w:tcPr>
          <w:p w14:paraId="77D8F00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17.39%</w:t>
            </w:r>
          </w:p>
        </w:tc>
      </w:tr>
      <w:tr w:rsidR="0006423C" w:rsidRPr="00FA1482" w14:paraId="5690D585" w14:textId="77777777" w:rsidTr="00DB0233">
        <w:tc>
          <w:tcPr>
            <w:tcW w:w="1296" w:type="dxa"/>
            <w:tcMar>
              <w:top w:w="70" w:type="dxa"/>
              <w:left w:w="70" w:type="dxa"/>
              <w:bottom w:w="70" w:type="dxa"/>
              <w:right w:w="70" w:type="dxa"/>
            </w:tcMar>
          </w:tcPr>
          <w:p w14:paraId="71D0CEC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DEI-only</w:t>
            </w:r>
          </w:p>
        </w:tc>
        <w:tc>
          <w:tcPr>
            <w:tcW w:w="1296" w:type="dxa"/>
            <w:tcMar>
              <w:top w:w="70" w:type="dxa"/>
              <w:left w:w="70" w:type="dxa"/>
              <w:bottom w:w="70" w:type="dxa"/>
              <w:right w:w="70" w:type="dxa"/>
            </w:tcMar>
          </w:tcPr>
          <w:p w14:paraId="7299361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296" w:type="dxa"/>
            <w:tcMar>
              <w:top w:w="70" w:type="dxa"/>
              <w:left w:w="70" w:type="dxa"/>
              <w:bottom w:w="70" w:type="dxa"/>
              <w:right w:w="70" w:type="dxa"/>
            </w:tcMar>
          </w:tcPr>
          <w:p w14:paraId="7ABC874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w:t>
            </w:r>
          </w:p>
        </w:tc>
        <w:tc>
          <w:tcPr>
            <w:tcW w:w="1296" w:type="dxa"/>
            <w:tcMar>
              <w:top w:w="70" w:type="dxa"/>
              <w:left w:w="70" w:type="dxa"/>
              <w:bottom w:w="70" w:type="dxa"/>
              <w:right w:w="70" w:type="dxa"/>
            </w:tcMar>
          </w:tcPr>
          <w:p w14:paraId="2D9EFC9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c>
          <w:tcPr>
            <w:tcW w:w="1296" w:type="dxa"/>
            <w:tcMar>
              <w:top w:w="70" w:type="dxa"/>
              <w:left w:w="70" w:type="dxa"/>
              <w:bottom w:w="70" w:type="dxa"/>
              <w:right w:w="70" w:type="dxa"/>
            </w:tcMar>
          </w:tcPr>
          <w:p w14:paraId="474E386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c>
          <w:tcPr>
            <w:tcW w:w="1296" w:type="dxa"/>
            <w:tcMar>
              <w:top w:w="70" w:type="dxa"/>
              <w:left w:w="70" w:type="dxa"/>
              <w:bottom w:w="70" w:type="dxa"/>
              <w:right w:w="70" w:type="dxa"/>
            </w:tcMar>
          </w:tcPr>
          <w:p w14:paraId="1ED69CB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w:t>
            </w:r>
          </w:p>
        </w:tc>
        <w:tc>
          <w:tcPr>
            <w:tcW w:w="1296" w:type="dxa"/>
            <w:tcMar>
              <w:top w:w="70" w:type="dxa"/>
              <w:left w:w="70" w:type="dxa"/>
              <w:bottom w:w="70" w:type="dxa"/>
              <w:right w:w="70" w:type="dxa"/>
            </w:tcMar>
          </w:tcPr>
          <w:p w14:paraId="2A45DA8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c>
          <w:tcPr>
            <w:tcW w:w="1296" w:type="dxa"/>
            <w:tcMar>
              <w:top w:w="70" w:type="dxa"/>
              <w:left w:w="70" w:type="dxa"/>
              <w:bottom w:w="70" w:type="dxa"/>
              <w:right w:w="70" w:type="dxa"/>
            </w:tcMar>
          </w:tcPr>
          <w:p w14:paraId="54DDA85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11.76%</w:t>
            </w:r>
          </w:p>
        </w:tc>
      </w:tr>
      <w:tr w:rsidR="0006423C" w:rsidRPr="00FA1482" w14:paraId="11D13886" w14:textId="77777777" w:rsidTr="00DB0233">
        <w:tc>
          <w:tcPr>
            <w:tcW w:w="1296" w:type="dxa"/>
            <w:tcMar>
              <w:top w:w="70" w:type="dxa"/>
              <w:left w:w="70" w:type="dxa"/>
              <w:bottom w:w="70" w:type="dxa"/>
              <w:right w:w="70" w:type="dxa"/>
            </w:tcMar>
          </w:tcPr>
          <w:p w14:paraId="0D5C321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DEI-only</w:t>
            </w:r>
          </w:p>
        </w:tc>
        <w:tc>
          <w:tcPr>
            <w:tcW w:w="1296" w:type="dxa"/>
            <w:tcMar>
              <w:top w:w="70" w:type="dxa"/>
              <w:left w:w="70" w:type="dxa"/>
              <w:bottom w:w="70" w:type="dxa"/>
              <w:right w:w="70" w:type="dxa"/>
            </w:tcMar>
          </w:tcPr>
          <w:p w14:paraId="24F9C5D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296" w:type="dxa"/>
            <w:tcMar>
              <w:top w:w="70" w:type="dxa"/>
              <w:left w:w="70" w:type="dxa"/>
              <w:bottom w:w="70" w:type="dxa"/>
              <w:right w:w="70" w:type="dxa"/>
            </w:tcMar>
          </w:tcPr>
          <w:p w14:paraId="1D269E4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55</w:t>
            </w:r>
          </w:p>
        </w:tc>
        <w:tc>
          <w:tcPr>
            <w:tcW w:w="1296" w:type="dxa"/>
            <w:tcMar>
              <w:top w:w="70" w:type="dxa"/>
              <w:left w:w="70" w:type="dxa"/>
              <w:bottom w:w="70" w:type="dxa"/>
              <w:right w:w="70" w:type="dxa"/>
            </w:tcMar>
          </w:tcPr>
          <w:p w14:paraId="6D92918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c>
          <w:tcPr>
            <w:tcW w:w="1296" w:type="dxa"/>
            <w:tcMar>
              <w:top w:w="70" w:type="dxa"/>
              <w:left w:w="70" w:type="dxa"/>
              <w:bottom w:w="70" w:type="dxa"/>
              <w:right w:w="70" w:type="dxa"/>
            </w:tcMar>
          </w:tcPr>
          <w:p w14:paraId="2AE51D4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w:t>
            </w:r>
          </w:p>
        </w:tc>
        <w:tc>
          <w:tcPr>
            <w:tcW w:w="1296" w:type="dxa"/>
            <w:tcMar>
              <w:top w:w="70" w:type="dxa"/>
              <w:left w:w="70" w:type="dxa"/>
              <w:bottom w:w="70" w:type="dxa"/>
              <w:right w:w="70" w:type="dxa"/>
            </w:tcMar>
          </w:tcPr>
          <w:p w14:paraId="32A088E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38</w:t>
            </w:r>
          </w:p>
        </w:tc>
        <w:tc>
          <w:tcPr>
            <w:tcW w:w="1296" w:type="dxa"/>
            <w:tcMar>
              <w:top w:w="70" w:type="dxa"/>
              <w:left w:w="70" w:type="dxa"/>
              <w:bottom w:w="70" w:type="dxa"/>
              <w:right w:w="70" w:type="dxa"/>
            </w:tcMar>
          </w:tcPr>
          <w:p w14:paraId="53B0DF8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c>
          <w:tcPr>
            <w:tcW w:w="1296" w:type="dxa"/>
            <w:tcMar>
              <w:top w:w="70" w:type="dxa"/>
              <w:left w:w="70" w:type="dxa"/>
              <w:bottom w:w="70" w:type="dxa"/>
              <w:right w:w="70" w:type="dxa"/>
            </w:tcMar>
          </w:tcPr>
          <w:p w14:paraId="437C478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17.39%</w:t>
            </w:r>
          </w:p>
        </w:tc>
      </w:tr>
      <w:tr w:rsidR="0006423C" w:rsidRPr="00FA1482" w14:paraId="78420CA3" w14:textId="77777777" w:rsidTr="00DB0233">
        <w:tc>
          <w:tcPr>
            <w:tcW w:w="1296" w:type="dxa"/>
            <w:tcMar>
              <w:top w:w="70" w:type="dxa"/>
              <w:left w:w="70" w:type="dxa"/>
              <w:bottom w:w="70" w:type="dxa"/>
              <w:right w:w="70" w:type="dxa"/>
            </w:tcMar>
          </w:tcPr>
          <w:p w14:paraId="227239C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Energy-policy-only</w:t>
            </w:r>
          </w:p>
        </w:tc>
        <w:tc>
          <w:tcPr>
            <w:tcW w:w="1296" w:type="dxa"/>
            <w:tcMar>
              <w:top w:w="70" w:type="dxa"/>
              <w:left w:w="70" w:type="dxa"/>
              <w:bottom w:w="70" w:type="dxa"/>
              <w:right w:w="70" w:type="dxa"/>
            </w:tcMar>
          </w:tcPr>
          <w:p w14:paraId="131F83F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296" w:type="dxa"/>
            <w:tcMar>
              <w:top w:w="70" w:type="dxa"/>
              <w:left w:w="70" w:type="dxa"/>
              <w:bottom w:w="70" w:type="dxa"/>
              <w:right w:w="70" w:type="dxa"/>
            </w:tcMar>
          </w:tcPr>
          <w:p w14:paraId="3B16CAE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c>
          <w:tcPr>
            <w:tcW w:w="1296" w:type="dxa"/>
            <w:tcMar>
              <w:top w:w="70" w:type="dxa"/>
              <w:left w:w="70" w:type="dxa"/>
              <w:bottom w:w="70" w:type="dxa"/>
              <w:right w:w="70" w:type="dxa"/>
            </w:tcMar>
          </w:tcPr>
          <w:p w14:paraId="747241B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c>
          <w:tcPr>
            <w:tcW w:w="1296" w:type="dxa"/>
            <w:tcMar>
              <w:top w:w="70" w:type="dxa"/>
              <w:left w:w="70" w:type="dxa"/>
              <w:bottom w:w="70" w:type="dxa"/>
              <w:right w:w="70" w:type="dxa"/>
            </w:tcMar>
          </w:tcPr>
          <w:p w14:paraId="5E505F8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c>
          <w:tcPr>
            <w:tcW w:w="1296" w:type="dxa"/>
            <w:tcMar>
              <w:top w:w="70" w:type="dxa"/>
              <w:left w:w="70" w:type="dxa"/>
              <w:bottom w:w="70" w:type="dxa"/>
              <w:right w:w="70" w:type="dxa"/>
            </w:tcMar>
          </w:tcPr>
          <w:p w14:paraId="4C6E7C1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c>
          <w:tcPr>
            <w:tcW w:w="1296" w:type="dxa"/>
            <w:tcMar>
              <w:top w:w="70" w:type="dxa"/>
              <w:left w:w="70" w:type="dxa"/>
              <w:bottom w:w="70" w:type="dxa"/>
              <w:right w:w="70" w:type="dxa"/>
            </w:tcMar>
          </w:tcPr>
          <w:p w14:paraId="459C40D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c>
          <w:tcPr>
            <w:tcW w:w="1296" w:type="dxa"/>
            <w:tcMar>
              <w:top w:w="70" w:type="dxa"/>
              <w:left w:w="70" w:type="dxa"/>
              <w:bottom w:w="70" w:type="dxa"/>
              <w:right w:w="70" w:type="dxa"/>
            </w:tcMar>
          </w:tcPr>
          <w:p w14:paraId="1670964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50.00%</w:t>
            </w:r>
          </w:p>
        </w:tc>
      </w:tr>
      <w:tr w:rsidR="0006423C" w:rsidRPr="00FA1482" w14:paraId="462A5F9E" w14:textId="77777777" w:rsidTr="00DB0233">
        <w:tc>
          <w:tcPr>
            <w:tcW w:w="1296" w:type="dxa"/>
            <w:tcMar>
              <w:top w:w="70" w:type="dxa"/>
              <w:left w:w="70" w:type="dxa"/>
              <w:bottom w:w="70" w:type="dxa"/>
              <w:right w:w="70" w:type="dxa"/>
            </w:tcMar>
          </w:tcPr>
          <w:p w14:paraId="18EBCA2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Energy-policy-only</w:t>
            </w:r>
          </w:p>
        </w:tc>
        <w:tc>
          <w:tcPr>
            <w:tcW w:w="1296" w:type="dxa"/>
            <w:tcMar>
              <w:top w:w="70" w:type="dxa"/>
              <w:left w:w="70" w:type="dxa"/>
              <w:bottom w:w="70" w:type="dxa"/>
              <w:right w:w="70" w:type="dxa"/>
            </w:tcMar>
          </w:tcPr>
          <w:p w14:paraId="28B79E5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X/boundary</w:t>
            </w:r>
          </w:p>
        </w:tc>
        <w:tc>
          <w:tcPr>
            <w:tcW w:w="1296" w:type="dxa"/>
            <w:tcMar>
              <w:top w:w="70" w:type="dxa"/>
              <w:left w:w="70" w:type="dxa"/>
              <w:bottom w:w="70" w:type="dxa"/>
              <w:right w:w="70" w:type="dxa"/>
            </w:tcMar>
          </w:tcPr>
          <w:p w14:paraId="2741B3A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80</w:t>
            </w:r>
          </w:p>
        </w:tc>
        <w:tc>
          <w:tcPr>
            <w:tcW w:w="1296" w:type="dxa"/>
            <w:tcMar>
              <w:top w:w="70" w:type="dxa"/>
              <w:left w:w="70" w:type="dxa"/>
              <w:bottom w:w="70" w:type="dxa"/>
              <w:right w:w="70" w:type="dxa"/>
            </w:tcMar>
          </w:tcPr>
          <w:p w14:paraId="1E964E9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c>
          <w:tcPr>
            <w:tcW w:w="1296" w:type="dxa"/>
            <w:tcMar>
              <w:top w:w="70" w:type="dxa"/>
              <w:left w:w="70" w:type="dxa"/>
              <w:bottom w:w="70" w:type="dxa"/>
              <w:right w:w="70" w:type="dxa"/>
            </w:tcMar>
          </w:tcPr>
          <w:p w14:paraId="075285F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22</w:t>
            </w:r>
          </w:p>
        </w:tc>
        <w:tc>
          <w:tcPr>
            <w:tcW w:w="1296" w:type="dxa"/>
            <w:tcMar>
              <w:top w:w="70" w:type="dxa"/>
              <w:left w:w="70" w:type="dxa"/>
              <w:bottom w:w="70" w:type="dxa"/>
              <w:right w:w="70" w:type="dxa"/>
            </w:tcMar>
          </w:tcPr>
          <w:p w14:paraId="03E9758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53</w:t>
            </w:r>
          </w:p>
        </w:tc>
        <w:tc>
          <w:tcPr>
            <w:tcW w:w="1296" w:type="dxa"/>
            <w:tcMar>
              <w:top w:w="70" w:type="dxa"/>
              <w:left w:w="70" w:type="dxa"/>
              <w:bottom w:w="70" w:type="dxa"/>
              <w:right w:w="70" w:type="dxa"/>
            </w:tcMar>
          </w:tcPr>
          <w:p w14:paraId="2E4D682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c>
          <w:tcPr>
            <w:tcW w:w="1296" w:type="dxa"/>
            <w:tcMar>
              <w:top w:w="70" w:type="dxa"/>
              <w:left w:w="70" w:type="dxa"/>
              <w:bottom w:w="70" w:type="dxa"/>
              <w:right w:w="70" w:type="dxa"/>
            </w:tcMar>
          </w:tcPr>
          <w:p w14:paraId="6AA1399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8.62%</w:t>
            </w:r>
          </w:p>
        </w:tc>
      </w:tr>
      <w:tr w:rsidR="0006423C" w:rsidRPr="00FA1482" w14:paraId="0E5F3A61" w14:textId="77777777" w:rsidTr="00DB0233">
        <w:tc>
          <w:tcPr>
            <w:tcW w:w="1296" w:type="dxa"/>
            <w:tcMar>
              <w:top w:w="70" w:type="dxa"/>
              <w:left w:w="70" w:type="dxa"/>
              <w:bottom w:w="70" w:type="dxa"/>
              <w:right w:w="70" w:type="dxa"/>
            </w:tcMar>
          </w:tcPr>
          <w:p w14:paraId="62A3187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Federal-action-only</w:t>
            </w:r>
          </w:p>
        </w:tc>
        <w:tc>
          <w:tcPr>
            <w:tcW w:w="1296" w:type="dxa"/>
            <w:tcMar>
              <w:top w:w="70" w:type="dxa"/>
              <w:left w:w="70" w:type="dxa"/>
              <w:bottom w:w="70" w:type="dxa"/>
              <w:right w:w="70" w:type="dxa"/>
            </w:tcMar>
          </w:tcPr>
          <w:p w14:paraId="25EEBF4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296" w:type="dxa"/>
            <w:tcMar>
              <w:top w:w="70" w:type="dxa"/>
              <w:left w:w="70" w:type="dxa"/>
              <w:bottom w:w="70" w:type="dxa"/>
              <w:right w:w="70" w:type="dxa"/>
            </w:tcMar>
          </w:tcPr>
          <w:p w14:paraId="532C36F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25</w:t>
            </w:r>
          </w:p>
        </w:tc>
        <w:tc>
          <w:tcPr>
            <w:tcW w:w="1296" w:type="dxa"/>
            <w:tcMar>
              <w:top w:w="70" w:type="dxa"/>
              <w:left w:w="70" w:type="dxa"/>
              <w:bottom w:w="70" w:type="dxa"/>
              <w:right w:w="70" w:type="dxa"/>
            </w:tcMar>
          </w:tcPr>
          <w:p w14:paraId="62469D5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c>
          <w:tcPr>
            <w:tcW w:w="1296" w:type="dxa"/>
            <w:tcMar>
              <w:top w:w="70" w:type="dxa"/>
              <w:left w:w="70" w:type="dxa"/>
              <w:bottom w:w="70" w:type="dxa"/>
              <w:right w:w="70" w:type="dxa"/>
            </w:tcMar>
          </w:tcPr>
          <w:p w14:paraId="4A0E0D9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c>
          <w:tcPr>
            <w:tcW w:w="1296" w:type="dxa"/>
            <w:tcMar>
              <w:top w:w="70" w:type="dxa"/>
              <w:left w:w="70" w:type="dxa"/>
              <w:bottom w:w="70" w:type="dxa"/>
              <w:right w:w="70" w:type="dxa"/>
            </w:tcMar>
          </w:tcPr>
          <w:p w14:paraId="182CE3B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c>
          <w:tcPr>
            <w:tcW w:w="1296" w:type="dxa"/>
            <w:tcMar>
              <w:top w:w="70" w:type="dxa"/>
              <w:left w:w="70" w:type="dxa"/>
              <w:bottom w:w="70" w:type="dxa"/>
              <w:right w:w="70" w:type="dxa"/>
            </w:tcMar>
          </w:tcPr>
          <w:p w14:paraId="0D28358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c>
          <w:tcPr>
            <w:tcW w:w="1296" w:type="dxa"/>
            <w:tcMar>
              <w:top w:w="70" w:type="dxa"/>
              <w:left w:w="70" w:type="dxa"/>
              <w:bottom w:w="70" w:type="dxa"/>
              <w:right w:w="70" w:type="dxa"/>
            </w:tcMar>
          </w:tcPr>
          <w:p w14:paraId="5A9B2EC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12.50%</w:t>
            </w:r>
          </w:p>
        </w:tc>
      </w:tr>
    </w:tbl>
    <w:p w14:paraId="764F4EC9" w14:textId="77777777" w:rsidR="0006423C" w:rsidRPr="00FA1482" w:rsidRDefault="0006423C" w:rsidP="0006423C">
      <w:pPr>
        <w:pStyle w:val="AppendixBodyNoIndent"/>
        <w:rPr>
          <w:rFonts w:cs="Times New Roman" w:hint="cs"/>
          <w:color w:val="000000" w:themeColor="text1"/>
        </w:rPr>
      </w:pPr>
    </w:p>
    <w:p w14:paraId="5B8E7406"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sidecar point is comparative rather than denominational. Similar legal devices appear across politically charged lanes, but firearms, foreign-adversary/geopolitical, DEI/NCS, and energy-policy-only rows are not used as the climate-facing ESG denominator.</w:t>
      </w:r>
    </w:p>
    <w:p w14:paraId="0305DF87" w14:textId="77777777" w:rsidR="0006423C" w:rsidRPr="00FA1482" w:rsidRDefault="0006423C" w:rsidP="0006423C">
      <w:pPr>
        <w:pStyle w:val="Heading2"/>
        <w:rPr>
          <w:rFonts w:hint="cs"/>
        </w:rPr>
      </w:pPr>
      <w:bookmarkStart w:id="94" w:name="_Toc229502301"/>
      <w:r w:rsidRPr="00FA1482">
        <w:rPr>
          <w:rFonts w:hint="cs"/>
        </w:rPr>
        <w:t>H. Status and Enactment Rates</w:t>
      </w:r>
      <w:bookmarkEnd w:id="94"/>
    </w:p>
    <w:p w14:paraId="135CED40"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 xml:space="preserve">Status categories are enacted, </w:t>
      </w:r>
      <w:proofErr w:type="gramStart"/>
      <w:r w:rsidRPr="00FA1482">
        <w:rPr>
          <w:rFonts w:cs="Times New Roman" w:hint="cs"/>
          <w:color w:val="000000" w:themeColor="text1"/>
        </w:rPr>
        <w:t>symbolic-passed</w:t>
      </w:r>
      <w:proofErr w:type="gramEnd"/>
      <w:r w:rsidRPr="00FA1482">
        <w:rPr>
          <w:rFonts w:cs="Times New Roman" w:hint="cs"/>
          <w:color w:val="000000" w:themeColor="text1"/>
        </w:rPr>
        <w:t>, pending, and dead. Resolved enactment rates use the companion-collapsed grain and are calculated as:</w:t>
      </w:r>
    </w:p>
    <w:p w14:paraId="6F06745C"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&gt; enacted / (enacted + dead)</w:t>
      </w:r>
    </w:p>
    <w:p w14:paraId="65AAE288"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Pending rows are excluded from the rate denominator because the 2025-2026 cohort is right-censored. Symbolic-passed rows are reported separately and are not treated as binding enactments.</w:t>
      </w:r>
    </w:p>
    <w:tbl>
      <w:tblPr>
        <w:tblStyle w:val="TableGrid"/>
        <w:tblW w:w="0" w:type="auto"/>
        <w:tblLook w:val="04A0" w:firstRow="1" w:lastRow="0" w:firstColumn="1" w:lastColumn="0" w:noHBand="0" w:noVBand="1"/>
      </w:tblPr>
      <w:tblGrid>
        <w:gridCol w:w="1696"/>
        <w:gridCol w:w="1116"/>
        <w:gridCol w:w="799"/>
        <w:gridCol w:w="954"/>
        <w:gridCol w:w="955"/>
        <w:gridCol w:w="792"/>
        <w:gridCol w:w="1010"/>
        <w:gridCol w:w="954"/>
        <w:gridCol w:w="1074"/>
      </w:tblGrid>
      <w:tr w:rsidR="0006423C" w:rsidRPr="00FA1482" w14:paraId="4079F907" w14:textId="77777777" w:rsidTr="00DB0233">
        <w:tc>
          <w:tcPr>
            <w:tcW w:w="1152" w:type="dxa"/>
            <w:shd w:val="clear" w:color="auto" w:fill="EDEDED"/>
            <w:tcMar>
              <w:top w:w="70" w:type="dxa"/>
              <w:left w:w="70" w:type="dxa"/>
              <w:bottom w:w="70" w:type="dxa"/>
              <w:right w:w="70" w:type="dxa"/>
            </w:tcMar>
          </w:tcPr>
          <w:p w14:paraId="67C17803"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Universe</w:t>
            </w:r>
          </w:p>
        </w:tc>
        <w:tc>
          <w:tcPr>
            <w:tcW w:w="1152" w:type="dxa"/>
            <w:shd w:val="clear" w:color="auto" w:fill="EDEDED"/>
            <w:tcMar>
              <w:top w:w="70" w:type="dxa"/>
              <w:left w:w="70" w:type="dxa"/>
              <w:bottom w:w="70" w:type="dxa"/>
              <w:right w:w="70" w:type="dxa"/>
            </w:tcMar>
          </w:tcPr>
          <w:p w14:paraId="0425E78E"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Stance</w:t>
            </w:r>
          </w:p>
        </w:tc>
        <w:tc>
          <w:tcPr>
            <w:tcW w:w="1152" w:type="dxa"/>
            <w:shd w:val="clear" w:color="auto" w:fill="EDEDED"/>
            <w:tcMar>
              <w:top w:w="70" w:type="dxa"/>
              <w:left w:w="70" w:type="dxa"/>
              <w:bottom w:w="70" w:type="dxa"/>
              <w:right w:w="70" w:type="dxa"/>
            </w:tcMar>
          </w:tcPr>
          <w:p w14:paraId="3D30EB9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Total</w:t>
            </w:r>
          </w:p>
        </w:tc>
        <w:tc>
          <w:tcPr>
            <w:tcW w:w="1152" w:type="dxa"/>
            <w:shd w:val="clear" w:color="auto" w:fill="EDEDED"/>
            <w:tcMar>
              <w:top w:w="70" w:type="dxa"/>
              <w:left w:w="70" w:type="dxa"/>
              <w:bottom w:w="70" w:type="dxa"/>
              <w:right w:w="70" w:type="dxa"/>
            </w:tcMar>
          </w:tcPr>
          <w:p w14:paraId="18CB7BE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w:t>
            </w:r>
          </w:p>
        </w:tc>
        <w:tc>
          <w:tcPr>
            <w:tcW w:w="1152" w:type="dxa"/>
            <w:shd w:val="clear" w:color="auto" w:fill="EDEDED"/>
            <w:tcMar>
              <w:top w:w="70" w:type="dxa"/>
              <w:left w:w="70" w:type="dxa"/>
              <w:bottom w:w="70" w:type="dxa"/>
              <w:right w:w="70" w:type="dxa"/>
            </w:tcMar>
          </w:tcPr>
          <w:p w14:paraId="515D9B58"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Pending</w:t>
            </w:r>
          </w:p>
        </w:tc>
        <w:tc>
          <w:tcPr>
            <w:tcW w:w="1152" w:type="dxa"/>
            <w:shd w:val="clear" w:color="auto" w:fill="EDEDED"/>
            <w:tcMar>
              <w:top w:w="70" w:type="dxa"/>
              <w:left w:w="70" w:type="dxa"/>
              <w:bottom w:w="70" w:type="dxa"/>
              <w:right w:w="70" w:type="dxa"/>
            </w:tcMar>
          </w:tcPr>
          <w:p w14:paraId="0F1D68EC"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Dead</w:t>
            </w:r>
          </w:p>
        </w:tc>
        <w:tc>
          <w:tcPr>
            <w:tcW w:w="1152" w:type="dxa"/>
            <w:shd w:val="clear" w:color="auto" w:fill="EDEDED"/>
            <w:tcMar>
              <w:top w:w="70" w:type="dxa"/>
              <w:left w:w="70" w:type="dxa"/>
              <w:bottom w:w="70" w:type="dxa"/>
              <w:right w:w="70" w:type="dxa"/>
            </w:tcMar>
          </w:tcPr>
          <w:p w14:paraId="764ED310"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Symbolic</w:t>
            </w:r>
          </w:p>
        </w:tc>
        <w:tc>
          <w:tcPr>
            <w:tcW w:w="1152" w:type="dxa"/>
            <w:shd w:val="clear" w:color="auto" w:fill="EDEDED"/>
            <w:tcMar>
              <w:top w:w="70" w:type="dxa"/>
              <w:left w:w="70" w:type="dxa"/>
              <w:bottom w:w="70" w:type="dxa"/>
              <w:right w:w="70" w:type="dxa"/>
            </w:tcMar>
          </w:tcPr>
          <w:p w14:paraId="490408E5"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 states</w:t>
            </w:r>
          </w:p>
        </w:tc>
        <w:tc>
          <w:tcPr>
            <w:tcW w:w="1152" w:type="dxa"/>
            <w:shd w:val="clear" w:color="auto" w:fill="EDEDED"/>
            <w:tcMar>
              <w:top w:w="70" w:type="dxa"/>
              <w:left w:w="70" w:type="dxa"/>
              <w:bottom w:w="70" w:type="dxa"/>
              <w:right w:w="70" w:type="dxa"/>
            </w:tcMar>
          </w:tcPr>
          <w:p w14:paraId="3AD60B3D"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Resolved enactment rate</w:t>
            </w:r>
          </w:p>
        </w:tc>
      </w:tr>
      <w:tr w:rsidR="0006423C" w:rsidRPr="00FA1482" w14:paraId="2F4662AB" w14:textId="77777777" w:rsidTr="00DB0233">
        <w:tc>
          <w:tcPr>
            <w:tcW w:w="1152" w:type="dxa"/>
            <w:tcMar>
              <w:top w:w="70" w:type="dxa"/>
              <w:left w:w="70" w:type="dxa"/>
              <w:bottom w:w="70" w:type="dxa"/>
              <w:right w:w="70" w:type="dxa"/>
            </w:tcMar>
          </w:tcPr>
          <w:p w14:paraId="2253618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 ESG</w:t>
            </w:r>
          </w:p>
        </w:tc>
        <w:tc>
          <w:tcPr>
            <w:tcW w:w="1152" w:type="dxa"/>
            <w:tcMar>
              <w:top w:w="70" w:type="dxa"/>
              <w:left w:w="70" w:type="dxa"/>
              <w:bottom w:w="70" w:type="dxa"/>
              <w:right w:w="70" w:type="dxa"/>
            </w:tcMar>
          </w:tcPr>
          <w:p w14:paraId="73D145A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152" w:type="dxa"/>
            <w:tcMar>
              <w:top w:w="70" w:type="dxa"/>
              <w:left w:w="70" w:type="dxa"/>
              <w:bottom w:w="70" w:type="dxa"/>
              <w:right w:w="70" w:type="dxa"/>
            </w:tcMar>
          </w:tcPr>
          <w:p w14:paraId="3E6A91D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530</w:t>
            </w:r>
          </w:p>
        </w:tc>
        <w:tc>
          <w:tcPr>
            <w:tcW w:w="1152" w:type="dxa"/>
            <w:tcMar>
              <w:top w:w="70" w:type="dxa"/>
              <w:left w:w="70" w:type="dxa"/>
              <w:bottom w:w="70" w:type="dxa"/>
              <w:right w:w="70" w:type="dxa"/>
            </w:tcMar>
          </w:tcPr>
          <w:p w14:paraId="196A453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72</w:t>
            </w:r>
          </w:p>
        </w:tc>
        <w:tc>
          <w:tcPr>
            <w:tcW w:w="1152" w:type="dxa"/>
            <w:tcMar>
              <w:top w:w="70" w:type="dxa"/>
              <w:left w:w="70" w:type="dxa"/>
              <w:bottom w:w="70" w:type="dxa"/>
              <w:right w:w="70" w:type="dxa"/>
            </w:tcMar>
          </w:tcPr>
          <w:p w14:paraId="1CEE33D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59</w:t>
            </w:r>
          </w:p>
        </w:tc>
        <w:tc>
          <w:tcPr>
            <w:tcW w:w="1152" w:type="dxa"/>
            <w:tcMar>
              <w:top w:w="70" w:type="dxa"/>
              <w:left w:w="70" w:type="dxa"/>
              <w:bottom w:w="70" w:type="dxa"/>
              <w:right w:w="70" w:type="dxa"/>
            </w:tcMar>
          </w:tcPr>
          <w:p w14:paraId="79475EF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391</w:t>
            </w:r>
          </w:p>
        </w:tc>
        <w:tc>
          <w:tcPr>
            <w:tcW w:w="1152" w:type="dxa"/>
            <w:tcMar>
              <w:top w:w="70" w:type="dxa"/>
              <w:left w:w="70" w:type="dxa"/>
              <w:bottom w:w="70" w:type="dxa"/>
              <w:right w:w="70" w:type="dxa"/>
            </w:tcMar>
          </w:tcPr>
          <w:p w14:paraId="421271A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c>
          <w:tcPr>
            <w:tcW w:w="1152" w:type="dxa"/>
            <w:tcMar>
              <w:top w:w="70" w:type="dxa"/>
              <w:left w:w="70" w:type="dxa"/>
              <w:bottom w:w="70" w:type="dxa"/>
              <w:right w:w="70" w:type="dxa"/>
            </w:tcMar>
          </w:tcPr>
          <w:p w14:paraId="58A0258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w:t>
            </w:r>
          </w:p>
        </w:tc>
        <w:tc>
          <w:tcPr>
            <w:tcW w:w="1152" w:type="dxa"/>
            <w:tcMar>
              <w:top w:w="70" w:type="dxa"/>
              <w:left w:w="70" w:type="dxa"/>
              <w:bottom w:w="70" w:type="dxa"/>
              <w:right w:w="70" w:type="dxa"/>
            </w:tcMar>
          </w:tcPr>
          <w:p w14:paraId="12CBCB6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15.55%</w:t>
            </w:r>
          </w:p>
        </w:tc>
      </w:tr>
      <w:tr w:rsidR="0006423C" w:rsidRPr="00FA1482" w14:paraId="5985F455" w14:textId="77777777" w:rsidTr="00DB0233">
        <w:tc>
          <w:tcPr>
            <w:tcW w:w="1152" w:type="dxa"/>
            <w:tcMar>
              <w:top w:w="70" w:type="dxa"/>
              <w:left w:w="70" w:type="dxa"/>
              <w:bottom w:w="70" w:type="dxa"/>
              <w:right w:w="70" w:type="dxa"/>
            </w:tcMar>
          </w:tcPr>
          <w:p w14:paraId="3A43FB7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 ESG</w:t>
            </w:r>
          </w:p>
        </w:tc>
        <w:tc>
          <w:tcPr>
            <w:tcW w:w="1152" w:type="dxa"/>
            <w:tcMar>
              <w:top w:w="70" w:type="dxa"/>
              <w:left w:w="70" w:type="dxa"/>
              <w:bottom w:w="70" w:type="dxa"/>
              <w:right w:w="70" w:type="dxa"/>
            </w:tcMar>
          </w:tcPr>
          <w:p w14:paraId="5D12A05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152" w:type="dxa"/>
            <w:tcMar>
              <w:top w:w="70" w:type="dxa"/>
              <w:left w:w="70" w:type="dxa"/>
              <w:bottom w:w="70" w:type="dxa"/>
              <w:right w:w="70" w:type="dxa"/>
            </w:tcMar>
          </w:tcPr>
          <w:p w14:paraId="2E9D94C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232</w:t>
            </w:r>
          </w:p>
        </w:tc>
        <w:tc>
          <w:tcPr>
            <w:tcW w:w="1152" w:type="dxa"/>
            <w:tcMar>
              <w:top w:w="70" w:type="dxa"/>
              <w:left w:w="70" w:type="dxa"/>
              <w:bottom w:w="70" w:type="dxa"/>
              <w:right w:w="70" w:type="dxa"/>
            </w:tcMar>
          </w:tcPr>
          <w:p w14:paraId="6E615D1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w:t>
            </w:r>
          </w:p>
        </w:tc>
        <w:tc>
          <w:tcPr>
            <w:tcW w:w="1152" w:type="dxa"/>
            <w:tcMar>
              <w:top w:w="70" w:type="dxa"/>
              <w:left w:w="70" w:type="dxa"/>
              <w:bottom w:w="70" w:type="dxa"/>
              <w:right w:w="70" w:type="dxa"/>
            </w:tcMar>
          </w:tcPr>
          <w:p w14:paraId="283D7AE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52</w:t>
            </w:r>
          </w:p>
        </w:tc>
        <w:tc>
          <w:tcPr>
            <w:tcW w:w="1152" w:type="dxa"/>
            <w:tcMar>
              <w:top w:w="70" w:type="dxa"/>
              <w:left w:w="70" w:type="dxa"/>
              <w:bottom w:w="70" w:type="dxa"/>
              <w:right w:w="70" w:type="dxa"/>
            </w:tcMar>
          </w:tcPr>
          <w:p w14:paraId="599FA15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157</w:t>
            </w:r>
          </w:p>
        </w:tc>
        <w:tc>
          <w:tcPr>
            <w:tcW w:w="1152" w:type="dxa"/>
            <w:tcMar>
              <w:top w:w="70" w:type="dxa"/>
              <w:left w:w="70" w:type="dxa"/>
              <w:bottom w:w="70" w:type="dxa"/>
              <w:right w:w="70" w:type="dxa"/>
            </w:tcMar>
          </w:tcPr>
          <w:p w14:paraId="5BFD68C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152" w:type="dxa"/>
            <w:tcMar>
              <w:top w:w="70" w:type="dxa"/>
              <w:left w:w="70" w:type="dxa"/>
              <w:bottom w:w="70" w:type="dxa"/>
              <w:right w:w="70" w:type="dxa"/>
            </w:tcMar>
          </w:tcPr>
          <w:p w14:paraId="23A8D8B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w:t>
            </w:r>
          </w:p>
        </w:tc>
        <w:tc>
          <w:tcPr>
            <w:tcW w:w="1152" w:type="dxa"/>
            <w:tcMar>
              <w:top w:w="70" w:type="dxa"/>
              <w:left w:w="70" w:type="dxa"/>
              <w:bottom w:w="70" w:type="dxa"/>
              <w:right w:w="70" w:type="dxa"/>
            </w:tcMar>
          </w:tcPr>
          <w:p w14:paraId="1F8F5A3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12.78%</w:t>
            </w:r>
          </w:p>
        </w:tc>
      </w:tr>
      <w:tr w:rsidR="0006423C" w:rsidRPr="00FA1482" w14:paraId="438F8FFB" w14:textId="77777777" w:rsidTr="00DB0233">
        <w:tc>
          <w:tcPr>
            <w:tcW w:w="1152" w:type="dxa"/>
            <w:tcMar>
              <w:top w:w="70" w:type="dxa"/>
              <w:left w:w="70" w:type="dxa"/>
              <w:bottom w:w="70" w:type="dxa"/>
              <w:right w:w="70" w:type="dxa"/>
            </w:tcMar>
          </w:tcPr>
          <w:p w14:paraId="02FB4BB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 ESG</w:t>
            </w:r>
          </w:p>
        </w:tc>
        <w:tc>
          <w:tcPr>
            <w:tcW w:w="1152" w:type="dxa"/>
            <w:tcMar>
              <w:top w:w="70" w:type="dxa"/>
              <w:left w:w="70" w:type="dxa"/>
              <w:bottom w:w="70" w:type="dxa"/>
              <w:right w:w="70" w:type="dxa"/>
            </w:tcMar>
          </w:tcPr>
          <w:p w14:paraId="7D94F92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FA</w:t>
            </w:r>
          </w:p>
        </w:tc>
        <w:tc>
          <w:tcPr>
            <w:tcW w:w="1152" w:type="dxa"/>
            <w:tcMar>
              <w:top w:w="70" w:type="dxa"/>
              <w:left w:w="70" w:type="dxa"/>
              <w:bottom w:w="70" w:type="dxa"/>
              <w:right w:w="70" w:type="dxa"/>
            </w:tcMar>
          </w:tcPr>
          <w:p w14:paraId="5727648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69</w:t>
            </w:r>
          </w:p>
        </w:tc>
        <w:tc>
          <w:tcPr>
            <w:tcW w:w="1152" w:type="dxa"/>
            <w:tcMar>
              <w:top w:w="70" w:type="dxa"/>
              <w:left w:w="70" w:type="dxa"/>
              <w:bottom w:w="70" w:type="dxa"/>
              <w:right w:w="70" w:type="dxa"/>
            </w:tcMar>
          </w:tcPr>
          <w:p w14:paraId="1D48562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w:t>
            </w:r>
          </w:p>
        </w:tc>
        <w:tc>
          <w:tcPr>
            <w:tcW w:w="1152" w:type="dxa"/>
            <w:tcMar>
              <w:top w:w="70" w:type="dxa"/>
              <w:left w:w="70" w:type="dxa"/>
              <w:bottom w:w="70" w:type="dxa"/>
              <w:right w:w="70" w:type="dxa"/>
            </w:tcMar>
          </w:tcPr>
          <w:p w14:paraId="7B1DD81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w:t>
            </w:r>
          </w:p>
        </w:tc>
        <w:tc>
          <w:tcPr>
            <w:tcW w:w="1152" w:type="dxa"/>
            <w:tcMar>
              <w:top w:w="70" w:type="dxa"/>
              <w:left w:w="70" w:type="dxa"/>
              <w:bottom w:w="70" w:type="dxa"/>
              <w:right w:w="70" w:type="dxa"/>
            </w:tcMar>
          </w:tcPr>
          <w:p w14:paraId="42F857A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48</w:t>
            </w:r>
          </w:p>
        </w:tc>
        <w:tc>
          <w:tcPr>
            <w:tcW w:w="1152" w:type="dxa"/>
            <w:tcMar>
              <w:top w:w="70" w:type="dxa"/>
              <w:left w:w="70" w:type="dxa"/>
              <w:bottom w:w="70" w:type="dxa"/>
              <w:right w:w="70" w:type="dxa"/>
            </w:tcMar>
          </w:tcPr>
          <w:p w14:paraId="4C47856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152" w:type="dxa"/>
            <w:tcMar>
              <w:top w:w="70" w:type="dxa"/>
              <w:left w:w="70" w:type="dxa"/>
              <w:bottom w:w="70" w:type="dxa"/>
              <w:right w:w="70" w:type="dxa"/>
            </w:tcMar>
          </w:tcPr>
          <w:p w14:paraId="6ED56AD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w:t>
            </w:r>
          </w:p>
        </w:tc>
        <w:tc>
          <w:tcPr>
            <w:tcW w:w="1152" w:type="dxa"/>
            <w:tcMar>
              <w:top w:w="70" w:type="dxa"/>
              <w:left w:w="70" w:type="dxa"/>
              <w:bottom w:w="70" w:type="dxa"/>
              <w:right w:w="70" w:type="dxa"/>
            </w:tcMar>
          </w:tcPr>
          <w:p w14:paraId="0C70198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17.24%</w:t>
            </w:r>
          </w:p>
        </w:tc>
      </w:tr>
      <w:tr w:rsidR="0006423C" w:rsidRPr="00FA1482" w14:paraId="226A6036" w14:textId="77777777" w:rsidTr="00DB0233">
        <w:tc>
          <w:tcPr>
            <w:tcW w:w="1152" w:type="dxa"/>
            <w:tcMar>
              <w:top w:w="70" w:type="dxa"/>
              <w:left w:w="70" w:type="dxa"/>
              <w:bottom w:w="70" w:type="dxa"/>
              <w:right w:w="70" w:type="dxa"/>
            </w:tcMar>
          </w:tcPr>
          <w:p w14:paraId="75935E6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 ESG</w:t>
            </w:r>
          </w:p>
        </w:tc>
        <w:tc>
          <w:tcPr>
            <w:tcW w:w="1152" w:type="dxa"/>
            <w:tcMar>
              <w:top w:w="70" w:type="dxa"/>
              <w:left w:w="70" w:type="dxa"/>
              <w:bottom w:w="70" w:type="dxa"/>
              <w:right w:w="70" w:type="dxa"/>
            </w:tcMar>
          </w:tcPr>
          <w:p w14:paraId="3199ADE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X/boundary</w:t>
            </w:r>
          </w:p>
        </w:tc>
        <w:tc>
          <w:tcPr>
            <w:tcW w:w="1152" w:type="dxa"/>
            <w:tcMar>
              <w:top w:w="70" w:type="dxa"/>
              <w:left w:w="70" w:type="dxa"/>
              <w:bottom w:w="70" w:type="dxa"/>
              <w:right w:w="70" w:type="dxa"/>
            </w:tcMar>
          </w:tcPr>
          <w:p w14:paraId="6FB11C9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80</w:t>
            </w:r>
          </w:p>
        </w:tc>
        <w:tc>
          <w:tcPr>
            <w:tcW w:w="1152" w:type="dxa"/>
            <w:tcMar>
              <w:top w:w="70" w:type="dxa"/>
              <w:left w:w="70" w:type="dxa"/>
              <w:bottom w:w="70" w:type="dxa"/>
              <w:right w:w="70" w:type="dxa"/>
            </w:tcMar>
          </w:tcPr>
          <w:p w14:paraId="78A34E2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c>
          <w:tcPr>
            <w:tcW w:w="1152" w:type="dxa"/>
            <w:tcMar>
              <w:top w:w="70" w:type="dxa"/>
              <w:left w:w="70" w:type="dxa"/>
              <w:bottom w:w="70" w:type="dxa"/>
              <w:right w:w="70" w:type="dxa"/>
            </w:tcMar>
          </w:tcPr>
          <w:p w14:paraId="2BFA4B4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22</w:t>
            </w:r>
          </w:p>
        </w:tc>
        <w:tc>
          <w:tcPr>
            <w:tcW w:w="1152" w:type="dxa"/>
            <w:tcMar>
              <w:top w:w="70" w:type="dxa"/>
              <w:left w:w="70" w:type="dxa"/>
              <w:bottom w:w="70" w:type="dxa"/>
              <w:right w:w="70" w:type="dxa"/>
            </w:tcMar>
          </w:tcPr>
          <w:p w14:paraId="3C27525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53</w:t>
            </w:r>
          </w:p>
        </w:tc>
        <w:tc>
          <w:tcPr>
            <w:tcW w:w="1152" w:type="dxa"/>
            <w:tcMar>
              <w:top w:w="70" w:type="dxa"/>
              <w:left w:w="70" w:type="dxa"/>
              <w:bottom w:w="70" w:type="dxa"/>
              <w:right w:w="70" w:type="dxa"/>
            </w:tcMar>
          </w:tcPr>
          <w:p w14:paraId="4B8EA22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152" w:type="dxa"/>
            <w:tcMar>
              <w:top w:w="70" w:type="dxa"/>
              <w:left w:w="70" w:type="dxa"/>
              <w:bottom w:w="70" w:type="dxa"/>
              <w:right w:w="70" w:type="dxa"/>
            </w:tcMar>
          </w:tcPr>
          <w:p w14:paraId="39EEB39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c>
          <w:tcPr>
            <w:tcW w:w="1152" w:type="dxa"/>
            <w:tcMar>
              <w:top w:w="70" w:type="dxa"/>
              <w:left w:w="70" w:type="dxa"/>
              <w:bottom w:w="70" w:type="dxa"/>
              <w:right w:w="70" w:type="dxa"/>
            </w:tcMar>
          </w:tcPr>
          <w:p w14:paraId="156D6FE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8.62%</w:t>
            </w:r>
          </w:p>
        </w:tc>
      </w:tr>
      <w:tr w:rsidR="0006423C" w:rsidRPr="00FA1482" w14:paraId="2ADE33AD" w14:textId="77777777" w:rsidTr="00DB0233">
        <w:tc>
          <w:tcPr>
            <w:tcW w:w="1152" w:type="dxa"/>
            <w:tcMar>
              <w:top w:w="70" w:type="dxa"/>
              <w:left w:w="70" w:type="dxa"/>
              <w:bottom w:w="70" w:type="dxa"/>
              <w:right w:w="70" w:type="dxa"/>
            </w:tcMar>
          </w:tcPr>
          <w:p w14:paraId="65F9BE0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Corporate/financial ESG</w:t>
            </w:r>
          </w:p>
        </w:tc>
        <w:tc>
          <w:tcPr>
            <w:tcW w:w="1152" w:type="dxa"/>
            <w:tcMar>
              <w:top w:w="70" w:type="dxa"/>
              <w:left w:w="70" w:type="dxa"/>
              <w:bottom w:w="70" w:type="dxa"/>
              <w:right w:w="70" w:type="dxa"/>
            </w:tcMar>
          </w:tcPr>
          <w:p w14:paraId="38FCC8A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152" w:type="dxa"/>
            <w:tcMar>
              <w:top w:w="70" w:type="dxa"/>
              <w:left w:w="70" w:type="dxa"/>
              <w:bottom w:w="70" w:type="dxa"/>
              <w:right w:w="70" w:type="dxa"/>
            </w:tcMar>
          </w:tcPr>
          <w:p w14:paraId="54AB410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474</w:t>
            </w:r>
          </w:p>
        </w:tc>
        <w:tc>
          <w:tcPr>
            <w:tcW w:w="1152" w:type="dxa"/>
            <w:tcMar>
              <w:top w:w="70" w:type="dxa"/>
              <w:left w:w="70" w:type="dxa"/>
              <w:bottom w:w="70" w:type="dxa"/>
              <w:right w:w="70" w:type="dxa"/>
            </w:tcMar>
          </w:tcPr>
          <w:p w14:paraId="48EB965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66</w:t>
            </w:r>
          </w:p>
        </w:tc>
        <w:tc>
          <w:tcPr>
            <w:tcW w:w="1152" w:type="dxa"/>
            <w:tcMar>
              <w:top w:w="70" w:type="dxa"/>
              <w:left w:w="70" w:type="dxa"/>
              <w:bottom w:w="70" w:type="dxa"/>
              <w:right w:w="70" w:type="dxa"/>
            </w:tcMar>
          </w:tcPr>
          <w:p w14:paraId="10F47DA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50</w:t>
            </w:r>
          </w:p>
        </w:tc>
        <w:tc>
          <w:tcPr>
            <w:tcW w:w="1152" w:type="dxa"/>
            <w:tcMar>
              <w:top w:w="70" w:type="dxa"/>
              <w:left w:w="70" w:type="dxa"/>
              <w:bottom w:w="70" w:type="dxa"/>
              <w:right w:w="70" w:type="dxa"/>
            </w:tcMar>
          </w:tcPr>
          <w:p w14:paraId="0E85198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350</w:t>
            </w:r>
          </w:p>
        </w:tc>
        <w:tc>
          <w:tcPr>
            <w:tcW w:w="1152" w:type="dxa"/>
            <w:tcMar>
              <w:top w:w="70" w:type="dxa"/>
              <w:left w:w="70" w:type="dxa"/>
              <w:bottom w:w="70" w:type="dxa"/>
              <w:right w:w="70" w:type="dxa"/>
            </w:tcMar>
          </w:tcPr>
          <w:p w14:paraId="233224A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c>
          <w:tcPr>
            <w:tcW w:w="1152" w:type="dxa"/>
            <w:tcMar>
              <w:top w:w="70" w:type="dxa"/>
              <w:left w:w="70" w:type="dxa"/>
              <w:bottom w:w="70" w:type="dxa"/>
              <w:right w:w="70" w:type="dxa"/>
            </w:tcMar>
          </w:tcPr>
          <w:p w14:paraId="55B583E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22</w:t>
            </w:r>
          </w:p>
        </w:tc>
        <w:tc>
          <w:tcPr>
            <w:tcW w:w="1152" w:type="dxa"/>
            <w:tcMar>
              <w:top w:w="70" w:type="dxa"/>
              <w:left w:w="70" w:type="dxa"/>
              <w:bottom w:w="70" w:type="dxa"/>
              <w:right w:w="70" w:type="dxa"/>
            </w:tcMar>
          </w:tcPr>
          <w:p w14:paraId="2F92B95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15.87%</w:t>
            </w:r>
          </w:p>
        </w:tc>
      </w:tr>
      <w:tr w:rsidR="0006423C" w:rsidRPr="00FA1482" w14:paraId="26B11317" w14:textId="77777777" w:rsidTr="00DB0233">
        <w:tc>
          <w:tcPr>
            <w:tcW w:w="1152" w:type="dxa"/>
            <w:tcMar>
              <w:top w:w="70" w:type="dxa"/>
              <w:left w:w="70" w:type="dxa"/>
              <w:bottom w:w="70" w:type="dxa"/>
              <w:right w:w="70" w:type="dxa"/>
            </w:tcMar>
          </w:tcPr>
          <w:p w14:paraId="2971363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Corporate/financial ESG</w:t>
            </w:r>
          </w:p>
        </w:tc>
        <w:tc>
          <w:tcPr>
            <w:tcW w:w="1152" w:type="dxa"/>
            <w:tcMar>
              <w:top w:w="70" w:type="dxa"/>
              <w:left w:w="70" w:type="dxa"/>
              <w:bottom w:w="70" w:type="dxa"/>
              <w:right w:w="70" w:type="dxa"/>
            </w:tcMar>
          </w:tcPr>
          <w:p w14:paraId="773A731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152" w:type="dxa"/>
            <w:tcMar>
              <w:top w:w="70" w:type="dxa"/>
              <w:left w:w="70" w:type="dxa"/>
              <w:bottom w:w="70" w:type="dxa"/>
              <w:right w:w="70" w:type="dxa"/>
            </w:tcMar>
          </w:tcPr>
          <w:p w14:paraId="185E044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226</w:t>
            </w:r>
          </w:p>
        </w:tc>
        <w:tc>
          <w:tcPr>
            <w:tcW w:w="1152" w:type="dxa"/>
            <w:tcMar>
              <w:top w:w="70" w:type="dxa"/>
              <w:left w:w="70" w:type="dxa"/>
              <w:bottom w:w="70" w:type="dxa"/>
              <w:right w:w="70" w:type="dxa"/>
            </w:tcMar>
          </w:tcPr>
          <w:p w14:paraId="69D7309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c>
          <w:tcPr>
            <w:tcW w:w="1152" w:type="dxa"/>
            <w:tcMar>
              <w:top w:w="70" w:type="dxa"/>
              <w:left w:w="70" w:type="dxa"/>
              <w:bottom w:w="70" w:type="dxa"/>
              <w:right w:w="70" w:type="dxa"/>
            </w:tcMar>
          </w:tcPr>
          <w:p w14:paraId="7F6F38E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50</w:t>
            </w:r>
          </w:p>
        </w:tc>
        <w:tc>
          <w:tcPr>
            <w:tcW w:w="1152" w:type="dxa"/>
            <w:tcMar>
              <w:top w:w="70" w:type="dxa"/>
              <w:left w:w="70" w:type="dxa"/>
              <w:bottom w:w="70" w:type="dxa"/>
              <w:right w:w="70" w:type="dxa"/>
            </w:tcMar>
          </w:tcPr>
          <w:p w14:paraId="68E6533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155</w:t>
            </w:r>
          </w:p>
        </w:tc>
        <w:tc>
          <w:tcPr>
            <w:tcW w:w="1152" w:type="dxa"/>
            <w:tcMar>
              <w:top w:w="70" w:type="dxa"/>
              <w:left w:w="70" w:type="dxa"/>
              <w:bottom w:w="70" w:type="dxa"/>
              <w:right w:w="70" w:type="dxa"/>
            </w:tcMar>
          </w:tcPr>
          <w:p w14:paraId="6713AE2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152" w:type="dxa"/>
            <w:tcMar>
              <w:top w:w="70" w:type="dxa"/>
              <w:left w:w="70" w:type="dxa"/>
              <w:bottom w:w="70" w:type="dxa"/>
              <w:right w:w="70" w:type="dxa"/>
            </w:tcMar>
          </w:tcPr>
          <w:p w14:paraId="790D4FC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c>
          <w:tcPr>
            <w:tcW w:w="1152" w:type="dxa"/>
            <w:tcMar>
              <w:top w:w="70" w:type="dxa"/>
              <w:left w:w="70" w:type="dxa"/>
              <w:bottom w:w="70" w:type="dxa"/>
              <w:right w:w="70" w:type="dxa"/>
            </w:tcMar>
          </w:tcPr>
          <w:p w14:paraId="0EBA934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11.93%</w:t>
            </w:r>
          </w:p>
        </w:tc>
      </w:tr>
      <w:tr w:rsidR="0006423C" w:rsidRPr="00FA1482" w14:paraId="6DD21403" w14:textId="77777777" w:rsidTr="00DB0233">
        <w:tc>
          <w:tcPr>
            <w:tcW w:w="1152" w:type="dxa"/>
            <w:tcMar>
              <w:top w:w="70" w:type="dxa"/>
              <w:left w:w="70" w:type="dxa"/>
              <w:bottom w:w="70" w:type="dxa"/>
              <w:right w:w="70" w:type="dxa"/>
            </w:tcMar>
          </w:tcPr>
          <w:p w14:paraId="72361C5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Corporate/financial ESG</w:t>
            </w:r>
          </w:p>
        </w:tc>
        <w:tc>
          <w:tcPr>
            <w:tcW w:w="1152" w:type="dxa"/>
            <w:tcMar>
              <w:top w:w="70" w:type="dxa"/>
              <w:left w:w="70" w:type="dxa"/>
              <w:bottom w:w="70" w:type="dxa"/>
              <w:right w:w="70" w:type="dxa"/>
            </w:tcMar>
          </w:tcPr>
          <w:p w14:paraId="20EA1E4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FA</w:t>
            </w:r>
          </w:p>
        </w:tc>
        <w:tc>
          <w:tcPr>
            <w:tcW w:w="1152" w:type="dxa"/>
            <w:tcMar>
              <w:top w:w="70" w:type="dxa"/>
              <w:left w:w="70" w:type="dxa"/>
              <w:bottom w:w="70" w:type="dxa"/>
              <w:right w:w="70" w:type="dxa"/>
            </w:tcMar>
          </w:tcPr>
          <w:p w14:paraId="5098808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69</w:t>
            </w:r>
          </w:p>
        </w:tc>
        <w:tc>
          <w:tcPr>
            <w:tcW w:w="1152" w:type="dxa"/>
            <w:tcMar>
              <w:top w:w="70" w:type="dxa"/>
              <w:left w:w="70" w:type="dxa"/>
              <w:bottom w:w="70" w:type="dxa"/>
              <w:right w:w="70" w:type="dxa"/>
            </w:tcMar>
          </w:tcPr>
          <w:p w14:paraId="05889D9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w:t>
            </w:r>
          </w:p>
        </w:tc>
        <w:tc>
          <w:tcPr>
            <w:tcW w:w="1152" w:type="dxa"/>
            <w:tcMar>
              <w:top w:w="70" w:type="dxa"/>
              <w:left w:w="70" w:type="dxa"/>
              <w:bottom w:w="70" w:type="dxa"/>
              <w:right w:w="70" w:type="dxa"/>
            </w:tcMar>
          </w:tcPr>
          <w:p w14:paraId="65130AD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w:t>
            </w:r>
          </w:p>
        </w:tc>
        <w:tc>
          <w:tcPr>
            <w:tcW w:w="1152" w:type="dxa"/>
            <w:tcMar>
              <w:top w:w="70" w:type="dxa"/>
              <w:left w:w="70" w:type="dxa"/>
              <w:bottom w:w="70" w:type="dxa"/>
              <w:right w:w="70" w:type="dxa"/>
            </w:tcMar>
          </w:tcPr>
          <w:p w14:paraId="2694AC0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48</w:t>
            </w:r>
          </w:p>
        </w:tc>
        <w:tc>
          <w:tcPr>
            <w:tcW w:w="1152" w:type="dxa"/>
            <w:tcMar>
              <w:top w:w="70" w:type="dxa"/>
              <w:left w:w="70" w:type="dxa"/>
              <w:bottom w:w="70" w:type="dxa"/>
              <w:right w:w="70" w:type="dxa"/>
            </w:tcMar>
          </w:tcPr>
          <w:p w14:paraId="3098906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152" w:type="dxa"/>
            <w:tcMar>
              <w:top w:w="70" w:type="dxa"/>
              <w:left w:w="70" w:type="dxa"/>
              <w:bottom w:w="70" w:type="dxa"/>
              <w:right w:w="70" w:type="dxa"/>
            </w:tcMar>
          </w:tcPr>
          <w:p w14:paraId="67E80BD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w:t>
            </w:r>
          </w:p>
        </w:tc>
        <w:tc>
          <w:tcPr>
            <w:tcW w:w="1152" w:type="dxa"/>
            <w:tcMar>
              <w:top w:w="70" w:type="dxa"/>
              <w:left w:w="70" w:type="dxa"/>
              <w:bottom w:w="70" w:type="dxa"/>
              <w:right w:w="70" w:type="dxa"/>
            </w:tcMar>
          </w:tcPr>
          <w:p w14:paraId="4C1C1EB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17.24%</w:t>
            </w:r>
          </w:p>
        </w:tc>
      </w:tr>
      <w:tr w:rsidR="0006423C" w:rsidRPr="00FA1482" w14:paraId="0903884B" w14:textId="77777777" w:rsidTr="00DB0233">
        <w:tc>
          <w:tcPr>
            <w:tcW w:w="1152" w:type="dxa"/>
            <w:tcMar>
              <w:top w:w="70" w:type="dxa"/>
              <w:left w:w="70" w:type="dxa"/>
              <w:bottom w:w="70" w:type="dxa"/>
              <w:right w:w="70" w:type="dxa"/>
            </w:tcMar>
          </w:tcPr>
          <w:p w14:paraId="2F569B4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Core corporate/fiduciary ESG</w:t>
            </w:r>
          </w:p>
        </w:tc>
        <w:tc>
          <w:tcPr>
            <w:tcW w:w="1152" w:type="dxa"/>
            <w:tcMar>
              <w:top w:w="70" w:type="dxa"/>
              <w:left w:w="70" w:type="dxa"/>
              <w:bottom w:w="70" w:type="dxa"/>
              <w:right w:w="70" w:type="dxa"/>
            </w:tcMar>
          </w:tcPr>
          <w:p w14:paraId="288F7A5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152" w:type="dxa"/>
            <w:tcMar>
              <w:top w:w="70" w:type="dxa"/>
              <w:left w:w="70" w:type="dxa"/>
              <w:bottom w:w="70" w:type="dxa"/>
              <w:right w:w="70" w:type="dxa"/>
            </w:tcMar>
          </w:tcPr>
          <w:p w14:paraId="2356028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413</w:t>
            </w:r>
          </w:p>
        </w:tc>
        <w:tc>
          <w:tcPr>
            <w:tcW w:w="1152" w:type="dxa"/>
            <w:tcMar>
              <w:top w:w="70" w:type="dxa"/>
              <w:left w:w="70" w:type="dxa"/>
              <w:bottom w:w="70" w:type="dxa"/>
              <w:right w:w="70" w:type="dxa"/>
            </w:tcMar>
          </w:tcPr>
          <w:p w14:paraId="35ABA61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55</w:t>
            </w:r>
          </w:p>
        </w:tc>
        <w:tc>
          <w:tcPr>
            <w:tcW w:w="1152" w:type="dxa"/>
            <w:tcMar>
              <w:top w:w="70" w:type="dxa"/>
              <w:left w:w="70" w:type="dxa"/>
              <w:bottom w:w="70" w:type="dxa"/>
              <w:right w:w="70" w:type="dxa"/>
            </w:tcMar>
          </w:tcPr>
          <w:p w14:paraId="1510CC2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43</w:t>
            </w:r>
          </w:p>
        </w:tc>
        <w:tc>
          <w:tcPr>
            <w:tcW w:w="1152" w:type="dxa"/>
            <w:tcMar>
              <w:top w:w="70" w:type="dxa"/>
              <w:left w:w="70" w:type="dxa"/>
              <w:bottom w:w="70" w:type="dxa"/>
              <w:right w:w="70" w:type="dxa"/>
            </w:tcMar>
          </w:tcPr>
          <w:p w14:paraId="4073D1C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307</w:t>
            </w:r>
          </w:p>
        </w:tc>
        <w:tc>
          <w:tcPr>
            <w:tcW w:w="1152" w:type="dxa"/>
            <w:tcMar>
              <w:top w:w="70" w:type="dxa"/>
              <w:left w:w="70" w:type="dxa"/>
              <w:bottom w:w="70" w:type="dxa"/>
              <w:right w:w="70" w:type="dxa"/>
            </w:tcMar>
          </w:tcPr>
          <w:p w14:paraId="364467B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c>
          <w:tcPr>
            <w:tcW w:w="1152" w:type="dxa"/>
            <w:tcMar>
              <w:top w:w="70" w:type="dxa"/>
              <w:left w:w="70" w:type="dxa"/>
              <w:bottom w:w="70" w:type="dxa"/>
              <w:right w:w="70" w:type="dxa"/>
            </w:tcMar>
          </w:tcPr>
          <w:p w14:paraId="794B7A7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c>
          <w:tcPr>
            <w:tcW w:w="1152" w:type="dxa"/>
            <w:tcMar>
              <w:top w:w="70" w:type="dxa"/>
              <w:left w:w="70" w:type="dxa"/>
              <w:bottom w:w="70" w:type="dxa"/>
              <w:right w:w="70" w:type="dxa"/>
            </w:tcMar>
          </w:tcPr>
          <w:p w14:paraId="5FA6472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15.19%</w:t>
            </w:r>
          </w:p>
        </w:tc>
      </w:tr>
      <w:tr w:rsidR="0006423C" w:rsidRPr="00FA1482" w14:paraId="5C3DF099" w14:textId="77777777" w:rsidTr="00DB0233">
        <w:tc>
          <w:tcPr>
            <w:tcW w:w="1152" w:type="dxa"/>
            <w:tcMar>
              <w:top w:w="70" w:type="dxa"/>
              <w:left w:w="70" w:type="dxa"/>
              <w:bottom w:w="70" w:type="dxa"/>
              <w:right w:w="70" w:type="dxa"/>
            </w:tcMar>
          </w:tcPr>
          <w:p w14:paraId="67906DC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Core corporate/fiduciary ESG</w:t>
            </w:r>
          </w:p>
        </w:tc>
        <w:tc>
          <w:tcPr>
            <w:tcW w:w="1152" w:type="dxa"/>
            <w:tcMar>
              <w:top w:w="70" w:type="dxa"/>
              <w:left w:w="70" w:type="dxa"/>
              <w:bottom w:w="70" w:type="dxa"/>
              <w:right w:w="70" w:type="dxa"/>
            </w:tcMar>
          </w:tcPr>
          <w:p w14:paraId="2AD03E8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152" w:type="dxa"/>
            <w:tcMar>
              <w:top w:w="70" w:type="dxa"/>
              <w:left w:w="70" w:type="dxa"/>
              <w:bottom w:w="70" w:type="dxa"/>
              <w:right w:w="70" w:type="dxa"/>
            </w:tcMar>
          </w:tcPr>
          <w:p w14:paraId="11FC066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191</w:t>
            </w:r>
          </w:p>
        </w:tc>
        <w:tc>
          <w:tcPr>
            <w:tcW w:w="1152" w:type="dxa"/>
            <w:tcMar>
              <w:top w:w="70" w:type="dxa"/>
              <w:left w:w="70" w:type="dxa"/>
              <w:bottom w:w="70" w:type="dxa"/>
              <w:right w:w="70" w:type="dxa"/>
            </w:tcMar>
          </w:tcPr>
          <w:p w14:paraId="0C8E883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c>
          <w:tcPr>
            <w:tcW w:w="1152" w:type="dxa"/>
            <w:tcMar>
              <w:top w:w="70" w:type="dxa"/>
              <w:left w:w="70" w:type="dxa"/>
              <w:bottom w:w="70" w:type="dxa"/>
              <w:right w:w="70" w:type="dxa"/>
            </w:tcMar>
          </w:tcPr>
          <w:p w14:paraId="530B936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43</w:t>
            </w:r>
          </w:p>
        </w:tc>
        <w:tc>
          <w:tcPr>
            <w:tcW w:w="1152" w:type="dxa"/>
            <w:tcMar>
              <w:top w:w="70" w:type="dxa"/>
              <w:left w:w="70" w:type="dxa"/>
              <w:bottom w:w="70" w:type="dxa"/>
              <w:right w:w="70" w:type="dxa"/>
            </w:tcMar>
          </w:tcPr>
          <w:p w14:paraId="7E2364F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127</w:t>
            </w:r>
          </w:p>
        </w:tc>
        <w:tc>
          <w:tcPr>
            <w:tcW w:w="1152" w:type="dxa"/>
            <w:tcMar>
              <w:top w:w="70" w:type="dxa"/>
              <w:left w:w="70" w:type="dxa"/>
              <w:bottom w:w="70" w:type="dxa"/>
              <w:right w:w="70" w:type="dxa"/>
            </w:tcMar>
          </w:tcPr>
          <w:p w14:paraId="2EE5EDB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152" w:type="dxa"/>
            <w:tcMar>
              <w:top w:w="70" w:type="dxa"/>
              <w:left w:w="70" w:type="dxa"/>
              <w:bottom w:w="70" w:type="dxa"/>
              <w:right w:w="70" w:type="dxa"/>
            </w:tcMar>
          </w:tcPr>
          <w:p w14:paraId="45DD5AF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c>
          <w:tcPr>
            <w:tcW w:w="1152" w:type="dxa"/>
            <w:tcMar>
              <w:top w:w="70" w:type="dxa"/>
              <w:left w:w="70" w:type="dxa"/>
              <w:bottom w:w="70" w:type="dxa"/>
              <w:right w:w="70" w:type="dxa"/>
            </w:tcMar>
          </w:tcPr>
          <w:p w14:paraId="57F7E5F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14.19%</w:t>
            </w:r>
          </w:p>
        </w:tc>
      </w:tr>
      <w:tr w:rsidR="0006423C" w:rsidRPr="00FA1482" w14:paraId="5E63A835" w14:textId="77777777" w:rsidTr="00DB0233">
        <w:tc>
          <w:tcPr>
            <w:tcW w:w="1152" w:type="dxa"/>
            <w:tcMar>
              <w:top w:w="70" w:type="dxa"/>
              <w:left w:w="70" w:type="dxa"/>
              <w:bottom w:w="70" w:type="dxa"/>
              <w:right w:w="70" w:type="dxa"/>
            </w:tcMar>
          </w:tcPr>
          <w:p w14:paraId="4F43FC7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1152" w:type="dxa"/>
            <w:tcMar>
              <w:top w:w="70" w:type="dxa"/>
              <w:left w:w="70" w:type="dxa"/>
              <w:bottom w:w="70" w:type="dxa"/>
              <w:right w:w="70" w:type="dxa"/>
            </w:tcMar>
          </w:tcPr>
          <w:p w14:paraId="7E38533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152" w:type="dxa"/>
            <w:tcMar>
              <w:top w:w="70" w:type="dxa"/>
              <w:left w:w="70" w:type="dxa"/>
              <w:bottom w:w="70" w:type="dxa"/>
              <w:right w:w="70" w:type="dxa"/>
            </w:tcMar>
          </w:tcPr>
          <w:p w14:paraId="51DE435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388</w:t>
            </w:r>
          </w:p>
        </w:tc>
        <w:tc>
          <w:tcPr>
            <w:tcW w:w="1152" w:type="dxa"/>
            <w:tcMar>
              <w:top w:w="70" w:type="dxa"/>
              <w:left w:w="70" w:type="dxa"/>
              <w:bottom w:w="70" w:type="dxa"/>
              <w:right w:w="70" w:type="dxa"/>
            </w:tcMar>
          </w:tcPr>
          <w:p w14:paraId="56CA6E4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53</w:t>
            </w:r>
          </w:p>
        </w:tc>
        <w:tc>
          <w:tcPr>
            <w:tcW w:w="1152" w:type="dxa"/>
            <w:tcMar>
              <w:top w:w="70" w:type="dxa"/>
              <w:left w:w="70" w:type="dxa"/>
              <w:bottom w:w="70" w:type="dxa"/>
              <w:right w:w="70" w:type="dxa"/>
            </w:tcMar>
          </w:tcPr>
          <w:p w14:paraId="2EF61F9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37</w:t>
            </w:r>
          </w:p>
        </w:tc>
        <w:tc>
          <w:tcPr>
            <w:tcW w:w="1152" w:type="dxa"/>
            <w:tcMar>
              <w:top w:w="70" w:type="dxa"/>
              <w:left w:w="70" w:type="dxa"/>
              <w:bottom w:w="70" w:type="dxa"/>
              <w:right w:w="70" w:type="dxa"/>
            </w:tcMar>
          </w:tcPr>
          <w:p w14:paraId="3326D6B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290</w:t>
            </w:r>
          </w:p>
        </w:tc>
        <w:tc>
          <w:tcPr>
            <w:tcW w:w="1152" w:type="dxa"/>
            <w:tcMar>
              <w:top w:w="70" w:type="dxa"/>
              <w:left w:w="70" w:type="dxa"/>
              <w:bottom w:w="70" w:type="dxa"/>
              <w:right w:w="70" w:type="dxa"/>
            </w:tcMar>
          </w:tcPr>
          <w:p w14:paraId="74083C2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c>
          <w:tcPr>
            <w:tcW w:w="1152" w:type="dxa"/>
            <w:tcMar>
              <w:top w:w="70" w:type="dxa"/>
              <w:left w:w="70" w:type="dxa"/>
              <w:bottom w:w="70" w:type="dxa"/>
              <w:right w:w="70" w:type="dxa"/>
            </w:tcMar>
          </w:tcPr>
          <w:p w14:paraId="7AF80F1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c>
          <w:tcPr>
            <w:tcW w:w="1152" w:type="dxa"/>
            <w:tcMar>
              <w:top w:w="70" w:type="dxa"/>
              <w:left w:w="70" w:type="dxa"/>
              <w:bottom w:w="70" w:type="dxa"/>
              <w:right w:w="70" w:type="dxa"/>
            </w:tcMar>
          </w:tcPr>
          <w:p w14:paraId="1968A3E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15.45%</w:t>
            </w:r>
          </w:p>
        </w:tc>
      </w:tr>
      <w:tr w:rsidR="0006423C" w:rsidRPr="00FA1482" w14:paraId="082ED8E4" w14:textId="77777777" w:rsidTr="00DB0233">
        <w:tc>
          <w:tcPr>
            <w:tcW w:w="1152" w:type="dxa"/>
            <w:tcMar>
              <w:top w:w="70" w:type="dxa"/>
              <w:left w:w="70" w:type="dxa"/>
              <w:bottom w:w="70" w:type="dxa"/>
              <w:right w:w="70" w:type="dxa"/>
            </w:tcMar>
          </w:tcPr>
          <w:p w14:paraId="3038DF4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1152" w:type="dxa"/>
            <w:tcMar>
              <w:top w:w="70" w:type="dxa"/>
              <w:left w:w="70" w:type="dxa"/>
              <w:bottom w:w="70" w:type="dxa"/>
              <w:right w:w="70" w:type="dxa"/>
            </w:tcMar>
          </w:tcPr>
          <w:p w14:paraId="10DB9C5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152" w:type="dxa"/>
            <w:tcMar>
              <w:top w:w="70" w:type="dxa"/>
              <w:left w:w="70" w:type="dxa"/>
              <w:bottom w:w="70" w:type="dxa"/>
              <w:right w:w="70" w:type="dxa"/>
            </w:tcMar>
          </w:tcPr>
          <w:p w14:paraId="54086EE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104</w:t>
            </w:r>
          </w:p>
        </w:tc>
        <w:tc>
          <w:tcPr>
            <w:tcW w:w="1152" w:type="dxa"/>
            <w:tcMar>
              <w:top w:w="70" w:type="dxa"/>
              <w:left w:w="70" w:type="dxa"/>
              <w:bottom w:w="70" w:type="dxa"/>
              <w:right w:w="70" w:type="dxa"/>
            </w:tcMar>
          </w:tcPr>
          <w:p w14:paraId="62932C1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13</w:t>
            </w:r>
          </w:p>
        </w:tc>
        <w:tc>
          <w:tcPr>
            <w:tcW w:w="1152" w:type="dxa"/>
            <w:tcMar>
              <w:top w:w="70" w:type="dxa"/>
              <w:left w:w="70" w:type="dxa"/>
              <w:bottom w:w="70" w:type="dxa"/>
              <w:right w:w="70" w:type="dxa"/>
            </w:tcMar>
          </w:tcPr>
          <w:p w14:paraId="43106E7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w:t>
            </w:r>
          </w:p>
        </w:tc>
        <w:tc>
          <w:tcPr>
            <w:tcW w:w="1152" w:type="dxa"/>
            <w:tcMar>
              <w:top w:w="70" w:type="dxa"/>
              <w:left w:w="70" w:type="dxa"/>
              <w:bottom w:w="70" w:type="dxa"/>
              <w:right w:w="70" w:type="dxa"/>
            </w:tcMar>
          </w:tcPr>
          <w:p w14:paraId="68699BF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68</w:t>
            </w:r>
          </w:p>
        </w:tc>
        <w:tc>
          <w:tcPr>
            <w:tcW w:w="1152" w:type="dxa"/>
            <w:tcMar>
              <w:top w:w="70" w:type="dxa"/>
              <w:left w:w="70" w:type="dxa"/>
              <w:bottom w:w="70" w:type="dxa"/>
              <w:right w:w="70" w:type="dxa"/>
            </w:tcMar>
          </w:tcPr>
          <w:p w14:paraId="36917EC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152" w:type="dxa"/>
            <w:tcMar>
              <w:top w:w="70" w:type="dxa"/>
              <w:left w:w="70" w:type="dxa"/>
              <w:bottom w:w="70" w:type="dxa"/>
              <w:right w:w="70" w:type="dxa"/>
            </w:tcMar>
          </w:tcPr>
          <w:p w14:paraId="06B900D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c>
          <w:tcPr>
            <w:tcW w:w="1152" w:type="dxa"/>
            <w:tcMar>
              <w:top w:w="70" w:type="dxa"/>
              <w:left w:w="70" w:type="dxa"/>
              <w:bottom w:w="70" w:type="dxa"/>
              <w:right w:w="70" w:type="dxa"/>
            </w:tcMar>
          </w:tcPr>
          <w:p w14:paraId="0262179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16.05%</w:t>
            </w:r>
          </w:p>
        </w:tc>
      </w:tr>
      <w:tr w:rsidR="0006423C" w:rsidRPr="00FA1482" w14:paraId="0015B38F" w14:textId="77777777" w:rsidTr="00DB0233">
        <w:tc>
          <w:tcPr>
            <w:tcW w:w="1152" w:type="dxa"/>
            <w:tcMar>
              <w:top w:w="70" w:type="dxa"/>
              <w:left w:w="70" w:type="dxa"/>
              <w:bottom w:w="70" w:type="dxa"/>
              <w:right w:w="70" w:type="dxa"/>
            </w:tcMar>
          </w:tcPr>
          <w:p w14:paraId="084353B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DEI/NCS diagnostic</w:t>
            </w:r>
          </w:p>
        </w:tc>
        <w:tc>
          <w:tcPr>
            <w:tcW w:w="1152" w:type="dxa"/>
            <w:tcMar>
              <w:top w:w="70" w:type="dxa"/>
              <w:left w:w="70" w:type="dxa"/>
              <w:bottom w:w="70" w:type="dxa"/>
              <w:right w:w="70" w:type="dxa"/>
            </w:tcMar>
          </w:tcPr>
          <w:p w14:paraId="19EE3B8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152" w:type="dxa"/>
            <w:tcMar>
              <w:top w:w="70" w:type="dxa"/>
              <w:left w:w="70" w:type="dxa"/>
              <w:bottom w:w="70" w:type="dxa"/>
              <w:right w:w="70" w:type="dxa"/>
            </w:tcMar>
          </w:tcPr>
          <w:p w14:paraId="636E884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45</w:t>
            </w:r>
          </w:p>
        </w:tc>
        <w:tc>
          <w:tcPr>
            <w:tcW w:w="1152" w:type="dxa"/>
            <w:tcMar>
              <w:top w:w="70" w:type="dxa"/>
              <w:left w:w="70" w:type="dxa"/>
              <w:bottom w:w="70" w:type="dxa"/>
              <w:right w:w="70" w:type="dxa"/>
            </w:tcMar>
          </w:tcPr>
          <w:p w14:paraId="226E133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c>
          <w:tcPr>
            <w:tcW w:w="1152" w:type="dxa"/>
            <w:tcMar>
              <w:top w:w="70" w:type="dxa"/>
              <w:left w:w="70" w:type="dxa"/>
              <w:bottom w:w="70" w:type="dxa"/>
              <w:right w:w="70" w:type="dxa"/>
            </w:tcMar>
          </w:tcPr>
          <w:p w14:paraId="73E4B4A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w:t>
            </w:r>
          </w:p>
        </w:tc>
        <w:tc>
          <w:tcPr>
            <w:tcW w:w="1152" w:type="dxa"/>
            <w:tcMar>
              <w:top w:w="70" w:type="dxa"/>
              <w:left w:w="70" w:type="dxa"/>
              <w:bottom w:w="70" w:type="dxa"/>
              <w:right w:w="70" w:type="dxa"/>
            </w:tcMar>
          </w:tcPr>
          <w:p w14:paraId="27F3F61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29</w:t>
            </w:r>
          </w:p>
        </w:tc>
        <w:tc>
          <w:tcPr>
            <w:tcW w:w="1152" w:type="dxa"/>
            <w:tcMar>
              <w:top w:w="70" w:type="dxa"/>
              <w:left w:w="70" w:type="dxa"/>
              <w:bottom w:w="70" w:type="dxa"/>
              <w:right w:w="70" w:type="dxa"/>
            </w:tcMar>
          </w:tcPr>
          <w:p w14:paraId="55348E7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152" w:type="dxa"/>
            <w:tcMar>
              <w:top w:w="70" w:type="dxa"/>
              <w:left w:w="70" w:type="dxa"/>
              <w:bottom w:w="70" w:type="dxa"/>
              <w:right w:w="70" w:type="dxa"/>
            </w:tcMar>
          </w:tcPr>
          <w:p w14:paraId="5C4A81A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c>
          <w:tcPr>
            <w:tcW w:w="1152" w:type="dxa"/>
            <w:tcMar>
              <w:top w:w="70" w:type="dxa"/>
              <w:left w:w="70" w:type="dxa"/>
              <w:bottom w:w="70" w:type="dxa"/>
              <w:right w:w="70" w:type="dxa"/>
            </w:tcMar>
          </w:tcPr>
          <w:p w14:paraId="315E0C9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14.71%</w:t>
            </w:r>
          </w:p>
        </w:tc>
      </w:tr>
      <w:tr w:rsidR="0006423C" w:rsidRPr="00FA1482" w14:paraId="6426300B" w14:textId="77777777" w:rsidTr="00DB0233">
        <w:tc>
          <w:tcPr>
            <w:tcW w:w="1152" w:type="dxa"/>
            <w:tcMar>
              <w:top w:w="70" w:type="dxa"/>
              <w:left w:w="70" w:type="dxa"/>
              <w:bottom w:w="70" w:type="dxa"/>
              <w:right w:w="70" w:type="dxa"/>
            </w:tcMar>
          </w:tcPr>
          <w:p w14:paraId="5B9618F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DEI/NCS diagnostic</w:t>
            </w:r>
          </w:p>
        </w:tc>
        <w:tc>
          <w:tcPr>
            <w:tcW w:w="1152" w:type="dxa"/>
            <w:tcMar>
              <w:top w:w="70" w:type="dxa"/>
              <w:left w:w="70" w:type="dxa"/>
              <w:bottom w:w="70" w:type="dxa"/>
              <w:right w:w="70" w:type="dxa"/>
            </w:tcMar>
          </w:tcPr>
          <w:p w14:paraId="284989E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152" w:type="dxa"/>
            <w:tcMar>
              <w:top w:w="70" w:type="dxa"/>
              <w:left w:w="70" w:type="dxa"/>
              <w:bottom w:w="70" w:type="dxa"/>
              <w:right w:w="70" w:type="dxa"/>
            </w:tcMar>
          </w:tcPr>
          <w:p w14:paraId="283C9B9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55</w:t>
            </w:r>
          </w:p>
        </w:tc>
        <w:tc>
          <w:tcPr>
            <w:tcW w:w="1152" w:type="dxa"/>
            <w:tcMar>
              <w:top w:w="70" w:type="dxa"/>
              <w:left w:w="70" w:type="dxa"/>
              <w:bottom w:w="70" w:type="dxa"/>
              <w:right w:w="70" w:type="dxa"/>
            </w:tcMar>
          </w:tcPr>
          <w:p w14:paraId="382ACC6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c>
          <w:tcPr>
            <w:tcW w:w="1152" w:type="dxa"/>
            <w:tcMar>
              <w:top w:w="70" w:type="dxa"/>
              <w:left w:w="70" w:type="dxa"/>
              <w:bottom w:w="70" w:type="dxa"/>
              <w:right w:w="70" w:type="dxa"/>
            </w:tcMar>
          </w:tcPr>
          <w:p w14:paraId="5CF124C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w:t>
            </w:r>
          </w:p>
        </w:tc>
        <w:tc>
          <w:tcPr>
            <w:tcW w:w="1152" w:type="dxa"/>
            <w:tcMar>
              <w:top w:w="70" w:type="dxa"/>
              <w:left w:w="70" w:type="dxa"/>
              <w:bottom w:w="70" w:type="dxa"/>
              <w:right w:w="70" w:type="dxa"/>
            </w:tcMar>
          </w:tcPr>
          <w:p w14:paraId="2A1C9C1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38</w:t>
            </w:r>
          </w:p>
        </w:tc>
        <w:tc>
          <w:tcPr>
            <w:tcW w:w="1152" w:type="dxa"/>
            <w:tcMar>
              <w:top w:w="70" w:type="dxa"/>
              <w:left w:w="70" w:type="dxa"/>
              <w:bottom w:w="70" w:type="dxa"/>
              <w:right w:w="70" w:type="dxa"/>
            </w:tcMar>
          </w:tcPr>
          <w:p w14:paraId="269D083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1152" w:type="dxa"/>
            <w:tcMar>
              <w:top w:w="70" w:type="dxa"/>
              <w:left w:w="70" w:type="dxa"/>
              <w:bottom w:w="70" w:type="dxa"/>
              <w:right w:w="70" w:type="dxa"/>
            </w:tcMar>
          </w:tcPr>
          <w:p w14:paraId="71518C2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c>
          <w:tcPr>
            <w:tcW w:w="1152" w:type="dxa"/>
            <w:tcMar>
              <w:top w:w="70" w:type="dxa"/>
              <w:left w:w="70" w:type="dxa"/>
              <w:bottom w:w="70" w:type="dxa"/>
              <w:right w:w="70" w:type="dxa"/>
            </w:tcMar>
          </w:tcPr>
          <w:p w14:paraId="607ADAB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17.39%</w:t>
            </w:r>
          </w:p>
        </w:tc>
      </w:tr>
    </w:tbl>
    <w:p w14:paraId="280DF65B" w14:textId="77777777" w:rsidR="0006423C" w:rsidRPr="00FA1482" w:rsidRDefault="0006423C" w:rsidP="0006423C">
      <w:pPr>
        <w:pStyle w:val="AppendixBodyNoIndent"/>
        <w:rPr>
          <w:rFonts w:cs="Times New Roman" w:hint="cs"/>
          <w:color w:val="000000" w:themeColor="text1"/>
        </w:rPr>
      </w:pPr>
    </w:p>
    <w:p w14:paraId="3AB0CB2A"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Anti/Pro comparison is therefore not a simple passage-rate claim. Within the climate-facing universe, Pro has a slightly higher resolved enactment rate. The Anti-side asymmetry is volume and legal design: 388 Anti climate-facing statutes at the companion-collapsed grain versus 104 Pro; 53 Anti enactments across 21 states versus 13 Pro enactments across 6 states; and a heavier Anti mix of pension-fiduciary, financial-discrimination, contracting, treasury/public-funds, proxy-adviser, evidence-conversion, process-burden, and enforcement devices.</w:t>
      </w:r>
    </w:p>
    <w:p w14:paraId="2B6ED663" w14:textId="77777777" w:rsidR="0006423C" w:rsidRPr="00FA1482" w:rsidRDefault="0006423C" w:rsidP="0006423C">
      <w:pPr>
        <w:pStyle w:val="Heading2"/>
        <w:rPr>
          <w:rFonts w:hint="cs"/>
        </w:rPr>
      </w:pPr>
      <w:bookmarkStart w:id="95" w:name="_Toc229502302"/>
      <w:r w:rsidRPr="00FA1482">
        <w:rPr>
          <w:rFonts w:hint="cs"/>
        </w:rPr>
        <w:t>I. Enacted Stock by Universe</w:t>
      </w:r>
      <w:bookmarkEnd w:id="95"/>
    </w:p>
    <w:tbl>
      <w:tblPr>
        <w:tblStyle w:val="TableGrid"/>
        <w:tblW w:w="0" w:type="auto"/>
        <w:tblLook w:val="04A0" w:firstRow="1" w:lastRow="0" w:firstColumn="1" w:lastColumn="0" w:noHBand="0" w:noVBand="1"/>
      </w:tblPr>
      <w:tblGrid>
        <w:gridCol w:w="1721"/>
        <w:gridCol w:w="1483"/>
        <w:gridCol w:w="1526"/>
        <w:gridCol w:w="1590"/>
        <w:gridCol w:w="1515"/>
        <w:gridCol w:w="1515"/>
      </w:tblGrid>
      <w:tr w:rsidR="0006423C" w:rsidRPr="00FA1482" w14:paraId="07B7FD88" w14:textId="77777777" w:rsidTr="00DB0233">
        <w:tc>
          <w:tcPr>
            <w:tcW w:w="1728" w:type="dxa"/>
            <w:shd w:val="clear" w:color="auto" w:fill="EDEDED"/>
            <w:tcMar>
              <w:top w:w="70" w:type="dxa"/>
              <w:left w:w="70" w:type="dxa"/>
              <w:bottom w:w="70" w:type="dxa"/>
              <w:right w:w="70" w:type="dxa"/>
            </w:tcMar>
          </w:tcPr>
          <w:p w14:paraId="56235C6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Universe</w:t>
            </w:r>
          </w:p>
        </w:tc>
        <w:tc>
          <w:tcPr>
            <w:tcW w:w="1728" w:type="dxa"/>
            <w:shd w:val="clear" w:color="auto" w:fill="EDEDED"/>
            <w:tcMar>
              <w:top w:w="70" w:type="dxa"/>
              <w:left w:w="70" w:type="dxa"/>
              <w:bottom w:w="70" w:type="dxa"/>
              <w:right w:w="70" w:type="dxa"/>
            </w:tcMar>
          </w:tcPr>
          <w:p w14:paraId="259D6783"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Stance</w:t>
            </w:r>
          </w:p>
        </w:tc>
        <w:tc>
          <w:tcPr>
            <w:tcW w:w="1728" w:type="dxa"/>
            <w:shd w:val="clear" w:color="auto" w:fill="EDEDED"/>
            <w:tcMar>
              <w:top w:w="70" w:type="dxa"/>
              <w:left w:w="70" w:type="dxa"/>
              <w:bottom w:w="70" w:type="dxa"/>
              <w:right w:w="70" w:type="dxa"/>
            </w:tcMar>
          </w:tcPr>
          <w:p w14:paraId="2298E2FC"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 annual attempts</w:t>
            </w:r>
          </w:p>
        </w:tc>
        <w:tc>
          <w:tcPr>
            <w:tcW w:w="1728" w:type="dxa"/>
            <w:shd w:val="clear" w:color="auto" w:fill="EDEDED"/>
            <w:tcMar>
              <w:top w:w="70" w:type="dxa"/>
              <w:left w:w="70" w:type="dxa"/>
              <w:bottom w:w="70" w:type="dxa"/>
              <w:right w:w="70" w:type="dxa"/>
            </w:tcMar>
          </w:tcPr>
          <w:p w14:paraId="5E48A195"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 companion-collapsed statutes</w:t>
            </w:r>
          </w:p>
        </w:tc>
        <w:tc>
          <w:tcPr>
            <w:tcW w:w="1728" w:type="dxa"/>
            <w:shd w:val="clear" w:color="auto" w:fill="EDEDED"/>
            <w:tcMar>
              <w:top w:w="70" w:type="dxa"/>
              <w:left w:w="70" w:type="dxa"/>
              <w:bottom w:w="70" w:type="dxa"/>
              <w:right w:w="70" w:type="dxa"/>
            </w:tcMar>
          </w:tcPr>
          <w:p w14:paraId="236BA846"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 filed bill records</w:t>
            </w:r>
          </w:p>
        </w:tc>
        <w:tc>
          <w:tcPr>
            <w:tcW w:w="1728" w:type="dxa"/>
            <w:shd w:val="clear" w:color="auto" w:fill="EDEDED"/>
            <w:tcMar>
              <w:top w:w="70" w:type="dxa"/>
              <w:left w:w="70" w:type="dxa"/>
              <w:bottom w:w="70" w:type="dxa"/>
              <w:right w:w="70" w:type="dxa"/>
            </w:tcMar>
          </w:tcPr>
          <w:p w14:paraId="7423426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 states</w:t>
            </w:r>
          </w:p>
        </w:tc>
      </w:tr>
      <w:tr w:rsidR="0006423C" w:rsidRPr="00FA1482" w14:paraId="22080ED0" w14:textId="77777777" w:rsidTr="00DB0233">
        <w:tc>
          <w:tcPr>
            <w:tcW w:w="1728" w:type="dxa"/>
            <w:tcMar>
              <w:top w:w="70" w:type="dxa"/>
              <w:left w:w="70" w:type="dxa"/>
              <w:bottom w:w="70" w:type="dxa"/>
              <w:right w:w="70" w:type="dxa"/>
            </w:tcMar>
          </w:tcPr>
          <w:p w14:paraId="38860B3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 ESG</w:t>
            </w:r>
          </w:p>
        </w:tc>
        <w:tc>
          <w:tcPr>
            <w:tcW w:w="1728" w:type="dxa"/>
            <w:tcMar>
              <w:top w:w="70" w:type="dxa"/>
              <w:left w:w="70" w:type="dxa"/>
              <w:bottom w:w="70" w:type="dxa"/>
              <w:right w:w="70" w:type="dxa"/>
            </w:tcMar>
          </w:tcPr>
          <w:p w14:paraId="096941C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728" w:type="dxa"/>
            <w:tcMar>
              <w:top w:w="70" w:type="dxa"/>
              <w:left w:w="70" w:type="dxa"/>
              <w:bottom w:w="70" w:type="dxa"/>
              <w:right w:w="70" w:type="dxa"/>
            </w:tcMar>
          </w:tcPr>
          <w:p w14:paraId="260C5DD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87</w:t>
            </w:r>
          </w:p>
        </w:tc>
        <w:tc>
          <w:tcPr>
            <w:tcW w:w="1728" w:type="dxa"/>
            <w:tcMar>
              <w:top w:w="70" w:type="dxa"/>
              <w:left w:w="70" w:type="dxa"/>
              <w:bottom w:w="70" w:type="dxa"/>
              <w:right w:w="70" w:type="dxa"/>
            </w:tcMar>
          </w:tcPr>
          <w:p w14:paraId="4379851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72</w:t>
            </w:r>
          </w:p>
        </w:tc>
        <w:tc>
          <w:tcPr>
            <w:tcW w:w="1728" w:type="dxa"/>
            <w:tcMar>
              <w:top w:w="70" w:type="dxa"/>
              <w:left w:w="70" w:type="dxa"/>
              <w:bottom w:w="70" w:type="dxa"/>
              <w:right w:w="70" w:type="dxa"/>
            </w:tcMar>
          </w:tcPr>
          <w:p w14:paraId="27F441E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75</w:t>
            </w:r>
          </w:p>
        </w:tc>
        <w:tc>
          <w:tcPr>
            <w:tcW w:w="1728" w:type="dxa"/>
            <w:tcMar>
              <w:top w:w="70" w:type="dxa"/>
              <w:left w:w="70" w:type="dxa"/>
              <w:bottom w:w="70" w:type="dxa"/>
              <w:right w:w="70" w:type="dxa"/>
            </w:tcMar>
          </w:tcPr>
          <w:p w14:paraId="60907C9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w:t>
            </w:r>
          </w:p>
        </w:tc>
      </w:tr>
      <w:tr w:rsidR="0006423C" w:rsidRPr="00FA1482" w14:paraId="7F3B630A" w14:textId="77777777" w:rsidTr="00DB0233">
        <w:tc>
          <w:tcPr>
            <w:tcW w:w="1728" w:type="dxa"/>
            <w:tcMar>
              <w:top w:w="70" w:type="dxa"/>
              <w:left w:w="70" w:type="dxa"/>
              <w:bottom w:w="70" w:type="dxa"/>
              <w:right w:w="70" w:type="dxa"/>
            </w:tcMar>
          </w:tcPr>
          <w:p w14:paraId="2A2CFB4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 ESG</w:t>
            </w:r>
          </w:p>
        </w:tc>
        <w:tc>
          <w:tcPr>
            <w:tcW w:w="1728" w:type="dxa"/>
            <w:tcMar>
              <w:top w:w="70" w:type="dxa"/>
              <w:left w:w="70" w:type="dxa"/>
              <w:bottom w:w="70" w:type="dxa"/>
              <w:right w:w="70" w:type="dxa"/>
            </w:tcMar>
          </w:tcPr>
          <w:p w14:paraId="1AAFE79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728" w:type="dxa"/>
            <w:tcMar>
              <w:top w:w="70" w:type="dxa"/>
              <w:left w:w="70" w:type="dxa"/>
              <w:bottom w:w="70" w:type="dxa"/>
              <w:right w:w="70" w:type="dxa"/>
            </w:tcMar>
          </w:tcPr>
          <w:p w14:paraId="6953A8A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27</w:t>
            </w:r>
          </w:p>
        </w:tc>
        <w:tc>
          <w:tcPr>
            <w:tcW w:w="1728" w:type="dxa"/>
            <w:tcMar>
              <w:top w:w="70" w:type="dxa"/>
              <w:left w:w="70" w:type="dxa"/>
              <w:bottom w:w="70" w:type="dxa"/>
              <w:right w:w="70" w:type="dxa"/>
            </w:tcMar>
          </w:tcPr>
          <w:p w14:paraId="4979D5A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w:t>
            </w:r>
          </w:p>
        </w:tc>
        <w:tc>
          <w:tcPr>
            <w:tcW w:w="1728" w:type="dxa"/>
            <w:tcMar>
              <w:top w:w="70" w:type="dxa"/>
              <w:left w:w="70" w:type="dxa"/>
              <w:bottom w:w="70" w:type="dxa"/>
              <w:right w:w="70" w:type="dxa"/>
            </w:tcMar>
          </w:tcPr>
          <w:p w14:paraId="6205357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24</w:t>
            </w:r>
          </w:p>
        </w:tc>
        <w:tc>
          <w:tcPr>
            <w:tcW w:w="1728" w:type="dxa"/>
            <w:tcMar>
              <w:top w:w="70" w:type="dxa"/>
              <w:left w:w="70" w:type="dxa"/>
              <w:bottom w:w="70" w:type="dxa"/>
              <w:right w:w="70" w:type="dxa"/>
            </w:tcMar>
          </w:tcPr>
          <w:p w14:paraId="7CE1D87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w:t>
            </w:r>
          </w:p>
        </w:tc>
      </w:tr>
      <w:tr w:rsidR="0006423C" w:rsidRPr="00FA1482" w14:paraId="6461B384" w14:textId="77777777" w:rsidTr="00DB0233">
        <w:tc>
          <w:tcPr>
            <w:tcW w:w="1728" w:type="dxa"/>
            <w:tcMar>
              <w:top w:w="70" w:type="dxa"/>
              <w:left w:w="70" w:type="dxa"/>
              <w:bottom w:w="70" w:type="dxa"/>
              <w:right w:w="70" w:type="dxa"/>
            </w:tcMar>
          </w:tcPr>
          <w:p w14:paraId="24536DD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Corporate/financial ESG</w:t>
            </w:r>
          </w:p>
        </w:tc>
        <w:tc>
          <w:tcPr>
            <w:tcW w:w="1728" w:type="dxa"/>
            <w:tcMar>
              <w:top w:w="70" w:type="dxa"/>
              <w:left w:w="70" w:type="dxa"/>
              <w:bottom w:w="70" w:type="dxa"/>
              <w:right w:w="70" w:type="dxa"/>
            </w:tcMar>
          </w:tcPr>
          <w:p w14:paraId="2FA9D10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728" w:type="dxa"/>
            <w:tcMar>
              <w:top w:w="70" w:type="dxa"/>
              <w:left w:w="70" w:type="dxa"/>
              <w:bottom w:w="70" w:type="dxa"/>
              <w:right w:w="70" w:type="dxa"/>
            </w:tcMar>
          </w:tcPr>
          <w:p w14:paraId="20C415E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81</w:t>
            </w:r>
          </w:p>
        </w:tc>
        <w:tc>
          <w:tcPr>
            <w:tcW w:w="1728" w:type="dxa"/>
            <w:tcMar>
              <w:top w:w="70" w:type="dxa"/>
              <w:left w:w="70" w:type="dxa"/>
              <w:bottom w:w="70" w:type="dxa"/>
              <w:right w:w="70" w:type="dxa"/>
            </w:tcMar>
          </w:tcPr>
          <w:p w14:paraId="1D888F5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66</w:t>
            </w:r>
          </w:p>
        </w:tc>
        <w:tc>
          <w:tcPr>
            <w:tcW w:w="1728" w:type="dxa"/>
            <w:tcMar>
              <w:top w:w="70" w:type="dxa"/>
              <w:left w:w="70" w:type="dxa"/>
              <w:bottom w:w="70" w:type="dxa"/>
              <w:right w:w="70" w:type="dxa"/>
            </w:tcMar>
          </w:tcPr>
          <w:p w14:paraId="1AEFC95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69</w:t>
            </w:r>
          </w:p>
        </w:tc>
        <w:tc>
          <w:tcPr>
            <w:tcW w:w="1728" w:type="dxa"/>
            <w:tcMar>
              <w:top w:w="70" w:type="dxa"/>
              <w:left w:w="70" w:type="dxa"/>
              <w:bottom w:w="70" w:type="dxa"/>
              <w:right w:w="70" w:type="dxa"/>
            </w:tcMar>
          </w:tcPr>
          <w:p w14:paraId="7C0B9BB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22</w:t>
            </w:r>
          </w:p>
        </w:tc>
      </w:tr>
      <w:tr w:rsidR="0006423C" w:rsidRPr="00FA1482" w14:paraId="27B2F325" w14:textId="77777777" w:rsidTr="00DB0233">
        <w:tc>
          <w:tcPr>
            <w:tcW w:w="1728" w:type="dxa"/>
            <w:tcMar>
              <w:top w:w="70" w:type="dxa"/>
              <w:left w:w="70" w:type="dxa"/>
              <w:bottom w:w="70" w:type="dxa"/>
              <w:right w:w="70" w:type="dxa"/>
            </w:tcMar>
          </w:tcPr>
          <w:p w14:paraId="1330A85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Corporate/financial ESG</w:t>
            </w:r>
          </w:p>
        </w:tc>
        <w:tc>
          <w:tcPr>
            <w:tcW w:w="1728" w:type="dxa"/>
            <w:tcMar>
              <w:top w:w="70" w:type="dxa"/>
              <w:left w:w="70" w:type="dxa"/>
              <w:bottom w:w="70" w:type="dxa"/>
              <w:right w:w="70" w:type="dxa"/>
            </w:tcMar>
          </w:tcPr>
          <w:p w14:paraId="4CB7063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728" w:type="dxa"/>
            <w:tcMar>
              <w:top w:w="70" w:type="dxa"/>
              <w:left w:w="70" w:type="dxa"/>
              <w:bottom w:w="70" w:type="dxa"/>
              <w:right w:w="70" w:type="dxa"/>
            </w:tcMar>
          </w:tcPr>
          <w:p w14:paraId="247577E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25</w:t>
            </w:r>
          </w:p>
        </w:tc>
        <w:tc>
          <w:tcPr>
            <w:tcW w:w="1728" w:type="dxa"/>
            <w:tcMar>
              <w:top w:w="70" w:type="dxa"/>
              <w:left w:w="70" w:type="dxa"/>
              <w:bottom w:w="70" w:type="dxa"/>
              <w:right w:w="70" w:type="dxa"/>
            </w:tcMar>
          </w:tcPr>
          <w:p w14:paraId="49863E5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c>
          <w:tcPr>
            <w:tcW w:w="1728" w:type="dxa"/>
            <w:tcMar>
              <w:top w:w="70" w:type="dxa"/>
              <w:left w:w="70" w:type="dxa"/>
              <w:bottom w:w="70" w:type="dxa"/>
              <w:right w:w="70" w:type="dxa"/>
            </w:tcMar>
          </w:tcPr>
          <w:p w14:paraId="3E12BD3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22</w:t>
            </w:r>
          </w:p>
        </w:tc>
        <w:tc>
          <w:tcPr>
            <w:tcW w:w="1728" w:type="dxa"/>
            <w:tcMar>
              <w:top w:w="70" w:type="dxa"/>
              <w:left w:w="70" w:type="dxa"/>
              <w:bottom w:w="70" w:type="dxa"/>
              <w:right w:w="70" w:type="dxa"/>
            </w:tcMar>
          </w:tcPr>
          <w:p w14:paraId="6FF1BB7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r>
      <w:tr w:rsidR="0006423C" w:rsidRPr="00FA1482" w14:paraId="00193D02" w14:textId="77777777" w:rsidTr="00DB0233">
        <w:tc>
          <w:tcPr>
            <w:tcW w:w="1728" w:type="dxa"/>
            <w:tcMar>
              <w:top w:w="70" w:type="dxa"/>
              <w:left w:w="70" w:type="dxa"/>
              <w:bottom w:w="70" w:type="dxa"/>
              <w:right w:w="70" w:type="dxa"/>
            </w:tcMar>
          </w:tcPr>
          <w:p w14:paraId="17269D9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Core corporate/fiduciary ESG</w:t>
            </w:r>
          </w:p>
        </w:tc>
        <w:tc>
          <w:tcPr>
            <w:tcW w:w="1728" w:type="dxa"/>
            <w:tcMar>
              <w:top w:w="70" w:type="dxa"/>
              <w:left w:w="70" w:type="dxa"/>
              <w:bottom w:w="70" w:type="dxa"/>
              <w:right w:w="70" w:type="dxa"/>
            </w:tcMar>
          </w:tcPr>
          <w:p w14:paraId="3F78B12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728" w:type="dxa"/>
            <w:tcMar>
              <w:top w:w="70" w:type="dxa"/>
              <w:left w:w="70" w:type="dxa"/>
              <w:bottom w:w="70" w:type="dxa"/>
              <w:right w:w="70" w:type="dxa"/>
            </w:tcMar>
          </w:tcPr>
          <w:p w14:paraId="1431E6D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68</w:t>
            </w:r>
          </w:p>
        </w:tc>
        <w:tc>
          <w:tcPr>
            <w:tcW w:w="1728" w:type="dxa"/>
            <w:tcMar>
              <w:top w:w="70" w:type="dxa"/>
              <w:left w:w="70" w:type="dxa"/>
              <w:bottom w:w="70" w:type="dxa"/>
              <w:right w:w="70" w:type="dxa"/>
            </w:tcMar>
          </w:tcPr>
          <w:p w14:paraId="5971714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55</w:t>
            </w:r>
          </w:p>
        </w:tc>
        <w:tc>
          <w:tcPr>
            <w:tcW w:w="1728" w:type="dxa"/>
            <w:tcMar>
              <w:top w:w="70" w:type="dxa"/>
              <w:left w:w="70" w:type="dxa"/>
              <w:bottom w:w="70" w:type="dxa"/>
              <w:right w:w="70" w:type="dxa"/>
            </w:tcMar>
          </w:tcPr>
          <w:p w14:paraId="7013092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58</w:t>
            </w:r>
          </w:p>
        </w:tc>
        <w:tc>
          <w:tcPr>
            <w:tcW w:w="1728" w:type="dxa"/>
            <w:tcMar>
              <w:top w:w="70" w:type="dxa"/>
              <w:left w:w="70" w:type="dxa"/>
              <w:bottom w:w="70" w:type="dxa"/>
              <w:right w:w="70" w:type="dxa"/>
            </w:tcMar>
          </w:tcPr>
          <w:p w14:paraId="25531A0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r>
      <w:tr w:rsidR="0006423C" w:rsidRPr="00FA1482" w14:paraId="2D241D6D" w14:textId="77777777" w:rsidTr="00DB0233">
        <w:tc>
          <w:tcPr>
            <w:tcW w:w="1728" w:type="dxa"/>
            <w:tcMar>
              <w:top w:w="70" w:type="dxa"/>
              <w:left w:w="70" w:type="dxa"/>
              <w:bottom w:w="70" w:type="dxa"/>
              <w:right w:w="70" w:type="dxa"/>
            </w:tcMar>
          </w:tcPr>
          <w:p w14:paraId="6346226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Core corporate/fiduciary ESG</w:t>
            </w:r>
          </w:p>
        </w:tc>
        <w:tc>
          <w:tcPr>
            <w:tcW w:w="1728" w:type="dxa"/>
            <w:tcMar>
              <w:top w:w="70" w:type="dxa"/>
              <w:left w:w="70" w:type="dxa"/>
              <w:bottom w:w="70" w:type="dxa"/>
              <w:right w:w="70" w:type="dxa"/>
            </w:tcMar>
          </w:tcPr>
          <w:p w14:paraId="14A1ED5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728" w:type="dxa"/>
            <w:tcMar>
              <w:top w:w="70" w:type="dxa"/>
              <w:left w:w="70" w:type="dxa"/>
              <w:bottom w:w="70" w:type="dxa"/>
              <w:right w:w="70" w:type="dxa"/>
            </w:tcMar>
          </w:tcPr>
          <w:p w14:paraId="231AB44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25</w:t>
            </w:r>
          </w:p>
        </w:tc>
        <w:tc>
          <w:tcPr>
            <w:tcW w:w="1728" w:type="dxa"/>
            <w:tcMar>
              <w:top w:w="70" w:type="dxa"/>
              <w:left w:w="70" w:type="dxa"/>
              <w:bottom w:w="70" w:type="dxa"/>
              <w:right w:w="70" w:type="dxa"/>
            </w:tcMar>
          </w:tcPr>
          <w:p w14:paraId="52834FA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c>
          <w:tcPr>
            <w:tcW w:w="1728" w:type="dxa"/>
            <w:tcMar>
              <w:top w:w="70" w:type="dxa"/>
              <w:left w:w="70" w:type="dxa"/>
              <w:bottom w:w="70" w:type="dxa"/>
              <w:right w:w="70" w:type="dxa"/>
            </w:tcMar>
          </w:tcPr>
          <w:p w14:paraId="129297A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22</w:t>
            </w:r>
          </w:p>
        </w:tc>
        <w:tc>
          <w:tcPr>
            <w:tcW w:w="1728" w:type="dxa"/>
            <w:tcMar>
              <w:top w:w="70" w:type="dxa"/>
              <w:left w:w="70" w:type="dxa"/>
              <w:bottom w:w="70" w:type="dxa"/>
              <w:right w:w="70" w:type="dxa"/>
            </w:tcMar>
          </w:tcPr>
          <w:p w14:paraId="1CD1869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r>
      <w:tr w:rsidR="0006423C" w:rsidRPr="00FA1482" w14:paraId="0121014D" w14:textId="77777777" w:rsidTr="00DB0233">
        <w:tc>
          <w:tcPr>
            <w:tcW w:w="1728" w:type="dxa"/>
            <w:tcMar>
              <w:top w:w="70" w:type="dxa"/>
              <w:left w:w="70" w:type="dxa"/>
              <w:bottom w:w="70" w:type="dxa"/>
              <w:right w:w="70" w:type="dxa"/>
            </w:tcMar>
          </w:tcPr>
          <w:p w14:paraId="5D89B3A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1728" w:type="dxa"/>
            <w:tcMar>
              <w:top w:w="70" w:type="dxa"/>
              <w:left w:w="70" w:type="dxa"/>
              <w:bottom w:w="70" w:type="dxa"/>
              <w:right w:w="70" w:type="dxa"/>
            </w:tcMar>
          </w:tcPr>
          <w:p w14:paraId="06BD7AA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1728" w:type="dxa"/>
            <w:tcMar>
              <w:top w:w="70" w:type="dxa"/>
              <w:left w:w="70" w:type="dxa"/>
              <w:bottom w:w="70" w:type="dxa"/>
              <w:right w:w="70" w:type="dxa"/>
            </w:tcMar>
          </w:tcPr>
          <w:p w14:paraId="2E1693C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66</w:t>
            </w:r>
          </w:p>
        </w:tc>
        <w:tc>
          <w:tcPr>
            <w:tcW w:w="1728" w:type="dxa"/>
            <w:tcMar>
              <w:top w:w="70" w:type="dxa"/>
              <w:left w:w="70" w:type="dxa"/>
              <w:bottom w:w="70" w:type="dxa"/>
              <w:right w:w="70" w:type="dxa"/>
            </w:tcMar>
          </w:tcPr>
          <w:p w14:paraId="333148D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53</w:t>
            </w:r>
          </w:p>
        </w:tc>
        <w:tc>
          <w:tcPr>
            <w:tcW w:w="1728" w:type="dxa"/>
            <w:tcMar>
              <w:top w:w="70" w:type="dxa"/>
              <w:left w:w="70" w:type="dxa"/>
              <w:bottom w:w="70" w:type="dxa"/>
              <w:right w:w="70" w:type="dxa"/>
            </w:tcMar>
          </w:tcPr>
          <w:p w14:paraId="04C31A8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56</w:t>
            </w:r>
          </w:p>
        </w:tc>
        <w:tc>
          <w:tcPr>
            <w:tcW w:w="1728" w:type="dxa"/>
            <w:tcMar>
              <w:top w:w="70" w:type="dxa"/>
              <w:left w:w="70" w:type="dxa"/>
              <w:bottom w:w="70" w:type="dxa"/>
              <w:right w:w="70" w:type="dxa"/>
            </w:tcMar>
          </w:tcPr>
          <w:p w14:paraId="4BDD3AA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r>
      <w:tr w:rsidR="0006423C" w:rsidRPr="00FA1482" w14:paraId="7DD1179E" w14:textId="77777777" w:rsidTr="00DB0233">
        <w:tc>
          <w:tcPr>
            <w:tcW w:w="1728" w:type="dxa"/>
            <w:tcMar>
              <w:top w:w="70" w:type="dxa"/>
              <w:left w:w="70" w:type="dxa"/>
              <w:bottom w:w="70" w:type="dxa"/>
              <w:right w:w="70" w:type="dxa"/>
            </w:tcMar>
          </w:tcPr>
          <w:p w14:paraId="6A3BA38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1728" w:type="dxa"/>
            <w:tcMar>
              <w:top w:w="70" w:type="dxa"/>
              <w:left w:w="70" w:type="dxa"/>
              <w:bottom w:w="70" w:type="dxa"/>
              <w:right w:w="70" w:type="dxa"/>
            </w:tcMar>
          </w:tcPr>
          <w:p w14:paraId="0CFCCFC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1728" w:type="dxa"/>
            <w:tcMar>
              <w:top w:w="70" w:type="dxa"/>
              <w:left w:w="70" w:type="dxa"/>
              <w:bottom w:w="70" w:type="dxa"/>
              <w:right w:w="70" w:type="dxa"/>
            </w:tcMar>
          </w:tcPr>
          <w:p w14:paraId="59BCD06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w:t>
            </w:r>
          </w:p>
        </w:tc>
        <w:tc>
          <w:tcPr>
            <w:tcW w:w="1728" w:type="dxa"/>
            <w:tcMar>
              <w:top w:w="70" w:type="dxa"/>
              <w:left w:w="70" w:type="dxa"/>
              <w:bottom w:w="70" w:type="dxa"/>
              <w:right w:w="70" w:type="dxa"/>
            </w:tcMar>
          </w:tcPr>
          <w:p w14:paraId="3B93CC9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13</w:t>
            </w:r>
          </w:p>
        </w:tc>
        <w:tc>
          <w:tcPr>
            <w:tcW w:w="1728" w:type="dxa"/>
            <w:tcMar>
              <w:top w:w="70" w:type="dxa"/>
              <w:left w:w="70" w:type="dxa"/>
              <w:bottom w:w="70" w:type="dxa"/>
              <w:right w:w="70" w:type="dxa"/>
            </w:tcMar>
          </w:tcPr>
          <w:p w14:paraId="301CC08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14</w:t>
            </w:r>
          </w:p>
        </w:tc>
        <w:tc>
          <w:tcPr>
            <w:tcW w:w="1728" w:type="dxa"/>
            <w:tcMar>
              <w:top w:w="70" w:type="dxa"/>
              <w:left w:w="70" w:type="dxa"/>
              <w:bottom w:w="70" w:type="dxa"/>
              <w:right w:w="70" w:type="dxa"/>
            </w:tcMar>
          </w:tcPr>
          <w:p w14:paraId="5A11F42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r>
    </w:tbl>
    <w:p w14:paraId="59840E38" w14:textId="77777777" w:rsidR="0006423C" w:rsidRPr="00FA1482" w:rsidRDefault="0006423C" w:rsidP="0006423C">
      <w:pPr>
        <w:pStyle w:val="AppendixBodyNoIndent"/>
        <w:spacing w:line="360" w:lineRule="auto"/>
        <w:rPr>
          <w:rFonts w:cs="Times New Roman" w:hint="cs"/>
          <w:color w:val="000000" w:themeColor="text1"/>
        </w:rPr>
      </w:pPr>
    </w:p>
    <w:p w14:paraId="3A2263EB"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broader Anti enacted set is larger than the climate-facing foreclosure set because the broad ESG universe includes sidecar and boundary rows. The foreclosure closeout used for the hard Anti-side statutory architecture contains 54 enacted bill records, consolidated to 51 enacted statutes across 21 states.</w:t>
      </w:r>
    </w:p>
    <w:p w14:paraId="54600596" w14:textId="77777777" w:rsidR="0006423C" w:rsidRPr="00FA1482" w:rsidRDefault="0006423C" w:rsidP="0006423C">
      <w:pPr>
        <w:pStyle w:val="Heading2"/>
        <w:rPr>
          <w:rFonts w:hint="cs"/>
        </w:rPr>
      </w:pPr>
      <w:bookmarkStart w:id="96" w:name="_Toc229502303"/>
      <w:r w:rsidRPr="00FA1482">
        <w:rPr>
          <w:rFonts w:hint="cs"/>
        </w:rPr>
        <w:t>J. Mechanisms, Reach, and Legal Tools</w:t>
      </w:r>
      <w:bookmarkEnd w:id="96"/>
    </w:p>
    <w:p w14:paraId="02C335D2"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Mechanism labels identify the legal channel. Reach labels identify the regulated actor or institutional target. Legal-tool labels identify what the statute does. The publication tables report primary mechanism and primary reach when a one-row-per-statute table is needed; any-flag counts are used only for stacking, overlap, or compliance-burden claims.</w:t>
      </w:r>
    </w:p>
    <w:p w14:paraId="15F4631A"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Common mechanism families include pension fiduciary rules, government contracting/procurement, financial discrimination, treasury/public funds, divestment/listing, proxy-adviser regulation, governance/stewardship, disclosure/reporting, government-internal rules, and direct private regulation. Common reach families include pensions, public funds/treasury, contractors, financial institutions, insurers, banks/payment systems, proxy advisers, corporate issuers, public institutions, higher education, and private market actors. Common legal tools include enforcement authority, penalties, certification or attestation, disclosure/reporting, liability exposure, safe harbors or exceptions, list designation, divestment, procurement restrictions, proxy-voting/stewardship duties, and fiduciary-factor rules.</w:t>
      </w:r>
    </w:p>
    <w:tbl>
      <w:tblPr>
        <w:tblStyle w:val="TableGrid"/>
        <w:tblW w:w="0" w:type="auto"/>
        <w:tblLook w:val="04A0" w:firstRow="1" w:lastRow="0" w:firstColumn="1" w:lastColumn="0" w:noHBand="0" w:noVBand="1"/>
      </w:tblPr>
      <w:tblGrid>
        <w:gridCol w:w="1871"/>
        <w:gridCol w:w="1841"/>
        <w:gridCol w:w="1942"/>
        <w:gridCol w:w="1864"/>
        <w:gridCol w:w="1832"/>
      </w:tblGrid>
      <w:tr w:rsidR="0006423C" w:rsidRPr="00FA1482" w14:paraId="085259BF" w14:textId="77777777" w:rsidTr="00DB0233">
        <w:tc>
          <w:tcPr>
            <w:tcW w:w="2074" w:type="dxa"/>
            <w:shd w:val="clear" w:color="auto" w:fill="EDEDED"/>
            <w:tcMar>
              <w:top w:w="70" w:type="dxa"/>
              <w:left w:w="70" w:type="dxa"/>
              <w:bottom w:w="70" w:type="dxa"/>
              <w:right w:w="70" w:type="dxa"/>
            </w:tcMar>
          </w:tcPr>
          <w:p w14:paraId="5B8A9D8F"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enacted statutes</w:t>
            </w:r>
          </w:p>
        </w:tc>
        <w:tc>
          <w:tcPr>
            <w:tcW w:w="2074" w:type="dxa"/>
            <w:shd w:val="clear" w:color="auto" w:fill="EDEDED"/>
            <w:tcMar>
              <w:top w:w="70" w:type="dxa"/>
              <w:left w:w="70" w:type="dxa"/>
              <w:bottom w:w="70" w:type="dxa"/>
              <w:right w:w="70" w:type="dxa"/>
            </w:tcMar>
          </w:tcPr>
          <w:p w14:paraId="6FCB61DF"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Stance</w:t>
            </w:r>
          </w:p>
        </w:tc>
        <w:tc>
          <w:tcPr>
            <w:tcW w:w="2074" w:type="dxa"/>
            <w:shd w:val="clear" w:color="auto" w:fill="EDEDED"/>
            <w:tcMar>
              <w:top w:w="70" w:type="dxa"/>
              <w:left w:w="70" w:type="dxa"/>
              <w:bottom w:w="70" w:type="dxa"/>
              <w:right w:w="70" w:type="dxa"/>
            </w:tcMar>
          </w:tcPr>
          <w:p w14:paraId="6876899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Primary mechanism</w:t>
            </w:r>
          </w:p>
        </w:tc>
        <w:tc>
          <w:tcPr>
            <w:tcW w:w="2074" w:type="dxa"/>
            <w:shd w:val="clear" w:color="auto" w:fill="EDEDED"/>
            <w:tcMar>
              <w:top w:w="70" w:type="dxa"/>
              <w:left w:w="70" w:type="dxa"/>
              <w:bottom w:w="70" w:type="dxa"/>
              <w:right w:w="70" w:type="dxa"/>
            </w:tcMar>
          </w:tcPr>
          <w:p w14:paraId="26886C8C"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 statutes</w:t>
            </w:r>
          </w:p>
        </w:tc>
        <w:tc>
          <w:tcPr>
            <w:tcW w:w="2074" w:type="dxa"/>
            <w:shd w:val="clear" w:color="auto" w:fill="EDEDED"/>
            <w:tcMar>
              <w:top w:w="70" w:type="dxa"/>
              <w:left w:w="70" w:type="dxa"/>
              <w:bottom w:w="70" w:type="dxa"/>
              <w:right w:w="70" w:type="dxa"/>
            </w:tcMar>
          </w:tcPr>
          <w:p w14:paraId="5AB90DC6"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States</w:t>
            </w:r>
          </w:p>
        </w:tc>
      </w:tr>
      <w:tr w:rsidR="0006423C" w:rsidRPr="00FA1482" w14:paraId="7C627116" w14:textId="77777777" w:rsidTr="00DB0233">
        <w:tc>
          <w:tcPr>
            <w:tcW w:w="2074" w:type="dxa"/>
            <w:tcMar>
              <w:top w:w="70" w:type="dxa"/>
              <w:left w:w="70" w:type="dxa"/>
              <w:bottom w:w="70" w:type="dxa"/>
              <w:right w:w="70" w:type="dxa"/>
            </w:tcMar>
          </w:tcPr>
          <w:p w14:paraId="5A49AEA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57BF2F3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5C82267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Pension fiduciary</w:t>
            </w:r>
          </w:p>
        </w:tc>
        <w:tc>
          <w:tcPr>
            <w:tcW w:w="2074" w:type="dxa"/>
            <w:tcMar>
              <w:top w:w="70" w:type="dxa"/>
              <w:left w:w="70" w:type="dxa"/>
              <w:bottom w:w="70" w:type="dxa"/>
              <w:right w:w="70" w:type="dxa"/>
            </w:tcMar>
          </w:tcPr>
          <w:p w14:paraId="0809AD5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19</w:t>
            </w:r>
          </w:p>
        </w:tc>
        <w:tc>
          <w:tcPr>
            <w:tcW w:w="2074" w:type="dxa"/>
            <w:tcMar>
              <w:top w:w="70" w:type="dxa"/>
              <w:left w:w="70" w:type="dxa"/>
              <w:bottom w:w="70" w:type="dxa"/>
              <w:right w:w="70" w:type="dxa"/>
            </w:tcMar>
          </w:tcPr>
          <w:p w14:paraId="764CD3B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17</w:t>
            </w:r>
          </w:p>
        </w:tc>
      </w:tr>
      <w:tr w:rsidR="0006423C" w:rsidRPr="00FA1482" w14:paraId="008B6F72" w14:textId="77777777" w:rsidTr="00DB0233">
        <w:tc>
          <w:tcPr>
            <w:tcW w:w="2074" w:type="dxa"/>
            <w:tcMar>
              <w:top w:w="70" w:type="dxa"/>
              <w:left w:w="70" w:type="dxa"/>
              <w:bottom w:w="70" w:type="dxa"/>
              <w:right w:w="70" w:type="dxa"/>
            </w:tcMar>
          </w:tcPr>
          <w:p w14:paraId="67994AF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7EDD7D7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1223C7C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Government contracting</w:t>
            </w:r>
          </w:p>
        </w:tc>
        <w:tc>
          <w:tcPr>
            <w:tcW w:w="2074" w:type="dxa"/>
            <w:tcMar>
              <w:top w:w="70" w:type="dxa"/>
              <w:left w:w="70" w:type="dxa"/>
              <w:bottom w:w="70" w:type="dxa"/>
              <w:right w:w="70" w:type="dxa"/>
            </w:tcMar>
          </w:tcPr>
          <w:p w14:paraId="01B3ECF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13</w:t>
            </w:r>
          </w:p>
        </w:tc>
        <w:tc>
          <w:tcPr>
            <w:tcW w:w="2074" w:type="dxa"/>
            <w:tcMar>
              <w:top w:w="70" w:type="dxa"/>
              <w:left w:w="70" w:type="dxa"/>
              <w:bottom w:w="70" w:type="dxa"/>
              <w:right w:w="70" w:type="dxa"/>
            </w:tcMar>
          </w:tcPr>
          <w:p w14:paraId="6E95B69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r>
      <w:tr w:rsidR="0006423C" w:rsidRPr="00FA1482" w14:paraId="5442EFEE" w14:textId="77777777" w:rsidTr="00DB0233">
        <w:tc>
          <w:tcPr>
            <w:tcW w:w="2074" w:type="dxa"/>
            <w:tcMar>
              <w:top w:w="70" w:type="dxa"/>
              <w:left w:w="70" w:type="dxa"/>
              <w:bottom w:w="70" w:type="dxa"/>
              <w:right w:w="70" w:type="dxa"/>
            </w:tcMar>
          </w:tcPr>
          <w:p w14:paraId="003F1AB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0FEFCD9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7DAE342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Financial discrimination</w:t>
            </w:r>
          </w:p>
        </w:tc>
        <w:tc>
          <w:tcPr>
            <w:tcW w:w="2074" w:type="dxa"/>
            <w:tcMar>
              <w:top w:w="70" w:type="dxa"/>
              <w:left w:w="70" w:type="dxa"/>
              <w:bottom w:w="70" w:type="dxa"/>
              <w:right w:w="70" w:type="dxa"/>
            </w:tcMar>
          </w:tcPr>
          <w:p w14:paraId="1F130BD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w:t>
            </w:r>
          </w:p>
        </w:tc>
        <w:tc>
          <w:tcPr>
            <w:tcW w:w="2074" w:type="dxa"/>
            <w:tcMar>
              <w:top w:w="70" w:type="dxa"/>
              <w:left w:w="70" w:type="dxa"/>
              <w:bottom w:w="70" w:type="dxa"/>
              <w:right w:w="70" w:type="dxa"/>
            </w:tcMar>
          </w:tcPr>
          <w:p w14:paraId="38BA0AF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w:t>
            </w:r>
          </w:p>
        </w:tc>
      </w:tr>
      <w:tr w:rsidR="0006423C" w:rsidRPr="00FA1482" w14:paraId="32884C6A" w14:textId="77777777" w:rsidTr="00DB0233">
        <w:tc>
          <w:tcPr>
            <w:tcW w:w="2074" w:type="dxa"/>
            <w:tcMar>
              <w:top w:w="70" w:type="dxa"/>
              <w:left w:w="70" w:type="dxa"/>
              <w:bottom w:w="70" w:type="dxa"/>
              <w:right w:w="70" w:type="dxa"/>
            </w:tcMar>
          </w:tcPr>
          <w:p w14:paraId="26FB6DA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16A9901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020A34C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Treasury / depository / public funds</w:t>
            </w:r>
          </w:p>
        </w:tc>
        <w:tc>
          <w:tcPr>
            <w:tcW w:w="2074" w:type="dxa"/>
            <w:tcMar>
              <w:top w:w="70" w:type="dxa"/>
              <w:left w:w="70" w:type="dxa"/>
              <w:bottom w:w="70" w:type="dxa"/>
              <w:right w:w="70" w:type="dxa"/>
            </w:tcMar>
          </w:tcPr>
          <w:p w14:paraId="5C96748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c>
          <w:tcPr>
            <w:tcW w:w="2074" w:type="dxa"/>
            <w:tcMar>
              <w:top w:w="70" w:type="dxa"/>
              <w:left w:w="70" w:type="dxa"/>
              <w:bottom w:w="70" w:type="dxa"/>
              <w:right w:w="70" w:type="dxa"/>
            </w:tcMar>
          </w:tcPr>
          <w:p w14:paraId="1301438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r>
      <w:tr w:rsidR="0006423C" w:rsidRPr="00FA1482" w14:paraId="292BFBF2" w14:textId="77777777" w:rsidTr="00DB0233">
        <w:tc>
          <w:tcPr>
            <w:tcW w:w="2074" w:type="dxa"/>
            <w:tcMar>
              <w:top w:w="70" w:type="dxa"/>
              <w:left w:w="70" w:type="dxa"/>
              <w:bottom w:w="70" w:type="dxa"/>
              <w:right w:w="70" w:type="dxa"/>
            </w:tcMar>
          </w:tcPr>
          <w:p w14:paraId="31E8451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36AF613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013251D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Proxy adviser</w:t>
            </w:r>
          </w:p>
        </w:tc>
        <w:tc>
          <w:tcPr>
            <w:tcW w:w="2074" w:type="dxa"/>
            <w:tcMar>
              <w:top w:w="70" w:type="dxa"/>
              <w:left w:w="70" w:type="dxa"/>
              <w:bottom w:w="70" w:type="dxa"/>
              <w:right w:w="70" w:type="dxa"/>
            </w:tcMar>
          </w:tcPr>
          <w:p w14:paraId="027AF93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c>
          <w:tcPr>
            <w:tcW w:w="2074" w:type="dxa"/>
            <w:tcMar>
              <w:top w:w="70" w:type="dxa"/>
              <w:left w:w="70" w:type="dxa"/>
              <w:bottom w:w="70" w:type="dxa"/>
              <w:right w:w="70" w:type="dxa"/>
            </w:tcMar>
          </w:tcPr>
          <w:p w14:paraId="42B8088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r>
      <w:tr w:rsidR="0006423C" w:rsidRPr="00FA1482" w14:paraId="370DDD90" w14:textId="77777777" w:rsidTr="00DB0233">
        <w:tc>
          <w:tcPr>
            <w:tcW w:w="2074" w:type="dxa"/>
            <w:tcMar>
              <w:top w:w="70" w:type="dxa"/>
              <w:left w:w="70" w:type="dxa"/>
              <w:bottom w:w="70" w:type="dxa"/>
              <w:right w:w="70" w:type="dxa"/>
            </w:tcMar>
          </w:tcPr>
          <w:p w14:paraId="176D366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53CDC05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175809F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Governance</w:t>
            </w:r>
          </w:p>
        </w:tc>
        <w:tc>
          <w:tcPr>
            <w:tcW w:w="2074" w:type="dxa"/>
            <w:tcMar>
              <w:top w:w="70" w:type="dxa"/>
              <w:left w:w="70" w:type="dxa"/>
              <w:bottom w:w="70" w:type="dxa"/>
              <w:right w:w="70" w:type="dxa"/>
            </w:tcMar>
          </w:tcPr>
          <w:p w14:paraId="278426F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c>
          <w:tcPr>
            <w:tcW w:w="2074" w:type="dxa"/>
            <w:tcMar>
              <w:top w:w="70" w:type="dxa"/>
              <w:left w:w="70" w:type="dxa"/>
              <w:bottom w:w="70" w:type="dxa"/>
              <w:right w:w="70" w:type="dxa"/>
            </w:tcMar>
          </w:tcPr>
          <w:p w14:paraId="13D6EB4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r>
      <w:tr w:rsidR="0006423C" w:rsidRPr="00FA1482" w14:paraId="547405B3" w14:textId="77777777" w:rsidTr="00DB0233">
        <w:tc>
          <w:tcPr>
            <w:tcW w:w="2074" w:type="dxa"/>
            <w:tcMar>
              <w:top w:w="70" w:type="dxa"/>
              <w:left w:w="70" w:type="dxa"/>
              <w:bottom w:w="70" w:type="dxa"/>
              <w:right w:w="70" w:type="dxa"/>
            </w:tcMar>
          </w:tcPr>
          <w:p w14:paraId="29F9A91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69D7BD2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1480620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Divestment</w:t>
            </w:r>
          </w:p>
        </w:tc>
        <w:tc>
          <w:tcPr>
            <w:tcW w:w="2074" w:type="dxa"/>
            <w:tcMar>
              <w:top w:w="70" w:type="dxa"/>
              <w:left w:w="70" w:type="dxa"/>
              <w:bottom w:w="70" w:type="dxa"/>
              <w:right w:w="70" w:type="dxa"/>
            </w:tcMar>
          </w:tcPr>
          <w:p w14:paraId="1C3E613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c>
          <w:tcPr>
            <w:tcW w:w="2074" w:type="dxa"/>
            <w:tcMar>
              <w:top w:w="70" w:type="dxa"/>
              <w:left w:w="70" w:type="dxa"/>
              <w:bottom w:w="70" w:type="dxa"/>
              <w:right w:w="70" w:type="dxa"/>
            </w:tcMar>
          </w:tcPr>
          <w:p w14:paraId="20255D2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r>
      <w:tr w:rsidR="0006423C" w:rsidRPr="00FA1482" w14:paraId="6C9005C6" w14:textId="77777777" w:rsidTr="00DB0233">
        <w:tc>
          <w:tcPr>
            <w:tcW w:w="2074" w:type="dxa"/>
            <w:tcMar>
              <w:top w:w="70" w:type="dxa"/>
              <w:left w:w="70" w:type="dxa"/>
              <w:bottom w:w="70" w:type="dxa"/>
              <w:right w:w="70" w:type="dxa"/>
            </w:tcMar>
          </w:tcPr>
          <w:p w14:paraId="020B7E0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0DEE3F1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07F619F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Direct private regulation</w:t>
            </w:r>
          </w:p>
        </w:tc>
        <w:tc>
          <w:tcPr>
            <w:tcW w:w="2074" w:type="dxa"/>
            <w:tcMar>
              <w:top w:w="70" w:type="dxa"/>
              <w:left w:w="70" w:type="dxa"/>
              <w:bottom w:w="70" w:type="dxa"/>
              <w:right w:w="70" w:type="dxa"/>
            </w:tcMar>
          </w:tcPr>
          <w:p w14:paraId="074ED85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c>
          <w:tcPr>
            <w:tcW w:w="2074" w:type="dxa"/>
            <w:tcMar>
              <w:top w:w="70" w:type="dxa"/>
              <w:left w:w="70" w:type="dxa"/>
              <w:bottom w:w="70" w:type="dxa"/>
              <w:right w:w="70" w:type="dxa"/>
            </w:tcMar>
          </w:tcPr>
          <w:p w14:paraId="76CE89F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r>
      <w:tr w:rsidR="0006423C" w:rsidRPr="00FA1482" w14:paraId="296FBF7C" w14:textId="77777777" w:rsidTr="00DB0233">
        <w:tc>
          <w:tcPr>
            <w:tcW w:w="2074" w:type="dxa"/>
            <w:tcMar>
              <w:top w:w="70" w:type="dxa"/>
              <w:left w:w="70" w:type="dxa"/>
              <w:bottom w:w="70" w:type="dxa"/>
              <w:right w:w="70" w:type="dxa"/>
            </w:tcMar>
          </w:tcPr>
          <w:p w14:paraId="6C3A618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16BD82B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2074" w:type="dxa"/>
            <w:tcMar>
              <w:top w:w="70" w:type="dxa"/>
              <w:left w:w="70" w:type="dxa"/>
              <w:bottom w:w="70" w:type="dxa"/>
              <w:right w:w="70" w:type="dxa"/>
            </w:tcMar>
          </w:tcPr>
          <w:p w14:paraId="7F4B8EB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Disclosure</w:t>
            </w:r>
          </w:p>
        </w:tc>
        <w:tc>
          <w:tcPr>
            <w:tcW w:w="2074" w:type="dxa"/>
            <w:tcMar>
              <w:top w:w="70" w:type="dxa"/>
              <w:left w:w="70" w:type="dxa"/>
              <w:bottom w:w="70" w:type="dxa"/>
              <w:right w:w="70" w:type="dxa"/>
            </w:tcMar>
          </w:tcPr>
          <w:p w14:paraId="10B03C6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c>
          <w:tcPr>
            <w:tcW w:w="2074" w:type="dxa"/>
            <w:tcMar>
              <w:top w:w="70" w:type="dxa"/>
              <w:left w:w="70" w:type="dxa"/>
              <w:bottom w:w="70" w:type="dxa"/>
              <w:right w:w="70" w:type="dxa"/>
            </w:tcMar>
          </w:tcPr>
          <w:p w14:paraId="540A47C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r>
      <w:tr w:rsidR="0006423C" w:rsidRPr="00FA1482" w14:paraId="2D988FFE" w14:textId="77777777" w:rsidTr="00DB0233">
        <w:tc>
          <w:tcPr>
            <w:tcW w:w="2074" w:type="dxa"/>
            <w:tcMar>
              <w:top w:w="70" w:type="dxa"/>
              <w:left w:w="70" w:type="dxa"/>
              <w:bottom w:w="70" w:type="dxa"/>
              <w:right w:w="70" w:type="dxa"/>
            </w:tcMar>
          </w:tcPr>
          <w:p w14:paraId="3F11C20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274C5E8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2074" w:type="dxa"/>
            <w:tcMar>
              <w:top w:w="70" w:type="dxa"/>
              <w:left w:w="70" w:type="dxa"/>
              <w:bottom w:w="70" w:type="dxa"/>
              <w:right w:w="70" w:type="dxa"/>
            </w:tcMar>
          </w:tcPr>
          <w:p w14:paraId="37D43E4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Pension fiduciary</w:t>
            </w:r>
          </w:p>
        </w:tc>
        <w:tc>
          <w:tcPr>
            <w:tcW w:w="2074" w:type="dxa"/>
            <w:tcMar>
              <w:top w:w="70" w:type="dxa"/>
              <w:left w:w="70" w:type="dxa"/>
              <w:bottom w:w="70" w:type="dxa"/>
              <w:right w:w="70" w:type="dxa"/>
            </w:tcMar>
          </w:tcPr>
          <w:p w14:paraId="6466420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c>
          <w:tcPr>
            <w:tcW w:w="2074" w:type="dxa"/>
            <w:tcMar>
              <w:top w:w="70" w:type="dxa"/>
              <w:left w:w="70" w:type="dxa"/>
              <w:bottom w:w="70" w:type="dxa"/>
              <w:right w:w="70" w:type="dxa"/>
            </w:tcMar>
          </w:tcPr>
          <w:p w14:paraId="4200A3C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r>
      <w:tr w:rsidR="0006423C" w:rsidRPr="00FA1482" w14:paraId="4CDD7AE6" w14:textId="77777777" w:rsidTr="00DB0233">
        <w:tc>
          <w:tcPr>
            <w:tcW w:w="2074" w:type="dxa"/>
            <w:tcMar>
              <w:top w:w="70" w:type="dxa"/>
              <w:left w:w="70" w:type="dxa"/>
              <w:bottom w:w="70" w:type="dxa"/>
              <w:right w:w="70" w:type="dxa"/>
            </w:tcMar>
          </w:tcPr>
          <w:p w14:paraId="50D8D6A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29B03E5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2074" w:type="dxa"/>
            <w:tcMar>
              <w:top w:w="70" w:type="dxa"/>
              <w:left w:w="70" w:type="dxa"/>
              <w:bottom w:w="70" w:type="dxa"/>
              <w:right w:w="70" w:type="dxa"/>
            </w:tcMar>
          </w:tcPr>
          <w:p w14:paraId="6953FF0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Divestment</w:t>
            </w:r>
          </w:p>
        </w:tc>
        <w:tc>
          <w:tcPr>
            <w:tcW w:w="2074" w:type="dxa"/>
            <w:tcMar>
              <w:top w:w="70" w:type="dxa"/>
              <w:left w:w="70" w:type="dxa"/>
              <w:bottom w:w="70" w:type="dxa"/>
              <w:right w:w="70" w:type="dxa"/>
            </w:tcMar>
          </w:tcPr>
          <w:p w14:paraId="566C43B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c>
          <w:tcPr>
            <w:tcW w:w="2074" w:type="dxa"/>
            <w:tcMar>
              <w:top w:w="70" w:type="dxa"/>
              <w:left w:w="70" w:type="dxa"/>
              <w:bottom w:w="70" w:type="dxa"/>
              <w:right w:w="70" w:type="dxa"/>
            </w:tcMar>
          </w:tcPr>
          <w:p w14:paraId="126F24A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r>
      <w:tr w:rsidR="0006423C" w:rsidRPr="00FA1482" w14:paraId="53254E42" w14:textId="77777777" w:rsidTr="00DB0233">
        <w:tc>
          <w:tcPr>
            <w:tcW w:w="2074" w:type="dxa"/>
            <w:tcMar>
              <w:top w:w="70" w:type="dxa"/>
              <w:left w:w="70" w:type="dxa"/>
              <w:bottom w:w="70" w:type="dxa"/>
              <w:right w:w="70" w:type="dxa"/>
            </w:tcMar>
          </w:tcPr>
          <w:p w14:paraId="67C0A2C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64322C6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2074" w:type="dxa"/>
            <w:tcMar>
              <w:top w:w="70" w:type="dxa"/>
              <w:left w:w="70" w:type="dxa"/>
              <w:bottom w:w="70" w:type="dxa"/>
              <w:right w:w="70" w:type="dxa"/>
            </w:tcMar>
          </w:tcPr>
          <w:p w14:paraId="73DE190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Governance</w:t>
            </w:r>
          </w:p>
        </w:tc>
        <w:tc>
          <w:tcPr>
            <w:tcW w:w="2074" w:type="dxa"/>
            <w:tcMar>
              <w:top w:w="70" w:type="dxa"/>
              <w:left w:w="70" w:type="dxa"/>
              <w:bottom w:w="70" w:type="dxa"/>
              <w:right w:w="70" w:type="dxa"/>
            </w:tcMar>
          </w:tcPr>
          <w:p w14:paraId="2A73D2F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c>
          <w:tcPr>
            <w:tcW w:w="2074" w:type="dxa"/>
            <w:tcMar>
              <w:top w:w="70" w:type="dxa"/>
              <w:left w:w="70" w:type="dxa"/>
              <w:bottom w:w="70" w:type="dxa"/>
              <w:right w:w="70" w:type="dxa"/>
            </w:tcMar>
          </w:tcPr>
          <w:p w14:paraId="38709C3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r>
    </w:tbl>
    <w:p w14:paraId="59380BDF" w14:textId="77777777" w:rsidR="0006423C" w:rsidRPr="00FA1482" w:rsidRDefault="0006423C" w:rsidP="0006423C">
      <w:pPr>
        <w:pStyle w:val="AppendixBodyNoIndent"/>
        <w:rPr>
          <w:rFonts w:cs="Times New Roman" w:hint="cs"/>
          <w:color w:val="000000" w:themeColor="text1"/>
        </w:rPr>
      </w:pPr>
    </w:p>
    <w:tbl>
      <w:tblPr>
        <w:tblStyle w:val="TableGrid"/>
        <w:tblW w:w="0" w:type="auto"/>
        <w:tblLook w:val="04A0" w:firstRow="1" w:lastRow="0" w:firstColumn="1" w:lastColumn="0" w:noHBand="0" w:noVBand="1"/>
      </w:tblPr>
      <w:tblGrid>
        <w:gridCol w:w="1868"/>
        <w:gridCol w:w="1837"/>
        <w:gridCol w:w="1958"/>
        <w:gridCol w:w="1860"/>
        <w:gridCol w:w="1827"/>
      </w:tblGrid>
      <w:tr w:rsidR="0006423C" w:rsidRPr="00FA1482" w14:paraId="53643748" w14:textId="77777777" w:rsidTr="00DB0233">
        <w:tc>
          <w:tcPr>
            <w:tcW w:w="2074" w:type="dxa"/>
            <w:shd w:val="clear" w:color="auto" w:fill="EDEDED"/>
            <w:tcMar>
              <w:top w:w="70" w:type="dxa"/>
              <w:left w:w="70" w:type="dxa"/>
              <w:bottom w:w="70" w:type="dxa"/>
              <w:right w:w="70" w:type="dxa"/>
            </w:tcMar>
          </w:tcPr>
          <w:p w14:paraId="562C584E"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enacted statutes</w:t>
            </w:r>
          </w:p>
        </w:tc>
        <w:tc>
          <w:tcPr>
            <w:tcW w:w="2074" w:type="dxa"/>
            <w:shd w:val="clear" w:color="auto" w:fill="EDEDED"/>
            <w:tcMar>
              <w:top w:w="70" w:type="dxa"/>
              <w:left w:w="70" w:type="dxa"/>
              <w:bottom w:w="70" w:type="dxa"/>
              <w:right w:w="70" w:type="dxa"/>
            </w:tcMar>
          </w:tcPr>
          <w:p w14:paraId="7E44908F"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Stance</w:t>
            </w:r>
          </w:p>
        </w:tc>
        <w:tc>
          <w:tcPr>
            <w:tcW w:w="2074" w:type="dxa"/>
            <w:shd w:val="clear" w:color="auto" w:fill="EDEDED"/>
            <w:tcMar>
              <w:top w:w="70" w:type="dxa"/>
              <w:left w:w="70" w:type="dxa"/>
              <w:bottom w:w="70" w:type="dxa"/>
              <w:right w:w="70" w:type="dxa"/>
            </w:tcMar>
          </w:tcPr>
          <w:p w14:paraId="276AB13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Primary reach</w:t>
            </w:r>
          </w:p>
        </w:tc>
        <w:tc>
          <w:tcPr>
            <w:tcW w:w="2074" w:type="dxa"/>
            <w:shd w:val="clear" w:color="auto" w:fill="EDEDED"/>
            <w:tcMar>
              <w:top w:w="70" w:type="dxa"/>
              <w:left w:w="70" w:type="dxa"/>
              <w:bottom w:w="70" w:type="dxa"/>
              <w:right w:w="70" w:type="dxa"/>
            </w:tcMar>
          </w:tcPr>
          <w:p w14:paraId="431C6637"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 statutes</w:t>
            </w:r>
          </w:p>
        </w:tc>
        <w:tc>
          <w:tcPr>
            <w:tcW w:w="2074" w:type="dxa"/>
            <w:shd w:val="clear" w:color="auto" w:fill="EDEDED"/>
            <w:tcMar>
              <w:top w:w="70" w:type="dxa"/>
              <w:left w:w="70" w:type="dxa"/>
              <w:bottom w:w="70" w:type="dxa"/>
              <w:right w:w="70" w:type="dxa"/>
            </w:tcMar>
          </w:tcPr>
          <w:p w14:paraId="338A1569"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States</w:t>
            </w:r>
          </w:p>
        </w:tc>
      </w:tr>
      <w:tr w:rsidR="0006423C" w:rsidRPr="00FA1482" w14:paraId="0A8B0759" w14:textId="77777777" w:rsidTr="00DB0233">
        <w:tc>
          <w:tcPr>
            <w:tcW w:w="2074" w:type="dxa"/>
            <w:tcMar>
              <w:top w:w="70" w:type="dxa"/>
              <w:left w:w="70" w:type="dxa"/>
              <w:bottom w:w="70" w:type="dxa"/>
              <w:right w:w="70" w:type="dxa"/>
            </w:tcMar>
          </w:tcPr>
          <w:p w14:paraId="46A9B2B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77396C4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70FC6F5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Pensions</w:t>
            </w:r>
          </w:p>
        </w:tc>
        <w:tc>
          <w:tcPr>
            <w:tcW w:w="2074" w:type="dxa"/>
            <w:tcMar>
              <w:top w:w="70" w:type="dxa"/>
              <w:left w:w="70" w:type="dxa"/>
              <w:bottom w:w="70" w:type="dxa"/>
              <w:right w:w="70" w:type="dxa"/>
            </w:tcMar>
          </w:tcPr>
          <w:p w14:paraId="1F47F3E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w:t>
            </w:r>
          </w:p>
        </w:tc>
        <w:tc>
          <w:tcPr>
            <w:tcW w:w="2074" w:type="dxa"/>
            <w:tcMar>
              <w:top w:w="70" w:type="dxa"/>
              <w:left w:w="70" w:type="dxa"/>
              <w:bottom w:w="70" w:type="dxa"/>
              <w:right w:w="70" w:type="dxa"/>
            </w:tcMar>
          </w:tcPr>
          <w:p w14:paraId="2664F80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14</w:t>
            </w:r>
          </w:p>
        </w:tc>
      </w:tr>
      <w:tr w:rsidR="0006423C" w:rsidRPr="00FA1482" w14:paraId="7B202C75" w14:textId="77777777" w:rsidTr="00DB0233">
        <w:tc>
          <w:tcPr>
            <w:tcW w:w="2074" w:type="dxa"/>
            <w:tcMar>
              <w:top w:w="70" w:type="dxa"/>
              <w:left w:w="70" w:type="dxa"/>
              <w:bottom w:w="70" w:type="dxa"/>
              <w:right w:w="70" w:type="dxa"/>
            </w:tcMar>
          </w:tcPr>
          <w:p w14:paraId="12A591A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74D1E04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3296D6F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Financial sector</w:t>
            </w:r>
          </w:p>
        </w:tc>
        <w:tc>
          <w:tcPr>
            <w:tcW w:w="2074" w:type="dxa"/>
            <w:tcMar>
              <w:top w:w="70" w:type="dxa"/>
              <w:left w:w="70" w:type="dxa"/>
              <w:bottom w:w="70" w:type="dxa"/>
              <w:right w:w="70" w:type="dxa"/>
            </w:tcMar>
          </w:tcPr>
          <w:p w14:paraId="5FC2B33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13</w:t>
            </w:r>
          </w:p>
        </w:tc>
        <w:tc>
          <w:tcPr>
            <w:tcW w:w="2074" w:type="dxa"/>
            <w:tcMar>
              <w:top w:w="70" w:type="dxa"/>
              <w:left w:w="70" w:type="dxa"/>
              <w:bottom w:w="70" w:type="dxa"/>
              <w:right w:w="70" w:type="dxa"/>
            </w:tcMar>
          </w:tcPr>
          <w:p w14:paraId="4B619F1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r>
      <w:tr w:rsidR="0006423C" w:rsidRPr="00FA1482" w14:paraId="701BB09C" w14:textId="77777777" w:rsidTr="00DB0233">
        <w:tc>
          <w:tcPr>
            <w:tcW w:w="2074" w:type="dxa"/>
            <w:tcMar>
              <w:top w:w="70" w:type="dxa"/>
              <w:left w:w="70" w:type="dxa"/>
              <w:bottom w:w="70" w:type="dxa"/>
              <w:right w:w="70" w:type="dxa"/>
            </w:tcMar>
          </w:tcPr>
          <w:p w14:paraId="1C568A2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3EFFBBF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73DB920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Treasury/public funds</w:t>
            </w:r>
          </w:p>
        </w:tc>
        <w:tc>
          <w:tcPr>
            <w:tcW w:w="2074" w:type="dxa"/>
            <w:tcMar>
              <w:top w:w="70" w:type="dxa"/>
              <w:left w:w="70" w:type="dxa"/>
              <w:bottom w:w="70" w:type="dxa"/>
              <w:right w:w="70" w:type="dxa"/>
            </w:tcMar>
          </w:tcPr>
          <w:p w14:paraId="497D19F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w:t>
            </w:r>
          </w:p>
        </w:tc>
        <w:tc>
          <w:tcPr>
            <w:tcW w:w="2074" w:type="dxa"/>
            <w:tcMar>
              <w:top w:w="70" w:type="dxa"/>
              <w:left w:w="70" w:type="dxa"/>
              <w:bottom w:w="70" w:type="dxa"/>
              <w:right w:w="70" w:type="dxa"/>
            </w:tcMar>
          </w:tcPr>
          <w:p w14:paraId="5F58E37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r>
      <w:tr w:rsidR="0006423C" w:rsidRPr="00FA1482" w14:paraId="4F8F652A" w14:textId="77777777" w:rsidTr="00DB0233">
        <w:tc>
          <w:tcPr>
            <w:tcW w:w="2074" w:type="dxa"/>
            <w:tcMar>
              <w:top w:w="70" w:type="dxa"/>
              <w:left w:w="70" w:type="dxa"/>
              <w:bottom w:w="70" w:type="dxa"/>
              <w:right w:w="70" w:type="dxa"/>
            </w:tcMar>
          </w:tcPr>
          <w:p w14:paraId="7153431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22418AE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477B30D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Public institutions</w:t>
            </w:r>
          </w:p>
        </w:tc>
        <w:tc>
          <w:tcPr>
            <w:tcW w:w="2074" w:type="dxa"/>
            <w:tcMar>
              <w:top w:w="70" w:type="dxa"/>
              <w:left w:w="70" w:type="dxa"/>
              <w:bottom w:w="70" w:type="dxa"/>
              <w:right w:w="70" w:type="dxa"/>
            </w:tcMar>
          </w:tcPr>
          <w:p w14:paraId="5C0C746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w:t>
            </w:r>
          </w:p>
        </w:tc>
        <w:tc>
          <w:tcPr>
            <w:tcW w:w="2074" w:type="dxa"/>
            <w:tcMar>
              <w:top w:w="70" w:type="dxa"/>
              <w:left w:w="70" w:type="dxa"/>
              <w:bottom w:w="70" w:type="dxa"/>
              <w:right w:w="70" w:type="dxa"/>
            </w:tcMar>
          </w:tcPr>
          <w:p w14:paraId="64DB63C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w:t>
            </w:r>
          </w:p>
        </w:tc>
      </w:tr>
      <w:tr w:rsidR="0006423C" w:rsidRPr="00FA1482" w14:paraId="504D4C39" w14:textId="77777777" w:rsidTr="00DB0233">
        <w:tc>
          <w:tcPr>
            <w:tcW w:w="2074" w:type="dxa"/>
            <w:tcMar>
              <w:top w:w="70" w:type="dxa"/>
              <w:left w:w="70" w:type="dxa"/>
              <w:bottom w:w="70" w:type="dxa"/>
              <w:right w:w="70" w:type="dxa"/>
            </w:tcMar>
          </w:tcPr>
          <w:p w14:paraId="4B28EBF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7BF1A8F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00ECE39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Contractors</w:t>
            </w:r>
          </w:p>
        </w:tc>
        <w:tc>
          <w:tcPr>
            <w:tcW w:w="2074" w:type="dxa"/>
            <w:tcMar>
              <w:top w:w="70" w:type="dxa"/>
              <w:left w:w="70" w:type="dxa"/>
              <w:bottom w:w="70" w:type="dxa"/>
              <w:right w:w="70" w:type="dxa"/>
            </w:tcMar>
          </w:tcPr>
          <w:p w14:paraId="1AE36D6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c>
          <w:tcPr>
            <w:tcW w:w="2074" w:type="dxa"/>
            <w:tcMar>
              <w:top w:w="70" w:type="dxa"/>
              <w:left w:w="70" w:type="dxa"/>
              <w:bottom w:w="70" w:type="dxa"/>
              <w:right w:w="70" w:type="dxa"/>
            </w:tcMar>
          </w:tcPr>
          <w:p w14:paraId="21E7AFB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r>
      <w:tr w:rsidR="0006423C" w:rsidRPr="00FA1482" w14:paraId="7F9E59CB" w14:textId="77777777" w:rsidTr="00DB0233">
        <w:tc>
          <w:tcPr>
            <w:tcW w:w="2074" w:type="dxa"/>
            <w:tcMar>
              <w:top w:w="70" w:type="dxa"/>
              <w:left w:w="70" w:type="dxa"/>
              <w:bottom w:w="70" w:type="dxa"/>
              <w:right w:w="70" w:type="dxa"/>
            </w:tcMar>
          </w:tcPr>
          <w:p w14:paraId="4071FA2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6F9607A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69AF691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Proxy advisers</w:t>
            </w:r>
          </w:p>
        </w:tc>
        <w:tc>
          <w:tcPr>
            <w:tcW w:w="2074" w:type="dxa"/>
            <w:tcMar>
              <w:top w:w="70" w:type="dxa"/>
              <w:left w:w="70" w:type="dxa"/>
              <w:bottom w:w="70" w:type="dxa"/>
              <w:right w:w="70" w:type="dxa"/>
            </w:tcMar>
          </w:tcPr>
          <w:p w14:paraId="095F09F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c>
          <w:tcPr>
            <w:tcW w:w="2074" w:type="dxa"/>
            <w:tcMar>
              <w:top w:w="70" w:type="dxa"/>
              <w:left w:w="70" w:type="dxa"/>
              <w:bottom w:w="70" w:type="dxa"/>
              <w:right w:w="70" w:type="dxa"/>
            </w:tcMar>
          </w:tcPr>
          <w:p w14:paraId="1E0D4F0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r>
      <w:tr w:rsidR="0006423C" w:rsidRPr="00FA1482" w14:paraId="107AE98F" w14:textId="77777777" w:rsidTr="00DB0233">
        <w:tc>
          <w:tcPr>
            <w:tcW w:w="2074" w:type="dxa"/>
            <w:tcMar>
              <w:top w:w="70" w:type="dxa"/>
              <w:left w:w="70" w:type="dxa"/>
              <w:bottom w:w="70" w:type="dxa"/>
              <w:right w:w="70" w:type="dxa"/>
            </w:tcMar>
          </w:tcPr>
          <w:p w14:paraId="78E7CA2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6F438C0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0D60534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Higher education</w:t>
            </w:r>
          </w:p>
        </w:tc>
        <w:tc>
          <w:tcPr>
            <w:tcW w:w="2074" w:type="dxa"/>
            <w:tcMar>
              <w:top w:w="70" w:type="dxa"/>
              <w:left w:w="70" w:type="dxa"/>
              <w:bottom w:w="70" w:type="dxa"/>
              <w:right w:w="70" w:type="dxa"/>
            </w:tcMar>
          </w:tcPr>
          <w:p w14:paraId="4368413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c>
          <w:tcPr>
            <w:tcW w:w="2074" w:type="dxa"/>
            <w:tcMar>
              <w:top w:w="70" w:type="dxa"/>
              <w:left w:w="70" w:type="dxa"/>
              <w:bottom w:w="70" w:type="dxa"/>
              <w:right w:w="70" w:type="dxa"/>
            </w:tcMar>
          </w:tcPr>
          <w:p w14:paraId="119B5E3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r>
      <w:tr w:rsidR="0006423C" w:rsidRPr="00FA1482" w14:paraId="05E2F3B8" w14:textId="77777777" w:rsidTr="00DB0233">
        <w:tc>
          <w:tcPr>
            <w:tcW w:w="2074" w:type="dxa"/>
            <w:tcMar>
              <w:top w:w="70" w:type="dxa"/>
              <w:left w:w="70" w:type="dxa"/>
              <w:bottom w:w="70" w:type="dxa"/>
              <w:right w:w="70" w:type="dxa"/>
            </w:tcMar>
          </w:tcPr>
          <w:p w14:paraId="565ECA8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0D8D2E2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2074" w:type="dxa"/>
            <w:tcMar>
              <w:top w:w="70" w:type="dxa"/>
              <w:left w:w="70" w:type="dxa"/>
              <w:bottom w:w="70" w:type="dxa"/>
              <w:right w:w="70" w:type="dxa"/>
            </w:tcMar>
          </w:tcPr>
          <w:p w14:paraId="7C30917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Corporate issuers</w:t>
            </w:r>
          </w:p>
        </w:tc>
        <w:tc>
          <w:tcPr>
            <w:tcW w:w="2074" w:type="dxa"/>
            <w:tcMar>
              <w:top w:w="70" w:type="dxa"/>
              <w:left w:w="70" w:type="dxa"/>
              <w:bottom w:w="70" w:type="dxa"/>
              <w:right w:w="70" w:type="dxa"/>
            </w:tcMar>
          </w:tcPr>
          <w:p w14:paraId="6E487EE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c>
          <w:tcPr>
            <w:tcW w:w="2074" w:type="dxa"/>
            <w:tcMar>
              <w:top w:w="70" w:type="dxa"/>
              <w:left w:w="70" w:type="dxa"/>
              <w:bottom w:w="70" w:type="dxa"/>
              <w:right w:w="70" w:type="dxa"/>
            </w:tcMar>
          </w:tcPr>
          <w:p w14:paraId="6E386E0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r>
      <w:tr w:rsidR="0006423C" w:rsidRPr="00FA1482" w14:paraId="6DB61A6D" w14:textId="77777777" w:rsidTr="00DB0233">
        <w:tc>
          <w:tcPr>
            <w:tcW w:w="2074" w:type="dxa"/>
            <w:tcMar>
              <w:top w:w="70" w:type="dxa"/>
              <w:left w:w="70" w:type="dxa"/>
              <w:bottom w:w="70" w:type="dxa"/>
              <w:right w:w="70" w:type="dxa"/>
            </w:tcMar>
          </w:tcPr>
          <w:p w14:paraId="6EAC8B3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6C65D81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2074" w:type="dxa"/>
            <w:tcMar>
              <w:top w:w="70" w:type="dxa"/>
              <w:left w:w="70" w:type="dxa"/>
              <w:bottom w:w="70" w:type="dxa"/>
              <w:right w:w="70" w:type="dxa"/>
            </w:tcMar>
          </w:tcPr>
          <w:p w14:paraId="1A1F775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Pensions</w:t>
            </w:r>
          </w:p>
        </w:tc>
        <w:tc>
          <w:tcPr>
            <w:tcW w:w="2074" w:type="dxa"/>
            <w:tcMar>
              <w:top w:w="70" w:type="dxa"/>
              <w:left w:w="70" w:type="dxa"/>
              <w:bottom w:w="70" w:type="dxa"/>
              <w:right w:w="70" w:type="dxa"/>
            </w:tcMar>
          </w:tcPr>
          <w:p w14:paraId="4431489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c>
          <w:tcPr>
            <w:tcW w:w="2074" w:type="dxa"/>
            <w:tcMar>
              <w:top w:w="70" w:type="dxa"/>
              <w:left w:w="70" w:type="dxa"/>
              <w:bottom w:w="70" w:type="dxa"/>
              <w:right w:w="70" w:type="dxa"/>
            </w:tcMar>
          </w:tcPr>
          <w:p w14:paraId="31BAFE2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r>
      <w:tr w:rsidR="0006423C" w:rsidRPr="00FA1482" w14:paraId="66848751" w14:textId="77777777" w:rsidTr="00DB0233">
        <w:tc>
          <w:tcPr>
            <w:tcW w:w="2074" w:type="dxa"/>
            <w:tcMar>
              <w:top w:w="70" w:type="dxa"/>
              <w:left w:w="70" w:type="dxa"/>
              <w:bottom w:w="70" w:type="dxa"/>
              <w:right w:w="70" w:type="dxa"/>
            </w:tcMar>
          </w:tcPr>
          <w:p w14:paraId="7E20C12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499E00A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2074" w:type="dxa"/>
            <w:tcMar>
              <w:top w:w="70" w:type="dxa"/>
              <w:left w:w="70" w:type="dxa"/>
              <w:bottom w:w="70" w:type="dxa"/>
              <w:right w:w="70" w:type="dxa"/>
            </w:tcMar>
          </w:tcPr>
          <w:p w14:paraId="4D8BF5A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Treasury/public funds</w:t>
            </w:r>
          </w:p>
        </w:tc>
        <w:tc>
          <w:tcPr>
            <w:tcW w:w="2074" w:type="dxa"/>
            <w:tcMar>
              <w:top w:w="70" w:type="dxa"/>
              <w:left w:w="70" w:type="dxa"/>
              <w:bottom w:w="70" w:type="dxa"/>
              <w:right w:w="70" w:type="dxa"/>
            </w:tcMar>
          </w:tcPr>
          <w:p w14:paraId="0D5B486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c>
          <w:tcPr>
            <w:tcW w:w="2074" w:type="dxa"/>
            <w:tcMar>
              <w:top w:w="70" w:type="dxa"/>
              <w:left w:w="70" w:type="dxa"/>
              <w:bottom w:w="70" w:type="dxa"/>
              <w:right w:w="70" w:type="dxa"/>
            </w:tcMar>
          </w:tcPr>
          <w:p w14:paraId="01F6721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r>
      <w:tr w:rsidR="0006423C" w:rsidRPr="00FA1482" w14:paraId="04CFA881" w14:textId="77777777" w:rsidTr="00DB0233">
        <w:tc>
          <w:tcPr>
            <w:tcW w:w="2074" w:type="dxa"/>
            <w:tcMar>
              <w:top w:w="70" w:type="dxa"/>
              <w:left w:w="70" w:type="dxa"/>
              <w:bottom w:w="70" w:type="dxa"/>
              <w:right w:w="70" w:type="dxa"/>
            </w:tcMar>
          </w:tcPr>
          <w:p w14:paraId="054824E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3BBC0FF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2074" w:type="dxa"/>
            <w:tcMar>
              <w:top w:w="70" w:type="dxa"/>
              <w:left w:w="70" w:type="dxa"/>
              <w:bottom w:w="70" w:type="dxa"/>
              <w:right w:w="70" w:type="dxa"/>
            </w:tcMar>
          </w:tcPr>
          <w:p w14:paraId="38BDB8C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Financial sector</w:t>
            </w:r>
          </w:p>
        </w:tc>
        <w:tc>
          <w:tcPr>
            <w:tcW w:w="2074" w:type="dxa"/>
            <w:tcMar>
              <w:top w:w="70" w:type="dxa"/>
              <w:left w:w="70" w:type="dxa"/>
              <w:bottom w:w="70" w:type="dxa"/>
              <w:right w:w="70" w:type="dxa"/>
            </w:tcMar>
          </w:tcPr>
          <w:p w14:paraId="61672ED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c>
          <w:tcPr>
            <w:tcW w:w="2074" w:type="dxa"/>
            <w:tcMar>
              <w:top w:w="70" w:type="dxa"/>
              <w:left w:w="70" w:type="dxa"/>
              <w:bottom w:w="70" w:type="dxa"/>
              <w:right w:w="70" w:type="dxa"/>
            </w:tcMar>
          </w:tcPr>
          <w:p w14:paraId="4E7BF76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r>
      <w:tr w:rsidR="0006423C" w:rsidRPr="00FA1482" w14:paraId="077770CE" w14:textId="77777777" w:rsidTr="00DB0233">
        <w:tc>
          <w:tcPr>
            <w:tcW w:w="2074" w:type="dxa"/>
            <w:tcMar>
              <w:top w:w="70" w:type="dxa"/>
              <w:left w:w="70" w:type="dxa"/>
              <w:bottom w:w="70" w:type="dxa"/>
              <w:right w:w="70" w:type="dxa"/>
            </w:tcMar>
          </w:tcPr>
          <w:p w14:paraId="2D800E2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074" w:type="dxa"/>
            <w:tcMar>
              <w:top w:w="70" w:type="dxa"/>
              <w:left w:w="70" w:type="dxa"/>
              <w:bottom w:w="70" w:type="dxa"/>
              <w:right w:w="70" w:type="dxa"/>
            </w:tcMar>
          </w:tcPr>
          <w:p w14:paraId="24AC4F0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2074" w:type="dxa"/>
            <w:tcMar>
              <w:top w:w="70" w:type="dxa"/>
              <w:left w:w="70" w:type="dxa"/>
              <w:bottom w:w="70" w:type="dxa"/>
              <w:right w:w="70" w:type="dxa"/>
            </w:tcMar>
          </w:tcPr>
          <w:p w14:paraId="01609D5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Higher education</w:t>
            </w:r>
          </w:p>
        </w:tc>
        <w:tc>
          <w:tcPr>
            <w:tcW w:w="2074" w:type="dxa"/>
            <w:tcMar>
              <w:top w:w="70" w:type="dxa"/>
              <w:left w:w="70" w:type="dxa"/>
              <w:bottom w:w="70" w:type="dxa"/>
              <w:right w:w="70" w:type="dxa"/>
            </w:tcMar>
          </w:tcPr>
          <w:p w14:paraId="72816F6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c>
          <w:tcPr>
            <w:tcW w:w="2074" w:type="dxa"/>
            <w:tcMar>
              <w:top w:w="70" w:type="dxa"/>
              <w:left w:w="70" w:type="dxa"/>
              <w:bottom w:w="70" w:type="dxa"/>
              <w:right w:w="70" w:type="dxa"/>
            </w:tcMar>
          </w:tcPr>
          <w:p w14:paraId="6A9C410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w:t>
            </w:r>
          </w:p>
        </w:tc>
      </w:tr>
    </w:tbl>
    <w:p w14:paraId="0C2F385A" w14:textId="77777777" w:rsidR="0006423C" w:rsidRPr="00FA1482" w:rsidRDefault="0006423C" w:rsidP="0006423C">
      <w:pPr>
        <w:pStyle w:val="AppendixBodyNoIndent"/>
        <w:rPr>
          <w:rFonts w:cs="Times New Roman" w:hint="cs"/>
          <w:color w:val="000000" w:themeColor="text1"/>
        </w:rPr>
      </w:pPr>
    </w:p>
    <w:p w14:paraId="0A9179F0" w14:textId="77777777" w:rsidR="0006423C" w:rsidRPr="00FA1482" w:rsidRDefault="0006423C" w:rsidP="0006423C">
      <w:pPr>
        <w:pStyle w:val="Heading2"/>
        <w:rPr>
          <w:rFonts w:hint="cs"/>
        </w:rPr>
      </w:pPr>
      <w:bookmarkStart w:id="97" w:name="_Toc229502304"/>
      <w:r w:rsidRPr="00FA1482">
        <w:rPr>
          <w:rFonts w:hint="cs"/>
        </w:rPr>
        <w:t>K. Temporal Waves</w:t>
      </w:r>
      <w:bookmarkEnd w:id="97"/>
    </w:p>
    <w:p w14:paraId="09FFAA3B" w14:textId="77777777" w:rsidR="0006423C" w:rsidRPr="00FA1482" w:rsidRDefault="0006423C" w:rsidP="0006423C">
      <w:pPr>
        <w:pStyle w:val="AppendixBodyNoIndent"/>
        <w:rPr>
          <w:rFonts w:cs="Times New Roman" w:hint="cs"/>
          <w:color w:val="000000" w:themeColor="text1"/>
        </w:rPr>
      </w:pPr>
      <w:r w:rsidRPr="00FA1482">
        <w:rPr>
          <w:rFonts w:cs="Times New Roman" w:hint="cs"/>
          <w:color w:val="000000" w:themeColor="text1"/>
        </w:rPr>
        <w:t xml:space="preserve">Temporal claims use annual attempts. The final wave is partial and </w:t>
      </w:r>
      <w:proofErr w:type="gramStart"/>
      <w:r w:rsidRPr="00FA1482">
        <w:rPr>
          <w:rFonts w:cs="Times New Roman" w:hint="cs"/>
          <w:color w:val="000000" w:themeColor="text1"/>
        </w:rPr>
        <w:t>right-censored</w:t>
      </w:r>
      <w:proofErr w:type="gramEnd"/>
      <w:r w:rsidRPr="00FA1482">
        <w:rPr>
          <w:rFonts w:cs="Times New Roman" w:hint="cs"/>
          <w:color w:val="000000" w:themeColor="text1"/>
        </w:rPr>
        <w:t>.</w:t>
      </w:r>
    </w:p>
    <w:tbl>
      <w:tblPr>
        <w:tblStyle w:val="TableGrid"/>
        <w:tblW w:w="0" w:type="auto"/>
        <w:tblLook w:val="04A0" w:firstRow="1" w:lastRow="0" w:firstColumn="1" w:lastColumn="0" w:noHBand="0" w:noVBand="1"/>
      </w:tblPr>
      <w:tblGrid>
        <w:gridCol w:w="1213"/>
        <w:gridCol w:w="725"/>
        <w:gridCol w:w="693"/>
        <w:gridCol w:w="1504"/>
        <w:gridCol w:w="1620"/>
        <w:gridCol w:w="1170"/>
        <w:gridCol w:w="2425"/>
      </w:tblGrid>
      <w:tr w:rsidR="0006423C" w:rsidRPr="00FA1482" w14:paraId="69CA2FD4" w14:textId="77777777" w:rsidTr="00DB0233">
        <w:tc>
          <w:tcPr>
            <w:tcW w:w="1213" w:type="dxa"/>
            <w:shd w:val="clear" w:color="auto" w:fill="EDEDED"/>
            <w:tcMar>
              <w:top w:w="70" w:type="dxa"/>
              <w:left w:w="70" w:type="dxa"/>
              <w:bottom w:w="70" w:type="dxa"/>
              <w:right w:w="70" w:type="dxa"/>
            </w:tcMar>
          </w:tcPr>
          <w:p w14:paraId="30325C32"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Wave</w:t>
            </w:r>
          </w:p>
        </w:tc>
        <w:tc>
          <w:tcPr>
            <w:tcW w:w="725" w:type="dxa"/>
            <w:shd w:val="clear" w:color="auto" w:fill="EDEDED"/>
            <w:tcMar>
              <w:top w:w="70" w:type="dxa"/>
              <w:left w:w="70" w:type="dxa"/>
              <w:bottom w:w="70" w:type="dxa"/>
              <w:right w:w="70" w:type="dxa"/>
            </w:tcMar>
          </w:tcPr>
          <w:p w14:paraId="1707BDF0"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Stance</w:t>
            </w:r>
          </w:p>
        </w:tc>
        <w:tc>
          <w:tcPr>
            <w:tcW w:w="693" w:type="dxa"/>
            <w:shd w:val="clear" w:color="auto" w:fill="EDEDED"/>
            <w:tcMar>
              <w:top w:w="70" w:type="dxa"/>
              <w:left w:w="70" w:type="dxa"/>
              <w:bottom w:w="70" w:type="dxa"/>
              <w:right w:w="70" w:type="dxa"/>
            </w:tcMar>
          </w:tcPr>
          <w:p w14:paraId="1F0E5683"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Broad ESG</w:t>
            </w:r>
          </w:p>
        </w:tc>
        <w:tc>
          <w:tcPr>
            <w:tcW w:w="1504" w:type="dxa"/>
            <w:shd w:val="clear" w:color="auto" w:fill="EDEDED"/>
            <w:tcMar>
              <w:top w:w="70" w:type="dxa"/>
              <w:left w:w="70" w:type="dxa"/>
              <w:bottom w:w="70" w:type="dxa"/>
              <w:right w:w="70" w:type="dxa"/>
            </w:tcMar>
          </w:tcPr>
          <w:p w14:paraId="0419AD85"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Corporate/</w:t>
            </w:r>
            <w:r>
              <w:rPr>
                <w:rFonts w:ascii="Times New Roman" w:eastAsia="Times New Roman" w:hAnsi="Times New Roman" w:cs="Times New Roman"/>
                <w:color w:val="000000" w:themeColor="text1"/>
              </w:rPr>
              <w:t xml:space="preserve"> </w:t>
            </w:r>
            <w:r w:rsidRPr="00FA1482">
              <w:rPr>
                <w:rFonts w:ascii="Times New Roman" w:eastAsia="Times New Roman" w:hAnsi="Times New Roman" w:cs="Times New Roman" w:hint="cs"/>
                <w:color w:val="000000" w:themeColor="text1"/>
              </w:rPr>
              <w:t>financial ESG</w:t>
            </w:r>
          </w:p>
        </w:tc>
        <w:tc>
          <w:tcPr>
            <w:tcW w:w="1620" w:type="dxa"/>
            <w:shd w:val="clear" w:color="auto" w:fill="EDEDED"/>
            <w:tcMar>
              <w:top w:w="70" w:type="dxa"/>
              <w:left w:w="70" w:type="dxa"/>
              <w:bottom w:w="70" w:type="dxa"/>
              <w:right w:w="70" w:type="dxa"/>
            </w:tcMar>
          </w:tcPr>
          <w:p w14:paraId="68227732"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Core corporate/</w:t>
            </w:r>
            <w:r>
              <w:rPr>
                <w:rFonts w:ascii="Times New Roman" w:eastAsia="Times New Roman" w:hAnsi="Times New Roman" w:cs="Times New Roman"/>
                <w:color w:val="000000" w:themeColor="text1"/>
              </w:rPr>
              <w:t xml:space="preserve"> </w:t>
            </w:r>
            <w:r w:rsidRPr="00FA1482">
              <w:rPr>
                <w:rFonts w:ascii="Times New Roman" w:eastAsia="Times New Roman" w:hAnsi="Times New Roman" w:cs="Times New Roman" w:hint="cs"/>
                <w:color w:val="000000" w:themeColor="text1"/>
              </w:rPr>
              <w:t>fiduciary ESG</w:t>
            </w:r>
          </w:p>
        </w:tc>
        <w:tc>
          <w:tcPr>
            <w:tcW w:w="1170" w:type="dxa"/>
            <w:shd w:val="clear" w:color="auto" w:fill="EDEDED"/>
            <w:tcMar>
              <w:top w:w="70" w:type="dxa"/>
              <w:left w:w="70" w:type="dxa"/>
              <w:bottom w:w="70" w:type="dxa"/>
              <w:right w:w="70" w:type="dxa"/>
            </w:tcMar>
          </w:tcPr>
          <w:p w14:paraId="0D4395A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Climate-facing ESG</w:t>
            </w:r>
          </w:p>
        </w:tc>
        <w:tc>
          <w:tcPr>
            <w:tcW w:w="2425" w:type="dxa"/>
            <w:shd w:val="clear" w:color="auto" w:fill="EDEDED"/>
            <w:tcMar>
              <w:top w:w="70" w:type="dxa"/>
              <w:left w:w="70" w:type="dxa"/>
              <w:bottom w:w="70" w:type="dxa"/>
              <w:right w:w="70" w:type="dxa"/>
            </w:tcMar>
          </w:tcPr>
          <w:p w14:paraId="74CFFA8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Main pattern</w:t>
            </w:r>
          </w:p>
        </w:tc>
      </w:tr>
      <w:tr w:rsidR="0006423C" w:rsidRPr="00FA1482" w14:paraId="4D81B476" w14:textId="77777777" w:rsidTr="00DB0233">
        <w:tc>
          <w:tcPr>
            <w:tcW w:w="1213" w:type="dxa"/>
            <w:tcMar>
              <w:top w:w="70" w:type="dxa"/>
              <w:left w:w="70" w:type="dxa"/>
              <w:bottom w:w="70" w:type="dxa"/>
              <w:right w:w="70" w:type="dxa"/>
            </w:tcMar>
          </w:tcPr>
          <w:p w14:paraId="0C99D9B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2018-2020 pre-wave</w:t>
            </w:r>
          </w:p>
        </w:tc>
        <w:tc>
          <w:tcPr>
            <w:tcW w:w="725" w:type="dxa"/>
            <w:tcMar>
              <w:top w:w="70" w:type="dxa"/>
              <w:left w:w="70" w:type="dxa"/>
              <w:bottom w:w="70" w:type="dxa"/>
              <w:right w:w="70" w:type="dxa"/>
            </w:tcMar>
          </w:tcPr>
          <w:p w14:paraId="05422B6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693" w:type="dxa"/>
            <w:tcMar>
              <w:top w:w="70" w:type="dxa"/>
              <w:left w:w="70" w:type="dxa"/>
              <w:bottom w:w="70" w:type="dxa"/>
              <w:right w:w="70" w:type="dxa"/>
            </w:tcMar>
          </w:tcPr>
          <w:p w14:paraId="5688EEA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60</w:t>
            </w:r>
          </w:p>
        </w:tc>
        <w:tc>
          <w:tcPr>
            <w:tcW w:w="1504" w:type="dxa"/>
            <w:tcMar>
              <w:top w:w="70" w:type="dxa"/>
              <w:left w:w="70" w:type="dxa"/>
              <w:bottom w:w="70" w:type="dxa"/>
              <w:right w:w="70" w:type="dxa"/>
            </w:tcMar>
          </w:tcPr>
          <w:p w14:paraId="5E3878B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60</w:t>
            </w:r>
          </w:p>
        </w:tc>
        <w:tc>
          <w:tcPr>
            <w:tcW w:w="1620" w:type="dxa"/>
            <w:tcMar>
              <w:top w:w="70" w:type="dxa"/>
              <w:left w:w="70" w:type="dxa"/>
              <w:bottom w:w="70" w:type="dxa"/>
              <w:right w:w="70" w:type="dxa"/>
            </w:tcMar>
          </w:tcPr>
          <w:p w14:paraId="377D2FC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52</w:t>
            </w:r>
          </w:p>
        </w:tc>
        <w:tc>
          <w:tcPr>
            <w:tcW w:w="1170" w:type="dxa"/>
            <w:tcMar>
              <w:top w:w="70" w:type="dxa"/>
              <w:left w:w="70" w:type="dxa"/>
              <w:bottom w:w="70" w:type="dxa"/>
              <w:right w:w="70" w:type="dxa"/>
            </w:tcMar>
          </w:tcPr>
          <w:p w14:paraId="589F7AF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16</w:t>
            </w:r>
          </w:p>
        </w:tc>
        <w:tc>
          <w:tcPr>
            <w:tcW w:w="2425" w:type="dxa"/>
            <w:tcMar>
              <w:top w:w="70" w:type="dxa"/>
              <w:left w:w="70" w:type="dxa"/>
              <w:bottom w:w="70" w:type="dxa"/>
              <w:right w:w="70" w:type="dxa"/>
            </w:tcMar>
          </w:tcPr>
          <w:p w14:paraId="793DA8C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Mostly disclosure, divestment, and government-investment measures.</w:t>
            </w:r>
          </w:p>
        </w:tc>
      </w:tr>
      <w:tr w:rsidR="0006423C" w:rsidRPr="00FA1482" w14:paraId="1335982F" w14:textId="77777777" w:rsidTr="00DB0233">
        <w:tc>
          <w:tcPr>
            <w:tcW w:w="1213" w:type="dxa"/>
            <w:tcMar>
              <w:top w:w="70" w:type="dxa"/>
              <w:left w:w="70" w:type="dxa"/>
              <w:bottom w:w="70" w:type="dxa"/>
              <w:right w:w="70" w:type="dxa"/>
            </w:tcMar>
          </w:tcPr>
          <w:p w14:paraId="03F4F39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2021-2022 first wave</w:t>
            </w:r>
          </w:p>
        </w:tc>
        <w:tc>
          <w:tcPr>
            <w:tcW w:w="725" w:type="dxa"/>
            <w:tcMar>
              <w:top w:w="70" w:type="dxa"/>
              <w:left w:w="70" w:type="dxa"/>
              <w:bottom w:w="70" w:type="dxa"/>
              <w:right w:w="70" w:type="dxa"/>
            </w:tcMar>
          </w:tcPr>
          <w:p w14:paraId="6732218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693" w:type="dxa"/>
            <w:tcMar>
              <w:top w:w="70" w:type="dxa"/>
              <w:left w:w="70" w:type="dxa"/>
              <w:bottom w:w="70" w:type="dxa"/>
              <w:right w:w="70" w:type="dxa"/>
            </w:tcMar>
          </w:tcPr>
          <w:p w14:paraId="093D15E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124</w:t>
            </w:r>
          </w:p>
        </w:tc>
        <w:tc>
          <w:tcPr>
            <w:tcW w:w="1504" w:type="dxa"/>
            <w:tcMar>
              <w:top w:w="70" w:type="dxa"/>
              <w:left w:w="70" w:type="dxa"/>
              <w:bottom w:w="70" w:type="dxa"/>
              <w:right w:w="70" w:type="dxa"/>
            </w:tcMar>
          </w:tcPr>
          <w:p w14:paraId="077F15C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88</w:t>
            </w:r>
          </w:p>
        </w:tc>
        <w:tc>
          <w:tcPr>
            <w:tcW w:w="1620" w:type="dxa"/>
            <w:tcMar>
              <w:top w:w="70" w:type="dxa"/>
              <w:left w:w="70" w:type="dxa"/>
              <w:bottom w:w="70" w:type="dxa"/>
              <w:right w:w="70" w:type="dxa"/>
            </w:tcMar>
          </w:tcPr>
          <w:p w14:paraId="3173C76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75</w:t>
            </w:r>
          </w:p>
        </w:tc>
        <w:tc>
          <w:tcPr>
            <w:tcW w:w="1170" w:type="dxa"/>
            <w:tcMar>
              <w:top w:w="70" w:type="dxa"/>
              <w:left w:w="70" w:type="dxa"/>
              <w:bottom w:w="70" w:type="dxa"/>
              <w:right w:w="70" w:type="dxa"/>
            </w:tcMar>
          </w:tcPr>
          <w:p w14:paraId="41B60FF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74</w:t>
            </w:r>
          </w:p>
        </w:tc>
        <w:tc>
          <w:tcPr>
            <w:tcW w:w="2425" w:type="dxa"/>
            <w:tcMar>
              <w:top w:w="70" w:type="dxa"/>
              <w:left w:w="70" w:type="dxa"/>
              <w:bottom w:w="70" w:type="dxa"/>
              <w:right w:w="70" w:type="dxa"/>
            </w:tcMar>
          </w:tcPr>
          <w:p w14:paraId="008F442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 agenda enters state-money, fiduciary, contracting, and financial-discrimination channels.</w:t>
            </w:r>
          </w:p>
        </w:tc>
      </w:tr>
      <w:tr w:rsidR="0006423C" w:rsidRPr="00FA1482" w14:paraId="7E1BE145" w14:textId="77777777" w:rsidTr="00DB0233">
        <w:tc>
          <w:tcPr>
            <w:tcW w:w="1213" w:type="dxa"/>
            <w:tcMar>
              <w:top w:w="70" w:type="dxa"/>
              <w:left w:w="70" w:type="dxa"/>
              <w:bottom w:w="70" w:type="dxa"/>
              <w:right w:w="70" w:type="dxa"/>
            </w:tcMar>
          </w:tcPr>
          <w:p w14:paraId="0A1BEFA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2021-2022 first wave</w:t>
            </w:r>
          </w:p>
        </w:tc>
        <w:tc>
          <w:tcPr>
            <w:tcW w:w="725" w:type="dxa"/>
            <w:tcMar>
              <w:top w:w="70" w:type="dxa"/>
              <w:left w:w="70" w:type="dxa"/>
              <w:bottom w:w="70" w:type="dxa"/>
              <w:right w:w="70" w:type="dxa"/>
            </w:tcMar>
          </w:tcPr>
          <w:p w14:paraId="6CC5E84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693" w:type="dxa"/>
            <w:tcMar>
              <w:top w:w="70" w:type="dxa"/>
              <w:left w:w="70" w:type="dxa"/>
              <w:bottom w:w="70" w:type="dxa"/>
              <w:right w:w="70" w:type="dxa"/>
            </w:tcMar>
          </w:tcPr>
          <w:p w14:paraId="7F6D68C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83</w:t>
            </w:r>
          </w:p>
        </w:tc>
        <w:tc>
          <w:tcPr>
            <w:tcW w:w="1504" w:type="dxa"/>
            <w:tcMar>
              <w:top w:w="70" w:type="dxa"/>
              <w:left w:w="70" w:type="dxa"/>
              <w:bottom w:w="70" w:type="dxa"/>
              <w:right w:w="70" w:type="dxa"/>
            </w:tcMar>
          </w:tcPr>
          <w:p w14:paraId="2359DFE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82</w:t>
            </w:r>
          </w:p>
        </w:tc>
        <w:tc>
          <w:tcPr>
            <w:tcW w:w="1620" w:type="dxa"/>
            <w:tcMar>
              <w:top w:w="70" w:type="dxa"/>
              <w:left w:w="70" w:type="dxa"/>
              <w:bottom w:w="70" w:type="dxa"/>
              <w:right w:w="70" w:type="dxa"/>
            </w:tcMar>
          </w:tcPr>
          <w:p w14:paraId="49EE942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68</w:t>
            </w:r>
          </w:p>
        </w:tc>
        <w:tc>
          <w:tcPr>
            <w:tcW w:w="1170" w:type="dxa"/>
            <w:tcMar>
              <w:top w:w="70" w:type="dxa"/>
              <w:left w:w="70" w:type="dxa"/>
              <w:bottom w:w="70" w:type="dxa"/>
              <w:right w:w="70" w:type="dxa"/>
            </w:tcMar>
          </w:tcPr>
          <w:p w14:paraId="60B5843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32</w:t>
            </w:r>
          </w:p>
        </w:tc>
        <w:tc>
          <w:tcPr>
            <w:tcW w:w="2425" w:type="dxa"/>
            <w:tcMar>
              <w:top w:w="70" w:type="dxa"/>
              <w:left w:w="70" w:type="dxa"/>
              <w:bottom w:w="70" w:type="dxa"/>
              <w:right w:w="70" w:type="dxa"/>
            </w:tcMar>
          </w:tcPr>
          <w:p w14:paraId="2E9DFDB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 activity continues but is less concentrated in the climate-facing corporate/fiduciary subset.</w:t>
            </w:r>
          </w:p>
        </w:tc>
      </w:tr>
      <w:tr w:rsidR="0006423C" w:rsidRPr="00FA1482" w14:paraId="12CBB133" w14:textId="77777777" w:rsidTr="00DB0233">
        <w:tc>
          <w:tcPr>
            <w:tcW w:w="1213" w:type="dxa"/>
            <w:tcMar>
              <w:top w:w="70" w:type="dxa"/>
              <w:left w:w="70" w:type="dxa"/>
              <w:bottom w:w="70" w:type="dxa"/>
              <w:right w:w="70" w:type="dxa"/>
            </w:tcMar>
          </w:tcPr>
          <w:p w14:paraId="0E9E1B5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2023-2024 expansion wave</w:t>
            </w:r>
          </w:p>
        </w:tc>
        <w:tc>
          <w:tcPr>
            <w:tcW w:w="725" w:type="dxa"/>
            <w:tcMar>
              <w:top w:w="70" w:type="dxa"/>
              <w:left w:w="70" w:type="dxa"/>
              <w:bottom w:w="70" w:type="dxa"/>
              <w:right w:w="70" w:type="dxa"/>
            </w:tcMar>
          </w:tcPr>
          <w:p w14:paraId="628AA0A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693" w:type="dxa"/>
            <w:tcMar>
              <w:top w:w="70" w:type="dxa"/>
              <w:left w:w="70" w:type="dxa"/>
              <w:bottom w:w="70" w:type="dxa"/>
              <w:right w:w="70" w:type="dxa"/>
            </w:tcMar>
          </w:tcPr>
          <w:p w14:paraId="7B4229A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384</w:t>
            </w:r>
          </w:p>
        </w:tc>
        <w:tc>
          <w:tcPr>
            <w:tcW w:w="1504" w:type="dxa"/>
            <w:tcMar>
              <w:top w:w="70" w:type="dxa"/>
              <w:left w:w="70" w:type="dxa"/>
              <w:bottom w:w="70" w:type="dxa"/>
              <w:right w:w="70" w:type="dxa"/>
            </w:tcMar>
          </w:tcPr>
          <w:p w14:paraId="344465E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367</w:t>
            </w:r>
          </w:p>
        </w:tc>
        <w:tc>
          <w:tcPr>
            <w:tcW w:w="1620" w:type="dxa"/>
            <w:tcMar>
              <w:top w:w="70" w:type="dxa"/>
              <w:left w:w="70" w:type="dxa"/>
              <w:bottom w:w="70" w:type="dxa"/>
              <w:right w:w="70" w:type="dxa"/>
            </w:tcMar>
          </w:tcPr>
          <w:p w14:paraId="3F0602F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327</w:t>
            </w:r>
          </w:p>
        </w:tc>
        <w:tc>
          <w:tcPr>
            <w:tcW w:w="1170" w:type="dxa"/>
            <w:tcMar>
              <w:top w:w="70" w:type="dxa"/>
              <w:left w:w="70" w:type="dxa"/>
              <w:bottom w:w="70" w:type="dxa"/>
              <w:right w:w="70" w:type="dxa"/>
            </w:tcMar>
          </w:tcPr>
          <w:p w14:paraId="64ADAD5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313</w:t>
            </w:r>
          </w:p>
        </w:tc>
        <w:tc>
          <w:tcPr>
            <w:tcW w:w="2425" w:type="dxa"/>
            <w:tcMar>
              <w:top w:w="70" w:type="dxa"/>
              <w:left w:w="70" w:type="dxa"/>
              <w:bottom w:w="70" w:type="dxa"/>
              <w:right w:w="70" w:type="dxa"/>
            </w:tcMar>
          </w:tcPr>
          <w:p w14:paraId="75DF4E4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Peak expansion of fiduciary, contracting, evidence-conversion, proxy-adviser, and financial-discrimination devices.</w:t>
            </w:r>
          </w:p>
        </w:tc>
      </w:tr>
      <w:tr w:rsidR="0006423C" w:rsidRPr="00FA1482" w14:paraId="7C86E57C" w14:textId="77777777" w:rsidTr="00DB0233">
        <w:tc>
          <w:tcPr>
            <w:tcW w:w="1213" w:type="dxa"/>
            <w:tcMar>
              <w:top w:w="70" w:type="dxa"/>
              <w:left w:w="70" w:type="dxa"/>
              <w:bottom w:w="70" w:type="dxa"/>
              <w:right w:w="70" w:type="dxa"/>
            </w:tcMar>
          </w:tcPr>
          <w:p w14:paraId="2B59A11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2023-2024 expansion wave</w:t>
            </w:r>
          </w:p>
        </w:tc>
        <w:tc>
          <w:tcPr>
            <w:tcW w:w="725" w:type="dxa"/>
            <w:tcMar>
              <w:top w:w="70" w:type="dxa"/>
              <w:left w:w="70" w:type="dxa"/>
              <w:bottom w:w="70" w:type="dxa"/>
              <w:right w:w="70" w:type="dxa"/>
            </w:tcMar>
          </w:tcPr>
          <w:p w14:paraId="28866FC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693" w:type="dxa"/>
            <w:tcMar>
              <w:top w:w="70" w:type="dxa"/>
              <w:left w:w="70" w:type="dxa"/>
              <w:bottom w:w="70" w:type="dxa"/>
              <w:right w:w="70" w:type="dxa"/>
            </w:tcMar>
          </w:tcPr>
          <w:p w14:paraId="487A555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128</w:t>
            </w:r>
          </w:p>
        </w:tc>
        <w:tc>
          <w:tcPr>
            <w:tcW w:w="1504" w:type="dxa"/>
            <w:tcMar>
              <w:top w:w="70" w:type="dxa"/>
              <w:left w:w="70" w:type="dxa"/>
              <w:bottom w:w="70" w:type="dxa"/>
              <w:right w:w="70" w:type="dxa"/>
            </w:tcMar>
          </w:tcPr>
          <w:p w14:paraId="1828F21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125</w:t>
            </w:r>
          </w:p>
        </w:tc>
        <w:tc>
          <w:tcPr>
            <w:tcW w:w="1620" w:type="dxa"/>
            <w:tcMar>
              <w:top w:w="70" w:type="dxa"/>
              <w:left w:w="70" w:type="dxa"/>
              <w:bottom w:w="70" w:type="dxa"/>
              <w:right w:w="70" w:type="dxa"/>
            </w:tcMar>
          </w:tcPr>
          <w:p w14:paraId="75DBAC5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106</w:t>
            </w:r>
          </w:p>
        </w:tc>
        <w:tc>
          <w:tcPr>
            <w:tcW w:w="1170" w:type="dxa"/>
            <w:tcMar>
              <w:top w:w="70" w:type="dxa"/>
              <w:left w:w="70" w:type="dxa"/>
              <w:bottom w:w="70" w:type="dxa"/>
              <w:right w:w="70" w:type="dxa"/>
            </w:tcMar>
          </w:tcPr>
          <w:p w14:paraId="076EDBC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78</w:t>
            </w:r>
          </w:p>
        </w:tc>
        <w:tc>
          <w:tcPr>
            <w:tcW w:w="2425" w:type="dxa"/>
            <w:tcMar>
              <w:top w:w="70" w:type="dxa"/>
              <w:left w:w="70" w:type="dxa"/>
              <w:bottom w:w="70" w:type="dxa"/>
              <w:right w:w="70" w:type="dxa"/>
            </w:tcMar>
          </w:tcPr>
          <w:p w14:paraId="42F2ED5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 activity rises but remains organized around disclosure, divestment, and authorizing/consideration rules.</w:t>
            </w:r>
          </w:p>
        </w:tc>
      </w:tr>
      <w:tr w:rsidR="0006423C" w:rsidRPr="00FA1482" w14:paraId="41044F75" w14:textId="77777777" w:rsidTr="00DB0233">
        <w:tc>
          <w:tcPr>
            <w:tcW w:w="1213" w:type="dxa"/>
            <w:tcMar>
              <w:top w:w="70" w:type="dxa"/>
              <w:left w:w="70" w:type="dxa"/>
              <w:bottom w:w="70" w:type="dxa"/>
              <w:right w:w="70" w:type="dxa"/>
            </w:tcMar>
          </w:tcPr>
          <w:p w14:paraId="5E1EB49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2025-2026 current/</w:t>
            </w:r>
            <w:proofErr w:type="gramStart"/>
            <w:r w:rsidRPr="00FA1482">
              <w:rPr>
                <w:rFonts w:ascii="Times New Roman" w:eastAsia="Times New Roman" w:hAnsi="Times New Roman" w:cs="Times New Roman" w:hint="cs"/>
                <w:color w:val="000000" w:themeColor="text1"/>
              </w:rPr>
              <w:t>right-censored</w:t>
            </w:r>
            <w:proofErr w:type="gramEnd"/>
          </w:p>
        </w:tc>
        <w:tc>
          <w:tcPr>
            <w:tcW w:w="725" w:type="dxa"/>
            <w:tcMar>
              <w:top w:w="70" w:type="dxa"/>
              <w:left w:w="70" w:type="dxa"/>
              <w:bottom w:w="70" w:type="dxa"/>
              <w:right w:w="70" w:type="dxa"/>
            </w:tcMar>
          </w:tcPr>
          <w:p w14:paraId="5B01F58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Anti</w:t>
            </w:r>
          </w:p>
        </w:tc>
        <w:tc>
          <w:tcPr>
            <w:tcW w:w="693" w:type="dxa"/>
            <w:tcMar>
              <w:top w:w="70" w:type="dxa"/>
              <w:left w:w="70" w:type="dxa"/>
              <w:bottom w:w="70" w:type="dxa"/>
              <w:right w:w="70" w:type="dxa"/>
            </w:tcMar>
          </w:tcPr>
          <w:p w14:paraId="7534B6C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231</w:t>
            </w:r>
          </w:p>
        </w:tc>
        <w:tc>
          <w:tcPr>
            <w:tcW w:w="1504" w:type="dxa"/>
            <w:tcMar>
              <w:top w:w="70" w:type="dxa"/>
              <w:left w:w="70" w:type="dxa"/>
              <w:bottom w:w="70" w:type="dxa"/>
              <w:right w:w="70" w:type="dxa"/>
            </w:tcMar>
          </w:tcPr>
          <w:p w14:paraId="025594E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203</w:t>
            </w:r>
          </w:p>
        </w:tc>
        <w:tc>
          <w:tcPr>
            <w:tcW w:w="1620" w:type="dxa"/>
            <w:tcMar>
              <w:top w:w="70" w:type="dxa"/>
              <w:left w:w="70" w:type="dxa"/>
              <w:bottom w:w="70" w:type="dxa"/>
              <w:right w:w="70" w:type="dxa"/>
            </w:tcMar>
          </w:tcPr>
          <w:p w14:paraId="283DAE2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181</w:t>
            </w:r>
          </w:p>
        </w:tc>
        <w:tc>
          <w:tcPr>
            <w:tcW w:w="1170" w:type="dxa"/>
            <w:tcMar>
              <w:top w:w="70" w:type="dxa"/>
              <w:left w:w="70" w:type="dxa"/>
              <w:bottom w:w="70" w:type="dxa"/>
              <w:right w:w="70" w:type="dxa"/>
            </w:tcMar>
          </w:tcPr>
          <w:p w14:paraId="614E879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162</w:t>
            </w:r>
          </w:p>
        </w:tc>
        <w:tc>
          <w:tcPr>
            <w:tcW w:w="2425" w:type="dxa"/>
            <w:tcMar>
              <w:top w:w="70" w:type="dxa"/>
              <w:left w:w="70" w:type="dxa"/>
              <w:bottom w:w="70" w:type="dxa"/>
              <w:right w:w="70" w:type="dxa"/>
            </w:tcMar>
          </w:tcPr>
          <w:p w14:paraId="1CB403D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Adds proxy-adviser, banking/insurance, procurement, and procedural-burden channels.</w:t>
            </w:r>
          </w:p>
        </w:tc>
      </w:tr>
      <w:tr w:rsidR="0006423C" w:rsidRPr="00FA1482" w14:paraId="48DC18B4" w14:textId="77777777" w:rsidTr="00DB0233">
        <w:tc>
          <w:tcPr>
            <w:tcW w:w="1213" w:type="dxa"/>
            <w:tcMar>
              <w:top w:w="70" w:type="dxa"/>
              <w:left w:w="70" w:type="dxa"/>
              <w:bottom w:w="70" w:type="dxa"/>
              <w:right w:w="70" w:type="dxa"/>
            </w:tcMar>
          </w:tcPr>
          <w:p w14:paraId="5D691B1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2025-2026 current/</w:t>
            </w:r>
            <w:proofErr w:type="gramStart"/>
            <w:r w:rsidRPr="00FA1482">
              <w:rPr>
                <w:rFonts w:ascii="Times New Roman" w:eastAsia="Times New Roman" w:hAnsi="Times New Roman" w:cs="Times New Roman" w:hint="cs"/>
                <w:color w:val="000000" w:themeColor="text1"/>
              </w:rPr>
              <w:t>right-censored</w:t>
            </w:r>
            <w:proofErr w:type="gramEnd"/>
          </w:p>
        </w:tc>
        <w:tc>
          <w:tcPr>
            <w:tcW w:w="725" w:type="dxa"/>
            <w:tcMar>
              <w:top w:w="70" w:type="dxa"/>
              <w:left w:w="70" w:type="dxa"/>
              <w:bottom w:w="70" w:type="dxa"/>
              <w:right w:w="70" w:type="dxa"/>
            </w:tcMar>
          </w:tcPr>
          <w:p w14:paraId="2441F8A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w:t>
            </w:r>
          </w:p>
        </w:tc>
        <w:tc>
          <w:tcPr>
            <w:tcW w:w="693" w:type="dxa"/>
            <w:tcMar>
              <w:top w:w="70" w:type="dxa"/>
              <w:left w:w="70" w:type="dxa"/>
              <w:bottom w:w="70" w:type="dxa"/>
              <w:right w:w="70" w:type="dxa"/>
            </w:tcMar>
          </w:tcPr>
          <w:p w14:paraId="11EE208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110</w:t>
            </w:r>
          </w:p>
        </w:tc>
        <w:tc>
          <w:tcPr>
            <w:tcW w:w="1504" w:type="dxa"/>
            <w:tcMar>
              <w:top w:w="70" w:type="dxa"/>
              <w:left w:w="70" w:type="dxa"/>
              <w:bottom w:w="70" w:type="dxa"/>
              <w:right w:w="70" w:type="dxa"/>
            </w:tcMar>
          </w:tcPr>
          <w:p w14:paraId="776385E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108</w:t>
            </w:r>
          </w:p>
        </w:tc>
        <w:tc>
          <w:tcPr>
            <w:tcW w:w="1620" w:type="dxa"/>
            <w:tcMar>
              <w:top w:w="70" w:type="dxa"/>
              <w:left w:w="70" w:type="dxa"/>
              <w:bottom w:w="70" w:type="dxa"/>
              <w:right w:w="70" w:type="dxa"/>
            </w:tcMar>
          </w:tcPr>
          <w:p w14:paraId="4015EAF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100</w:t>
            </w:r>
          </w:p>
        </w:tc>
        <w:tc>
          <w:tcPr>
            <w:tcW w:w="1170" w:type="dxa"/>
            <w:tcMar>
              <w:top w:w="70" w:type="dxa"/>
              <w:left w:w="70" w:type="dxa"/>
              <w:bottom w:w="70" w:type="dxa"/>
              <w:right w:w="70" w:type="dxa"/>
            </w:tcMar>
          </w:tcPr>
          <w:p w14:paraId="23E3774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64</w:t>
            </w:r>
          </w:p>
        </w:tc>
        <w:tc>
          <w:tcPr>
            <w:tcW w:w="2425" w:type="dxa"/>
            <w:tcMar>
              <w:top w:w="70" w:type="dxa"/>
              <w:left w:w="70" w:type="dxa"/>
              <w:bottom w:w="70" w:type="dxa"/>
              <w:right w:w="70" w:type="dxa"/>
            </w:tcMar>
          </w:tcPr>
          <w:p w14:paraId="686369B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Current Pro pipeline remains open.</w:t>
            </w:r>
          </w:p>
        </w:tc>
      </w:tr>
    </w:tbl>
    <w:p w14:paraId="3EAC8F34" w14:textId="77777777" w:rsidR="0006423C" w:rsidRPr="00FA1482" w:rsidRDefault="0006423C" w:rsidP="0006423C">
      <w:pPr>
        <w:pStyle w:val="AppendixBodyNoIndent"/>
        <w:rPr>
          <w:rFonts w:cs="Times New Roman" w:hint="cs"/>
          <w:color w:val="000000" w:themeColor="text1"/>
        </w:rPr>
      </w:pPr>
    </w:p>
    <w:p w14:paraId="7CFE813F" w14:textId="77777777" w:rsidR="0006423C" w:rsidRPr="00FA1482" w:rsidRDefault="0006423C" w:rsidP="0006423C">
      <w:pPr>
        <w:pStyle w:val="Heading2"/>
        <w:rPr>
          <w:rFonts w:hint="cs"/>
        </w:rPr>
      </w:pPr>
      <w:bookmarkStart w:id="98" w:name="_Toc229502305"/>
      <w:r w:rsidRPr="00FA1482">
        <w:rPr>
          <w:rFonts w:hint="cs"/>
        </w:rPr>
        <w:t>L. Substance-Axis Foreclosure and PNC Tiers</w:t>
      </w:r>
      <w:bookmarkEnd w:id="98"/>
    </w:p>
    <w:p w14:paraId="4AB15967"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foreclosure tier is a legal-tool classification for enacted Anti-side rows that constrain the inputs, evidence, procedures, or actor channels through which ESG-coded financial judgment may operate. It is narrower than the broad Anti-ESG universe.</w:t>
      </w:r>
    </w:p>
    <w:tbl>
      <w:tblPr>
        <w:tblStyle w:val="TableGrid"/>
        <w:tblW w:w="0" w:type="auto"/>
        <w:tblLook w:val="04A0" w:firstRow="1" w:lastRow="0" w:firstColumn="1" w:lastColumn="0" w:noHBand="0" w:noVBand="1"/>
      </w:tblPr>
      <w:tblGrid>
        <w:gridCol w:w="1915"/>
        <w:gridCol w:w="1230"/>
        <w:gridCol w:w="2070"/>
        <w:gridCol w:w="900"/>
        <w:gridCol w:w="3235"/>
      </w:tblGrid>
      <w:tr w:rsidR="0006423C" w:rsidRPr="00FA1482" w14:paraId="05C6AFD2" w14:textId="77777777" w:rsidTr="00DB0233">
        <w:tc>
          <w:tcPr>
            <w:tcW w:w="1915" w:type="dxa"/>
            <w:shd w:val="clear" w:color="auto" w:fill="EDEDED"/>
            <w:tcMar>
              <w:top w:w="70" w:type="dxa"/>
              <w:left w:w="70" w:type="dxa"/>
              <w:bottom w:w="70" w:type="dxa"/>
              <w:right w:w="70" w:type="dxa"/>
            </w:tcMar>
          </w:tcPr>
          <w:p w14:paraId="10BFA68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Concept</w:t>
            </w:r>
          </w:p>
        </w:tc>
        <w:tc>
          <w:tcPr>
            <w:tcW w:w="1230" w:type="dxa"/>
            <w:shd w:val="clear" w:color="auto" w:fill="EDEDED"/>
            <w:tcMar>
              <w:top w:w="70" w:type="dxa"/>
              <w:left w:w="70" w:type="dxa"/>
              <w:bottom w:w="70" w:type="dxa"/>
              <w:right w:w="70" w:type="dxa"/>
            </w:tcMar>
          </w:tcPr>
          <w:p w14:paraId="23634D6D"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Bill records</w:t>
            </w:r>
          </w:p>
        </w:tc>
        <w:tc>
          <w:tcPr>
            <w:tcW w:w="2070" w:type="dxa"/>
            <w:shd w:val="clear" w:color="auto" w:fill="EDEDED"/>
            <w:tcMar>
              <w:top w:w="70" w:type="dxa"/>
              <w:left w:w="70" w:type="dxa"/>
              <w:bottom w:w="70" w:type="dxa"/>
              <w:right w:w="70" w:type="dxa"/>
            </w:tcMar>
          </w:tcPr>
          <w:p w14:paraId="339E08A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Companion-collapsed enacted statutes</w:t>
            </w:r>
          </w:p>
        </w:tc>
        <w:tc>
          <w:tcPr>
            <w:tcW w:w="900" w:type="dxa"/>
            <w:shd w:val="clear" w:color="auto" w:fill="EDEDED"/>
            <w:tcMar>
              <w:top w:w="70" w:type="dxa"/>
              <w:left w:w="70" w:type="dxa"/>
              <w:bottom w:w="70" w:type="dxa"/>
              <w:right w:w="70" w:type="dxa"/>
            </w:tcMar>
          </w:tcPr>
          <w:p w14:paraId="50BF593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States</w:t>
            </w:r>
          </w:p>
        </w:tc>
        <w:tc>
          <w:tcPr>
            <w:tcW w:w="3235" w:type="dxa"/>
            <w:shd w:val="clear" w:color="auto" w:fill="EDEDED"/>
            <w:tcMar>
              <w:top w:w="70" w:type="dxa"/>
              <w:left w:w="70" w:type="dxa"/>
              <w:bottom w:w="70" w:type="dxa"/>
              <w:right w:w="70" w:type="dxa"/>
            </w:tcMar>
          </w:tcPr>
          <w:p w14:paraId="57CD9B2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Meaning</w:t>
            </w:r>
          </w:p>
        </w:tc>
      </w:tr>
      <w:tr w:rsidR="0006423C" w:rsidRPr="00FA1482" w14:paraId="671FE9CA" w14:textId="77777777" w:rsidTr="00DB0233">
        <w:tc>
          <w:tcPr>
            <w:tcW w:w="1915" w:type="dxa"/>
            <w:tcMar>
              <w:top w:w="70" w:type="dxa"/>
              <w:left w:w="70" w:type="dxa"/>
              <w:bottom w:w="70" w:type="dxa"/>
              <w:right w:w="70" w:type="dxa"/>
            </w:tcMar>
          </w:tcPr>
          <w:p w14:paraId="3253ADA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Foreclosure review set</w:t>
            </w:r>
          </w:p>
        </w:tc>
        <w:tc>
          <w:tcPr>
            <w:tcW w:w="1230" w:type="dxa"/>
            <w:tcMar>
              <w:top w:w="70" w:type="dxa"/>
              <w:left w:w="70" w:type="dxa"/>
              <w:bottom w:w="70" w:type="dxa"/>
              <w:right w:w="70" w:type="dxa"/>
            </w:tcMar>
          </w:tcPr>
          <w:p w14:paraId="4F3AD45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54</w:t>
            </w:r>
          </w:p>
        </w:tc>
        <w:tc>
          <w:tcPr>
            <w:tcW w:w="2070" w:type="dxa"/>
            <w:tcMar>
              <w:top w:w="70" w:type="dxa"/>
              <w:left w:w="70" w:type="dxa"/>
              <w:bottom w:w="70" w:type="dxa"/>
              <w:right w:w="70" w:type="dxa"/>
            </w:tcMar>
          </w:tcPr>
          <w:p w14:paraId="1EF1B9B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51</w:t>
            </w:r>
          </w:p>
        </w:tc>
        <w:tc>
          <w:tcPr>
            <w:tcW w:w="900" w:type="dxa"/>
            <w:tcMar>
              <w:top w:w="70" w:type="dxa"/>
              <w:left w:w="70" w:type="dxa"/>
              <w:bottom w:w="70" w:type="dxa"/>
              <w:right w:w="70" w:type="dxa"/>
            </w:tcMar>
          </w:tcPr>
          <w:p w14:paraId="3A6DA73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c>
          <w:tcPr>
            <w:tcW w:w="3235" w:type="dxa"/>
            <w:tcMar>
              <w:top w:w="70" w:type="dxa"/>
              <w:left w:w="70" w:type="dxa"/>
              <w:bottom w:w="70" w:type="dxa"/>
              <w:right w:w="70" w:type="dxa"/>
            </w:tcMar>
          </w:tcPr>
          <w:p w14:paraId="1BB4189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Enacted Anti-side set used for the hard statutory-architecture review.</w:t>
            </w:r>
          </w:p>
        </w:tc>
      </w:tr>
      <w:tr w:rsidR="0006423C" w:rsidRPr="00FA1482" w14:paraId="47C4456B" w14:textId="77777777" w:rsidTr="00DB0233">
        <w:tc>
          <w:tcPr>
            <w:tcW w:w="1915" w:type="dxa"/>
            <w:tcMar>
              <w:top w:w="70" w:type="dxa"/>
              <w:left w:w="70" w:type="dxa"/>
              <w:bottom w:w="70" w:type="dxa"/>
              <w:right w:w="70" w:type="dxa"/>
            </w:tcMar>
          </w:tcPr>
          <w:p w14:paraId="4E58C62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Prescribed Non-Consideration (PNC) tier</w:t>
            </w:r>
          </w:p>
        </w:tc>
        <w:tc>
          <w:tcPr>
            <w:tcW w:w="1230" w:type="dxa"/>
            <w:tcMar>
              <w:top w:w="70" w:type="dxa"/>
              <w:left w:w="70" w:type="dxa"/>
              <w:bottom w:w="70" w:type="dxa"/>
              <w:right w:w="70" w:type="dxa"/>
            </w:tcMar>
          </w:tcPr>
          <w:p w14:paraId="3EB74D0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39</w:t>
            </w:r>
          </w:p>
        </w:tc>
        <w:tc>
          <w:tcPr>
            <w:tcW w:w="2070" w:type="dxa"/>
            <w:tcMar>
              <w:top w:w="70" w:type="dxa"/>
              <w:left w:w="70" w:type="dxa"/>
              <w:bottom w:w="70" w:type="dxa"/>
              <w:right w:w="70" w:type="dxa"/>
            </w:tcMar>
          </w:tcPr>
          <w:p w14:paraId="191273C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37</w:t>
            </w:r>
          </w:p>
        </w:tc>
        <w:tc>
          <w:tcPr>
            <w:tcW w:w="900" w:type="dxa"/>
            <w:tcMar>
              <w:top w:w="70" w:type="dxa"/>
              <w:left w:w="70" w:type="dxa"/>
              <w:bottom w:w="70" w:type="dxa"/>
              <w:right w:w="70" w:type="dxa"/>
            </w:tcMar>
          </w:tcPr>
          <w:p w14:paraId="73F0BDF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18</w:t>
            </w:r>
          </w:p>
        </w:tc>
        <w:tc>
          <w:tcPr>
            <w:tcW w:w="3235" w:type="dxa"/>
            <w:tcMar>
              <w:top w:w="70" w:type="dxa"/>
              <w:left w:w="70" w:type="dxa"/>
              <w:bottom w:w="70" w:type="dxa"/>
              <w:right w:w="70" w:type="dxa"/>
            </w:tcMar>
          </w:tcPr>
          <w:p w14:paraId="75B54FD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Hardest subset: provisions that narrow fiduciary-decision factors by definition or treat relevant factors as conclusively nonpecuniary.</w:t>
            </w:r>
          </w:p>
        </w:tc>
      </w:tr>
      <w:tr w:rsidR="0006423C" w:rsidRPr="00FA1482" w14:paraId="228009CB" w14:textId="77777777" w:rsidTr="00DB0233">
        <w:tc>
          <w:tcPr>
            <w:tcW w:w="1915" w:type="dxa"/>
            <w:tcMar>
              <w:top w:w="70" w:type="dxa"/>
              <w:left w:w="70" w:type="dxa"/>
              <w:bottom w:w="70" w:type="dxa"/>
              <w:right w:w="70" w:type="dxa"/>
            </w:tcMar>
          </w:tcPr>
          <w:p w14:paraId="4FA7E5C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Foreclosure outside PNC</w:t>
            </w:r>
          </w:p>
        </w:tc>
        <w:tc>
          <w:tcPr>
            <w:tcW w:w="1230" w:type="dxa"/>
            <w:tcMar>
              <w:top w:w="70" w:type="dxa"/>
              <w:left w:w="70" w:type="dxa"/>
              <w:bottom w:w="70" w:type="dxa"/>
              <w:right w:w="70" w:type="dxa"/>
            </w:tcMar>
          </w:tcPr>
          <w:p w14:paraId="7726B6D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15</w:t>
            </w:r>
          </w:p>
        </w:tc>
        <w:tc>
          <w:tcPr>
            <w:tcW w:w="2070" w:type="dxa"/>
            <w:tcMar>
              <w:top w:w="70" w:type="dxa"/>
              <w:left w:w="70" w:type="dxa"/>
              <w:bottom w:w="70" w:type="dxa"/>
              <w:right w:w="70" w:type="dxa"/>
            </w:tcMar>
          </w:tcPr>
          <w:p w14:paraId="2341551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14</w:t>
            </w:r>
          </w:p>
        </w:tc>
        <w:tc>
          <w:tcPr>
            <w:tcW w:w="900" w:type="dxa"/>
            <w:tcMar>
              <w:top w:w="70" w:type="dxa"/>
              <w:left w:w="70" w:type="dxa"/>
              <w:bottom w:w="70" w:type="dxa"/>
              <w:right w:w="70" w:type="dxa"/>
            </w:tcMar>
          </w:tcPr>
          <w:p w14:paraId="1C6AE88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w:t>
            </w:r>
          </w:p>
        </w:tc>
        <w:tc>
          <w:tcPr>
            <w:tcW w:w="3235" w:type="dxa"/>
            <w:tcMar>
              <w:top w:w="70" w:type="dxa"/>
              <w:left w:w="70" w:type="dxa"/>
              <w:bottom w:w="70" w:type="dxa"/>
              <w:right w:w="70" w:type="dxa"/>
            </w:tcMar>
          </w:tcPr>
          <w:p w14:paraId="4C66E58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Foreclosure mechanisms not classified as PNC.</w:t>
            </w:r>
          </w:p>
        </w:tc>
      </w:tr>
      <w:tr w:rsidR="0006423C" w:rsidRPr="00FA1482" w14:paraId="12897F72" w14:textId="77777777" w:rsidTr="00DB0233">
        <w:tc>
          <w:tcPr>
            <w:tcW w:w="1915" w:type="dxa"/>
            <w:tcMar>
              <w:top w:w="70" w:type="dxa"/>
              <w:left w:w="70" w:type="dxa"/>
              <w:bottom w:w="70" w:type="dxa"/>
              <w:right w:w="70" w:type="dxa"/>
            </w:tcMar>
          </w:tcPr>
          <w:p w14:paraId="2504687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PNC outside foreclosure</w:t>
            </w:r>
          </w:p>
        </w:tc>
        <w:tc>
          <w:tcPr>
            <w:tcW w:w="1230" w:type="dxa"/>
            <w:tcMar>
              <w:top w:w="70" w:type="dxa"/>
              <w:left w:w="70" w:type="dxa"/>
              <w:bottom w:w="70" w:type="dxa"/>
              <w:right w:w="70" w:type="dxa"/>
            </w:tcMar>
          </w:tcPr>
          <w:p w14:paraId="3529890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2070" w:type="dxa"/>
            <w:tcMar>
              <w:top w:w="70" w:type="dxa"/>
              <w:left w:w="70" w:type="dxa"/>
              <w:bottom w:w="70" w:type="dxa"/>
              <w:right w:w="70" w:type="dxa"/>
            </w:tcMar>
          </w:tcPr>
          <w:p w14:paraId="1579E66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900" w:type="dxa"/>
            <w:tcMar>
              <w:top w:w="70" w:type="dxa"/>
              <w:left w:w="70" w:type="dxa"/>
              <w:bottom w:w="70" w:type="dxa"/>
              <w:right w:w="70" w:type="dxa"/>
            </w:tcMar>
          </w:tcPr>
          <w:p w14:paraId="0088944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0</w:t>
            </w:r>
          </w:p>
        </w:tc>
        <w:tc>
          <w:tcPr>
            <w:tcW w:w="3235" w:type="dxa"/>
            <w:tcMar>
              <w:top w:w="70" w:type="dxa"/>
              <w:left w:w="70" w:type="dxa"/>
              <w:bottom w:w="70" w:type="dxa"/>
              <w:right w:w="70" w:type="dxa"/>
            </w:tcMar>
          </w:tcPr>
          <w:p w14:paraId="12AD044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No residual PNC rows outside the foreclosure review set after cleanup.</w:t>
            </w:r>
          </w:p>
        </w:tc>
      </w:tr>
    </w:tbl>
    <w:p w14:paraId="3FEAF61E" w14:textId="77777777" w:rsidR="0006423C" w:rsidRPr="00FA1482" w:rsidRDefault="0006423C" w:rsidP="0006423C">
      <w:pPr>
        <w:pStyle w:val="AppendixBodyNoIndent"/>
        <w:rPr>
          <w:rFonts w:cs="Times New Roman" w:hint="cs"/>
          <w:color w:val="000000" w:themeColor="text1"/>
        </w:rPr>
      </w:pPr>
    </w:p>
    <w:tbl>
      <w:tblPr>
        <w:tblStyle w:val="TableGrid"/>
        <w:tblW w:w="0" w:type="auto"/>
        <w:tblLook w:val="04A0" w:firstRow="1" w:lastRow="0" w:firstColumn="1" w:lastColumn="0" w:noHBand="0" w:noVBand="1"/>
      </w:tblPr>
      <w:tblGrid>
        <w:gridCol w:w="947"/>
        <w:gridCol w:w="2396"/>
        <w:gridCol w:w="2312"/>
        <w:gridCol w:w="1125"/>
        <w:gridCol w:w="1040"/>
        <w:gridCol w:w="1530"/>
      </w:tblGrid>
      <w:tr w:rsidR="0006423C" w:rsidRPr="00FA1482" w14:paraId="770FB890" w14:textId="77777777" w:rsidTr="00DB0233">
        <w:tc>
          <w:tcPr>
            <w:tcW w:w="1163" w:type="dxa"/>
            <w:shd w:val="clear" w:color="auto" w:fill="EDEDED"/>
            <w:tcMar>
              <w:top w:w="70" w:type="dxa"/>
              <w:left w:w="70" w:type="dxa"/>
              <w:bottom w:w="70" w:type="dxa"/>
              <w:right w:w="70" w:type="dxa"/>
            </w:tcMar>
          </w:tcPr>
          <w:p w14:paraId="33F0B9D9"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Tier</w:t>
            </w:r>
          </w:p>
        </w:tc>
        <w:tc>
          <w:tcPr>
            <w:tcW w:w="1442" w:type="dxa"/>
            <w:shd w:val="clear" w:color="auto" w:fill="EDEDED"/>
            <w:tcMar>
              <w:top w:w="70" w:type="dxa"/>
              <w:left w:w="70" w:type="dxa"/>
              <w:bottom w:w="70" w:type="dxa"/>
              <w:right w:w="70" w:type="dxa"/>
            </w:tcMar>
          </w:tcPr>
          <w:p w14:paraId="35168D01"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Label</w:t>
            </w:r>
          </w:p>
        </w:tc>
        <w:tc>
          <w:tcPr>
            <w:tcW w:w="2641" w:type="dxa"/>
            <w:shd w:val="clear" w:color="auto" w:fill="EDEDED"/>
            <w:tcMar>
              <w:top w:w="70" w:type="dxa"/>
              <w:left w:w="70" w:type="dxa"/>
              <w:bottom w:w="70" w:type="dxa"/>
              <w:right w:w="70" w:type="dxa"/>
            </w:tcMar>
          </w:tcPr>
          <w:p w14:paraId="3D2C2AAB"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What the tier captures</w:t>
            </w:r>
          </w:p>
        </w:tc>
        <w:tc>
          <w:tcPr>
            <w:tcW w:w="1291" w:type="dxa"/>
            <w:shd w:val="clear" w:color="auto" w:fill="EDEDED"/>
            <w:tcMar>
              <w:top w:w="70" w:type="dxa"/>
              <w:left w:w="70" w:type="dxa"/>
              <w:bottom w:w="70" w:type="dxa"/>
              <w:right w:w="70" w:type="dxa"/>
            </w:tcMar>
          </w:tcPr>
          <w:p w14:paraId="626DAAA6"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Bill records</w:t>
            </w:r>
          </w:p>
        </w:tc>
        <w:tc>
          <w:tcPr>
            <w:tcW w:w="1229" w:type="dxa"/>
            <w:shd w:val="clear" w:color="auto" w:fill="EDEDED"/>
            <w:tcMar>
              <w:top w:w="70" w:type="dxa"/>
              <w:left w:w="70" w:type="dxa"/>
              <w:bottom w:w="70" w:type="dxa"/>
              <w:right w:w="70" w:type="dxa"/>
            </w:tcMar>
          </w:tcPr>
          <w:p w14:paraId="24389BEA"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States</w:t>
            </w:r>
          </w:p>
        </w:tc>
        <w:tc>
          <w:tcPr>
            <w:tcW w:w="1584" w:type="dxa"/>
            <w:shd w:val="clear" w:color="auto" w:fill="EDEDED"/>
            <w:tcMar>
              <w:top w:w="70" w:type="dxa"/>
              <w:left w:w="70" w:type="dxa"/>
              <w:bottom w:w="70" w:type="dxa"/>
              <w:right w:w="70" w:type="dxa"/>
            </w:tcMar>
          </w:tcPr>
          <w:p w14:paraId="2AC23248"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Representative statutes</w:t>
            </w:r>
          </w:p>
        </w:tc>
      </w:tr>
      <w:tr w:rsidR="0006423C" w:rsidRPr="00FA1482" w14:paraId="79CA9450" w14:textId="77777777" w:rsidTr="00DB0233">
        <w:tc>
          <w:tcPr>
            <w:tcW w:w="1163" w:type="dxa"/>
            <w:tcMar>
              <w:top w:w="70" w:type="dxa"/>
              <w:left w:w="70" w:type="dxa"/>
              <w:bottom w:w="70" w:type="dxa"/>
              <w:right w:w="70" w:type="dxa"/>
            </w:tcMar>
          </w:tcPr>
          <w:p w14:paraId="3128664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T1</w:t>
            </w:r>
          </w:p>
        </w:tc>
        <w:tc>
          <w:tcPr>
            <w:tcW w:w="1442" w:type="dxa"/>
            <w:tcMar>
              <w:top w:w="70" w:type="dxa"/>
              <w:left w:w="70" w:type="dxa"/>
              <w:bottom w:w="70" w:type="dxa"/>
              <w:right w:w="70" w:type="dxa"/>
            </w:tcMar>
          </w:tcPr>
          <w:p w14:paraId="75E9405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Formal prohibition</w:t>
            </w:r>
          </w:p>
        </w:tc>
        <w:tc>
          <w:tcPr>
            <w:tcW w:w="2641" w:type="dxa"/>
            <w:tcMar>
              <w:top w:w="70" w:type="dxa"/>
              <w:left w:w="70" w:type="dxa"/>
              <w:bottom w:w="70" w:type="dxa"/>
              <w:right w:w="70" w:type="dxa"/>
            </w:tcMar>
          </w:tcPr>
          <w:p w14:paraId="1056DF9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Statutory text makes a category of consideration legally ineligible or excludes it from material/pecuniary analysis upstream of motive review.</w:t>
            </w:r>
          </w:p>
        </w:tc>
        <w:tc>
          <w:tcPr>
            <w:tcW w:w="1291" w:type="dxa"/>
            <w:tcMar>
              <w:top w:w="70" w:type="dxa"/>
              <w:left w:w="70" w:type="dxa"/>
              <w:bottom w:w="70" w:type="dxa"/>
              <w:right w:w="70" w:type="dxa"/>
            </w:tcMar>
          </w:tcPr>
          <w:p w14:paraId="6FCC795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5</w:t>
            </w:r>
          </w:p>
        </w:tc>
        <w:tc>
          <w:tcPr>
            <w:tcW w:w="1229" w:type="dxa"/>
            <w:tcMar>
              <w:top w:w="70" w:type="dxa"/>
              <w:left w:w="70" w:type="dxa"/>
              <w:bottom w:w="70" w:type="dxa"/>
              <w:right w:w="70" w:type="dxa"/>
            </w:tcMar>
          </w:tcPr>
          <w:p w14:paraId="12582ED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c>
          <w:tcPr>
            <w:tcW w:w="1584" w:type="dxa"/>
            <w:tcMar>
              <w:top w:w="70" w:type="dxa"/>
              <w:left w:w="70" w:type="dxa"/>
              <w:bottom w:w="70" w:type="dxa"/>
              <w:right w:w="70" w:type="dxa"/>
            </w:tcMar>
          </w:tcPr>
          <w:p w14:paraId="5C09A9F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AR HB 1253; MT HB 228; KS HB 2100; WY SF 191; AR HB 1307</w:t>
            </w:r>
          </w:p>
        </w:tc>
      </w:tr>
      <w:tr w:rsidR="0006423C" w:rsidRPr="00FA1482" w14:paraId="1FE7BEC4" w14:textId="77777777" w:rsidTr="00DB0233">
        <w:tc>
          <w:tcPr>
            <w:tcW w:w="1163" w:type="dxa"/>
            <w:tcMar>
              <w:top w:w="70" w:type="dxa"/>
              <w:left w:w="70" w:type="dxa"/>
              <w:bottom w:w="70" w:type="dxa"/>
              <w:right w:w="70" w:type="dxa"/>
            </w:tcMar>
          </w:tcPr>
          <w:p w14:paraId="6BA8BF9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T2</w:t>
            </w:r>
          </w:p>
        </w:tc>
        <w:tc>
          <w:tcPr>
            <w:tcW w:w="1442" w:type="dxa"/>
            <w:tcMar>
              <w:top w:w="70" w:type="dxa"/>
              <w:left w:w="70" w:type="dxa"/>
              <w:bottom w:w="70" w:type="dxa"/>
              <w:right w:w="70" w:type="dxa"/>
            </w:tcMar>
          </w:tcPr>
          <w:p w14:paraId="43CBE24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Association-evidence suspect</w:t>
            </w:r>
          </w:p>
        </w:tc>
        <w:tc>
          <w:tcPr>
            <w:tcW w:w="2641" w:type="dxa"/>
            <w:tcMar>
              <w:top w:w="70" w:type="dxa"/>
              <w:left w:w="70" w:type="dxa"/>
              <w:bottom w:w="70" w:type="dxa"/>
              <w:right w:w="70" w:type="dxa"/>
            </w:tcMar>
          </w:tcPr>
          <w:p w14:paraId="7FB5459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Coalition membership, proxy votes, engagement, or stewardship artifacts become statutory evidence of forbidden purpose or prohibited commitment.</w:t>
            </w:r>
          </w:p>
        </w:tc>
        <w:tc>
          <w:tcPr>
            <w:tcW w:w="1291" w:type="dxa"/>
            <w:tcMar>
              <w:top w:w="70" w:type="dxa"/>
              <w:left w:w="70" w:type="dxa"/>
              <w:bottom w:w="70" w:type="dxa"/>
              <w:right w:w="70" w:type="dxa"/>
            </w:tcMar>
          </w:tcPr>
          <w:p w14:paraId="683C873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3</w:t>
            </w:r>
          </w:p>
        </w:tc>
        <w:tc>
          <w:tcPr>
            <w:tcW w:w="1229" w:type="dxa"/>
            <w:tcMar>
              <w:top w:w="70" w:type="dxa"/>
              <w:left w:w="70" w:type="dxa"/>
              <w:bottom w:w="70" w:type="dxa"/>
              <w:right w:w="70" w:type="dxa"/>
            </w:tcMar>
          </w:tcPr>
          <w:p w14:paraId="751CAB3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w:t>
            </w:r>
          </w:p>
        </w:tc>
        <w:tc>
          <w:tcPr>
            <w:tcW w:w="1584" w:type="dxa"/>
            <w:tcMar>
              <w:top w:w="70" w:type="dxa"/>
              <w:left w:w="70" w:type="dxa"/>
              <w:bottom w:w="70" w:type="dxa"/>
              <w:right w:w="70" w:type="dxa"/>
            </w:tcMar>
          </w:tcPr>
          <w:p w14:paraId="67E0389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KY HB 236; IN HB 1008; KY SB 183</w:t>
            </w:r>
          </w:p>
        </w:tc>
      </w:tr>
      <w:tr w:rsidR="0006423C" w:rsidRPr="00FA1482" w14:paraId="5EAFB676" w14:textId="77777777" w:rsidTr="00DB0233">
        <w:tc>
          <w:tcPr>
            <w:tcW w:w="1163" w:type="dxa"/>
            <w:tcMar>
              <w:top w:w="70" w:type="dxa"/>
              <w:left w:w="70" w:type="dxa"/>
              <w:bottom w:w="70" w:type="dxa"/>
              <w:right w:w="70" w:type="dxa"/>
            </w:tcMar>
          </w:tcPr>
          <w:p w14:paraId="188E2AB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T3</w:t>
            </w:r>
          </w:p>
        </w:tc>
        <w:tc>
          <w:tcPr>
            <w:tcW w:w="1442" w:type="dxa"/>
            <w:tcMar>
              <w:top w:w="70" w:type="dxa"/>
              <w:left w:w="70" w:type="dxa"/>
              <w:bottom w:w="70" w:type="dxa"/>
              <w:right w:w="70" w:type="dxa"/>
            </w:tcMar>
          </w:tcPr>
          <w:p w14:paraId="210A5DB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Structural suspect</w:t>
            </w:r>
          </w:p>
        </w:tc>
        <w:tc>
          <w:tcPr>
            <w:tcW w:w="2641" w:type="dxa"/>
            <w:tcMar>
              <w:top w:w="70" w:type="dxa"/>
              <w:left w:w="70" w:type="dxa"/>
              <w:bottom w:w="70" w:type="dxa"/>
              <w:right w:w="70" w:type="dxa"/>
            </w:tcMar>
          </w:tcPr>
          <w:p w14:paraId="25BA132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Designation, list, rebuttable-presumption, or relationship-loss structures create suspect status around ESG-coded judgment.</w:t>
            </w:r>
          </w:p>
        </w:tc>
        <w:tc>
          <w:tcPr>
            <w:tcW w:w="1291" w:type="dxa"/>
            <w:tcMar>
              <w:top w:w="70" w:type="dxa"/>
              <w:left w:w="70" w:type="dxa"/>
              <w:bottom w:w="70" w:type="dxa"/>
              <w:right w:w="70" w:type="dxa"/>
            </w:tcMar>
          </w:tcPr>
          <w:p w14:paraId="6E7D27D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10</w:t>
            </w:r>
          </w:p>
        </w:tc>
        <w:tc>
          <w:tcPr>
            <w:tcW w:w="1229" w:type="dxa"/>
            <w:tcMar>
              <w:top w:w="70" w:type="dxa"/>
              <w:left w:w="70" w:type="dxa"/>
              <w:bottom w:w="70" w:type="dxa"/>
              <w:right w:w="70" w:type="dxa"/>
            </w:tcMar>
          </w:tcPr>
          <w:p w14:paraId="526F36A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8</w:t>
            </w:r>
          </w:p>
        </w:tc>
        <w:tc>
          <w:tcPr>
            <w:tcW w:w="1584" w:type="dxa"/>
            <w:tcMar>
              <w:top w:w="70" w:type="dxa"/>
              <w:left w:w="70" w:type="dxa"/>
              <w:bottom w:w="70" w:type="dxa"/>
              <w:right w:w="70" w:type="dxa"/>
            </w:tcMar>
          </w:tcPr>
          <w:p w14:paraId="0F91928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TX SB 13; OK HB 2034; WV SB 262; KY SB 205; AR Act 411</w:t>
            </w:r>
          </w:p>
        </w:tc>
      </w:tr>
      <w:tr w:rsidR="0006423C" w:rsidRPr="00FA1482" w14:paraId="74B4F361" w14:textId="77777777" w:rsidTr="00DB0233">
        <w:tc>
          <w:tcPr>
            <w:tcW w:w="1163" w:type="dxa"/>
            <w:tcMar>
              <w:top w:w="70" w:type="dxa"/>
              <w:left w:w="70" w:type="dxa"/>
              <w:bottom w:w="70" w:type="dxa"/>
              <w:right w:w="70" w:type="dxa"/>
            </w:tcMar>
          </w:tcPr>
          <w:p w14:paraId="15F7B02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T4</w:t>
            </w:r>
          </w:p>
        </w:tc>
        <w:tc>
          <w:tcPr>
            <w:tcW w:w="1442" w:type="dxa"/>
            <w:tcMar>
              <w:top w:w="70" w:type="dxa"/>
              <w:left w:w="70" w:type="dxa"/>
              <w:bottom w:w="70" w:type="dxa"/>
              <w:right w:w="70" w:type="dxa"/>
            </w:tcMar>
          </w:tcPr>
          <w:p w14:paraId="5A2D6F2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High-enforcement process cost</w:t>
            </w:r>
          </w:p>
        </w:tc>
        <w:tc>
          <w:tcPr>
            <w:tcW w:w="2641" w:type="dxa"/>
            <w:tcMar>
              <w:top w:w="70" w:type="dxa"/>
              <w:left w:w="70" w:type="dxa"/>
              <w:bottom w:w="70" w:type="dxa"/>
              <w:right w:w="70" w:type="dxa"/>
            </w:tcMar>
          </w:tcPr>
          <w:p w14:paraId="1C0D303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Procedural burden backed by heightened enforcement, damages, penalties, license risk, perjury-style attestation, or comparable exposure.</w:t>
            </w:r>
          </w:p>
        </w:tc>
        <w:tc>
          <w:tcPr>
            <w:tcW w:w="1291" w:type="dxa"/>
            <w:tcMar>
              <w:top w:w="70" w:type="dxa"/>
              <w:left w:w="70" w:type="dxa"/>
              <w:bottom w:w="70" w:type="dxa"/>
              <w:right w:w="70" w:type="dxa"/>
            </w:tcMar>
          </w:tcPr>
          <w:p w14:paraId="40FF5EA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6</w:t>
            </w:r>
          </w:p>
        </w:tc>
        <w:tc>
          <w:tcPr>
            <w:tcW w:w="1229" w:type="dxa"/>
            <w:tcMar>
              <w:top w:w="70" w:type="dxa"/>
              <w:left w:w="70" w:type="dxa"/>
              <w:bottom w:w="70" w:type="dxa"/>
              <w:right w:w="70" w:type="dxa"/>
            </w:tcMar>
          </w:tcPr>
          <w:p w14:paraId="1FE03BF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4</w:t>
            </w:r>
          </w:p>
        </w:tc>
        <w:tc>
          <w:tcPr>
            <w:tcW w:w="1584" w:type="dxa"/>
            <w:tcMar>
              <w:top w:w="70" w:type="dxa"/>
              <w:left w:w="70" w:type="dxa"/>
              <w:bottom w:w="70" w:type="dxa"/>
              <w:right w:w="70" w:type="dxa"/>
            </w:tcMar>
          </w:tcPr>
          <w:p w14:paraId="786924C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FL Section 655.0323; UT HB 449; SC H 3690</w:t>
            </w:r>
          </w:p>
        </w:tc>
      </w:tr>
      <w:tr w:rsidR="0006423C" w:rsidRPr="00FA1482" w14:paraId="086B78AA" w14:textId="77777777" w:rsidTr="00DB0233">
        <w:tc>
          <w:tcPr>
            <w:tcW w:w="1163" w:type="dxa"/>
            <w:tcMar>
              <w:top w:w="70" w:type="dxa"/>
              <w:left w:w="70" w:type="dxa"/>
              <w:bottom w:w="70" w:type="dxa"/>
              <w:right w:w="70" w:type="dxa"/>
            </w:tcMar>
          </w:tcPr>
          <w:p w14:paraId="5CE9D1A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T5</w:t>
            </w:r>
          </w:p>
        </w:tc>
        <w:tc>
          <w:tcPr>
            <w:tcW w:w="1442" w:type="dxa"/>
            <w:tcMar>
              <w:top w:w="70" w:type="dxa"/>
              <w:left w:w="70" w:type="dxa"/>
              <w:bottom w:w="70" w:type="dxa"/>
              <w:right w:w="70" w:type="dxa"/>
            </w:tcMar>
          </w:tcPr>
          <w:p w14:paraId="111C4EB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Medium process/access burden</w:t>
            </w:r>
          </w:p>
        </w:tc>
        <w:tc>
          <w:tcPr>
            <w:tcW w:w="2641" w:type="dxa"/>
            <w:tcMar>
              <w:top w:w="70" w:type="dxa"/>
              <w:left w:w="70" w:type="dxa"/>
              <w:bottom w:w="70" w:type="dxa"/>
              <w:right w:w="70" w:type="dxa"/>
            </w:tcMar>
          </w:tcPr>
          <w:p w14:paraId="060520B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Certifications, disclosures, documentation duties, procurement gates, or account-access burdens that make ESG-coded analysis costly to use or defend.</w:t>
            </w:r>
          </w:p>
        </w:tc>
        <w:tc>
          <w:tcPr>
            <w:tcW w:w="1291" w:type="dxa"/>
            <w:tcMar>
              <w:top w:w="70" w:type="dxa"/>
              <w:left w:w="70" w:type="dxa"/>
              <w:bottom w:w="70" w:type="dxa"/>
              <w:right w:w="70" w:type="dxa"/>
            </w:tcMar>
          </w:tcPr>
          <w:p w14:paraId="0DC502F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21</w:t>
            </w:r>
          </w:p>
        </w:tc>
        <w:tc>
          <w:tcPr>
            <w:tcW w:w="1229" w:type="dxa"/>
            <w:tcMar>
              <w:top w:w="70" w:type="dxa"/>
              <w:left w:w="70" w:type="dxa"/>
              <w:bottom w:w="70" w:type="dxa"/>
              <w:right w:w="70" w:type="dxa"/>
            </w:tcMar>
          </w:tcPr>
          <w:p w14:paraId="5A0EB80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13</w:t>
            </w:r>
          </w:p>
        </w:tc>
        <w:tc>
          <w:tcPr>
            <w:tcW w:w="1584" w:type="dxa"/>
            <w:tcMar>
              <w:top w:w="70" w:type="dxa"/>
              <w:left w:w="70" w:type="dxa"/>
              <w:bottom w:w="70" w:type="dxa"/>
              <w:right w:w="70" w:type="dxa"/>
            </w:tcMar>
          </w:tcPr>
          <w:p w14:paraId="01B7EF7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TX SB 2337; KY SB 183; IN HB 1273; WV HB 2862</w:t>
            </w:r>
          </w:p>
        </w:tc>
      </w:tr>
      <w:tr w:rsidR="0006423C" w:rsidRPr="00FA1482" w14:paraId="50BF6796" w14:textId="77777777" w:rsidTr="00DB0233">
        <w:tc>
          <w:tcPr>
            <w:tcW w:w="1163" w:type="dxa"/>
            <w:tcMar>
              <w:top w:w="70" w:type="dxa"/>
              <w:left w:w="70" w:type="dxa"/>
              <w:bottom w:w="70" w:type="dxa"/>
              <w:right w:w="70" w:type="dxa"/>
            </w:tcMar>
          </w:tcPr>
          <w:p w14:paraId="1E00B49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T6</w:t>
            </w:r>
          </w:p>
        </w:tc>
        <w:tc>
          <w:tcPr>
            <w:tcW w:w="1442" w:type="dxa"/>
            <w:tcMar>
              <w:top w:w="70" w:type="dxa"/>
              <w:left w:w="70" w:type="dxa"/>
              <w:bottom w:w="70" w:type="dxa"/>
              <w:right w:w="70" w:type="dxa"/>
            </w:tcMar>
          </w:tcPr>
          <w:p w14:paraId="1C1D542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Soft/restatement/monitoring</w:t>
            </w:r>
          </w:p>
        </w:tc>
        <w:tc>
          <w:tcPr>
            <w:tcW w:w="2641" w:type="dxa"/>
            <w:tcMar>
              <w:top w:w="70" w:type="dxa"/>
              <w:left w:w="70" w:type="dxa"/>
              <w:bottom w:w="70" w:type="dxa"/>
              <w:right w:w="70" w:type="dxa"/>
            </w:tcMar>
          </w:tcPr>
          <w:p w14:paraId="2C32FD94"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Restatement, reporting, monitoring, or soft prudent-investor-preserving rules that influence behavior without hard-banning inputs.</w:t>
            </w:r>
          </w:p>
        </w:tc>
        <w:tc>
          <w:tcPr>
            <w:tcW w:w="1291" w:type="dxa"/>
            <w:tcMar>
              <w:top w:w="70" w:type="dxa"/>
              <w:left w:w="70" w:type="dxa"/>
              <w:bottom w:w="70" w:type="dxa"/>
              <w:right w:w="70" w:type="dxa"/>
            </w:tcMar>
          </w:tcPr>
          <w:p w14:paraId="3B36F3F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9</w:t>
            </w:r>
          </w:p>
        </w:tc>
        <w:tc>
          <w:tcPr>
            <w:tcW w:w="1229" w:type="dxa"/>
            <w:tcMar>
              <w:top w:w="70" w:type="dxa"/>
              <w:left w:w="70" w:type="dxa"/>
              <w:bottom w:w="70" w:type="dxa"/>
              <w:right w:w="70" w:type="dxa"/>
            </w:tcMar>
          </w:tcPr>
          <w:p w14:paraId="4639263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7</w:t>
            </w:r>
          </w:p>
        </w:tc>
        <w:tc>
          <w:tcPr>
            <w:tcW w:w="1584" w:type="dxa"/>
            <w:tcMar>
              <w:top w:w="70" w:type="dxa"/>
              <w:left w:w="70" w:type="dxa"/>
              <w:bottom w:w="70" w:type="dxa"/>
              <w:right w:w="70" w:type="dxa"/>
            </w:tcMar>
          </w:tcPr>
          <w:p w14:paraId="197C4DB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NC H 506/H 750; TN HB 1286/SB 955</w:t>
            </w:r>
          </w:p>
        </w:tc>
      </w:tr>
    </w:tbl>
    <w:p w14:paraId="59F5BF1B" w14:textId="77777777" w:rsidR="0006423C" w:rsidRPr="00FA1482" w:rsidRDefault="0006423C" w:rsidP="0006423C">
      <w:pPr>
        <w:pStyle w:val="AppendixBodyNoIndent"/>
        <w:rPr>
          <w:rFonts w:cs="Times New Roman" w:hint="cs"/>
          <w:color w:val="000000" w:themeColor="text1"/>
        </w:rPr>
      </w:pPr>
    </w:p>
    <w:p w14:paraId="43B151F0" w14:textId="77777777" w:rsidR="0006423C" w:rsidRPr="00FA1482" w:rsidRDefault="0006423C" w:rsidP="0006423C">
      <w:pPr>
        <w:pStyle w:val="Heading2"/>
        <w:rPr>
          <w:rFonts w:hint="cs"/>
        </w:rPr>
      </w:pPr>
      <w:bookmarkStart w:id="99" w:name="_Toc229502306"/>
      <w:r w:rsidRPr="00FA1482">
        <w:rPr>
          <w:rFonts w:hint="cs"/>
        </w:rPr>
        <w:t>M. Savings Clauses and Operational Fit</w:t>
      </w:r>
      <w:bookmarkEnd w:id="99"/>
    </w:p>
    <w:p w14:paraId="04A149F2"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Savings clauses are coded by operation rather than by label. A clause that repeats ordinary fiduciary law without changing the statutory burden is different from a clause that allows a fiduciary to make a record, invoke the exception, and continue without penalty.</w:t>
      </w:r>
    </w:p>
    <w:tbl>
      <w:tblPr>
        <w:tblStyle w:val="TableGrid"/>
        <w:tblW w:w="0" w:type="auto"/>
        <w:tblLook w:val="04A0" w:firstRow="1" w:lastRow="0" w:firstColumn="1" w:lastColumn="0" w:noHBand="0" w:noVBand="1"/>
      </w:tblPr>
      <w:tblGrid>
        <w:gridCol w:w="3110"/>
        <w:gridCol w:w="3139"/>
        <w:gridCol w:w="3101"/>
      </w:tblGrid>
      <w:tr w:rsidR="0006423C" w:rsidRPr="00FA1482" w14:paraId="52328728" w14:textId="77777777" w:rsidTr="00DB0233">
        <w:tc>
          <w:tcPr>
            <w:tcW w:w="3456" w:type="dxa"/>
            <w:shd w:val="clear" w:color="auto" w:fill="EDEDED"/>
            <w:tcMar>
              <w:top w:w="70" w:type="dxa"/>
              <w:left w:w="70" w:type="dxa"/>
              <w:bottom w:w="70" w:type="dxa"/>
              <w:right w:w="70" w:type="dxa"/>
            </w:tcMar>
          </w:tcPr>
          <w:p w14:paraId="3A9E6FA7"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Pattern</w:t>
            </w:r>
          </w:p>
        </w:tc>
        <w:tc>
          <w:tcPr>
            <w:tcW w:w="3456" w:type="dxa"/>
            <w:shd w:val="clear" w:color="auto" w:fill="EDEDED"/>
            <w:tcMar>
              <w:top w:w="70" w:type="dxa"/>
              <w:left w:w="70" w:type="dxa"/>
              <w:bottom w:w="70" w:type="dxa"/>
              <w:right w:w="70" w:type="dxa"/>
            </w:tcMar>
          </w:tcPr>
          <w:p w14:paraId="6B2E2FFC"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Test</w:t>
            </w:r>
          </w:p>
        </w:tc>
        <w:tc>
          <w:tcPr>
            <w:tcW w:w="3456" w:type="dxa"/>
            <w:shd w:val="clear" w:color="auto" w:fill="EDEDED"/>
            <w:tcMar>
              <w:top w:w="70" w:type="dxa"/>
              <w:left w:w="70" w:type="dxa"/>
              <w:bottom w:w="70" w:type="dxa"/>
              <w:right w:w="70" w:type="dxa"/>
            </w:tcMar>
          </w:tcPr>
          <w:p w14:paraId="65F3B9FA"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Example</w:t>
            </w:r>
          </w:p>
        </w:tc>
      </w:tr>
      <w:tr w:rsidR="0006423C" w:rsidRPr="00FA1482" w14:paraId="758E1FEB" w14:textId="77777777" w:rsidTr="00DB0233">
        <w:tc>
          <w:tcPr>
            <w:tcW w:w="3456" w:type="dxa"/>
            <w:tcMar>
              <w:top w:w="70" w:type="dxa"/>
              <w:left w:w="70" w:type="dxa"/>
              <w:bottom w:w="70" w:type="dxa"/>
              <w:right w:w="70" w:type="dxa"/>
            </w:tcMar>
          </w:tcPr>
          <w:p w14:paraId="7777F37A"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Restatement-only</w:t>
            </w:r>
          </w:p>
        </w:tc>
        <w:tc>
          <w:tcPr>
            <w:tcW w:w="3456" w:type="dxa"/>
            <w:tcMar>
              <w:top w:w="70" w:type="dxa"/>
              <w:left w:w="70" w:type="dxa"/>
              <w:bottom w:w="70" w:type="dxa"/>
              <w:right w:w="70" w:type="dxa"/>
            </w:tcMar>
          </w:tcPr>
          <w:p w14:paraId="4FC4896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The clause preserves ordinary fiduciary language but does not supply a workable path through the operative restriction.</w:t>
            </w:r>
          </w:p>
        </w:tc>
        <w:tc>
          <w:tcPr>
            <w:tcW w:w="3456" w:type="dxa"/>
            <w:tcMar>
              <w:top w:w="70" w:type="dxa"/>
              <w:left w:w="70" w:type="dxa"/>
              <w:bottom w:w="70" w:type="dxa"/>
              <w:right w:w="70" w:type="dxa"/>
            </w:tcMar>
          </w:tcPr>
          <w:p w14:paraId="41D7240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Texas SB 13 ordinary-business-purpose language in the ASBC record.</w:t>
            </w:r>
          </w:p>
        </w:tc>
      </w:tr>
      <w:tr w:rsidR="0006423C" w:rsidRPr="00FA1482" w14:paraId="4D470C76" w14:textId="77777777" w:rsidTr="00DB0233">
        <w:tc>
          <w:tcPr>
            <w:tcW w:w="3456" w:type="dxa"/>
            <w:tcMar>
              <w:top w:w="70" w:type="dxa"/>
              <w:left w:w="70" w:type="dxa"/>
              <w:bottom w:w="70" w:type="dxa"/>
              <w:right w:w="70" w:type="dxa"/>
            </w:tcMar>
          </w:tcPr>
          <w:p w14:paraId="686B727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Record-based fiduciary override</w:t>
            </w:r>
          </w:p>
        </w:tc>
        <w:tc>
          <w:tcPr>
            <w:tcW w:w="3456" w:type="dxa"/>
            <w:tcMar>
              <w:top w:w="70" w:type="dxa"/>
              <w:left w:w="70" w:type="dxa"/>
              <w:bottom w:w="70" w:type="dxa"/>
              <w:right w:w="70" w:type="dxa"/>
            </w:tcMar>
          </w:tcPr>
          <w:p w14:paraId="7D13B91D"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The regulated entity can make a fiduciary record and decline compliance without obvious collateral sanction.</w:t>
            </w:r>
          </w:p>
        </w:tc>
        <w:tc>
          <w:tcPr>
            <w:tcW w:w="3456" w:type="dxa"/>
            <w:tcMar>
              <w:top w:w="70" w:type="dxa"/>
              <w:left w:w="70" w:type="dxa"/>
              <w:bottom w:w="70" w:type="dxa"/>
              <w:right w:w="70" w:type="dxa"/>
            </w:tcMar>
          </w:tcPr>
          <w:p w14:paraId="78B184F8"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 xml:space="preserve">Kentucky CERS under SB 205; </w:t>
            </w:r>
            <w:proofErr w:type="spellStart"/>
            <w:r w:rsidRPr="00FA1482">
              <w:rPr>
                <w:rFonts w:ascii="Times New Roman" w:eastAsia="Times New Roman" w:hAnsi="Times New Roman" w:cs="Times New Roman" w:hint="cs"/>
                <w:color w:val="000000" w:themeColor="text1"/>
              </w:rPr>
              <w:t>MainePERS</w:t>
            </w:r>
            <w:proofErr w:type="spellEnd"/>
            <w:r w:rsidRPr="00FA1482">
              <w:rPr>
                <w:rFonts w:ascii="Times New Roman" w:eastAsia="Times New Roman" w:hAnsi="Times New Roman" w:cs="Times New Roman" w:hint="cs"/>
                <w:color w:val="000000" w:themeColor="text1"/>
              </w:rPr>
              <w:t xml:space="preserve"> under Maine LD 99.</w:t>
            </w:r>
          </w:p>
        </w:tc>
      </w:tr>
      <w:tr w:rsidR="0006423C" w:rsidRPr="00FA1482" w14:paraId="3DD8B520" w14:textId="77777777" w:rsidTr="00DB0233">
        <w:tc>
          <w:tcPr>
            <w:tcW w:w="3456" w:type="dxa"/>
            <w:tcMar>
              <w:top w:w="70" w:type="dxa"/>
              <w:left w:w="70" w:type="dxa"/>
              <w:bottom w:w="70" w:type="dxa"/>
              <w:right w:w="70" w:type="dxa"/>
            </w:tcMar>
          </w:tcPr>
          <w:p w14:paraId="39B5FA23"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Authority-dependent carveout</w:t>
            </w:r>
          </w:p>
        </w:tc>
        <w:tc>
          <w:tcPr>
            <w:tcW w:w="3456" w:type="dxa"/>
            <w:tcMar>
              <w:top w:w="70" w:type="dxa"/>
              <w:left w:w="70" w:type="dxa"/>
              <w:bottom w:w="70" w:type="dxa"/>
              <w:right w:w="70" w:type="dxa"/>
            </w:tcMar>
          </w:tcPr>
          <w:p w14:paraId="1549E07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The clause depends on a treasurer, attorney general, agency, or board reading it broadly enough to permit the conduct.</w:t>
            </w:r>
          </w:p>
        </w:tc>
        <w:tc>
          <w:tcPr>
            <w:tcW w:w="3456" w:type="dxa"/>
            <w:tcMar>
              <w:top w:w="70" w:type="dxa"/>
              <w:left w:w="70" w:type="dxa"/>
              <w:bottom w:w="70" w:type="dxa"/>
              <w:right w:w="70" w:type="dxa"/>
            </w:tcMar>
          </w:tcPr>
          <w:p w14:paraId="4E340CB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Arkansas ESG Oversight Committee application of the ordinary-business exception.</w:t>
            </w:r>
          </w:p>
        </w:tc>
      </w:tr>
      <w:tr w:rsidR="0006423C" w:rsidRPr="00FA1482" w14:paraId="6A72FB42" w14:textId="77777777" w:rsidTr="00DB0233">
        <w:tc>
          <w:tcPr>
            <w:tcW w:w="3456" w:type="dxa"/>
            <w:tcMar>
              <w:top w:w="70" w:type="dxa"/>
              <w:left w:w="70" w:type="dxa"/>
              <w:bottom w:w="70" w:type="dxa"/>
              <w:right w:w="70" w:type="dxa"/>
            </w:tcMar>
          </w:tcPr>
          <w:p w14:paraId="3DA9750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Process-cost carveout</w:t>
            </w:r>
          </w:p>
        </w:tc>
        <w:tc>
          <w:tcPr>
            <w:tcW w:w="3456" w:type="dxa"/>
            <w:tcMar>
              <w:top w:w="70" w:type="dxa"/>
              <w:left w:w="70" w:type="dxa"/>
              <w:bottom w:w="70" w:type="dxa"/>
              <w:right w:w="70" w:type="dxa"/>
            </w:tcMar>
          </w:tcPr>
          <w:p w14:paraId="28FA5BD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The clause permits financial justification but requires documentation, attestation, reporting, or proof burdens that may make invocation costly.</w:t>
            </w:r>
          </w:p>
        </w:tc>
        <w:tc>
          <w:tcPr>
            <w:tcW w:w="3456" w:type="dxa"/>
            <w:tcMar>
              <w:top w:w="70" w:type="dxa"/>
              <w:left w:w="70" w:type="dxa"/>
              <w:bottom w:w="70" w:type="dxa"/>
              <w:right w:w="70" w:type="dxa"/>
            </w:tcMar>
          </w:tcPr>
          <w:p w14:paraId="27A11A1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Florida Section 655.0323; Texas and Oklahoma list regimes.</w:t>
            </w:r>
          </w:p>
        </w:tc>
      </w:tr>
    </w:tbl>
    <w:p w14:paraId="581E0C6F" w14:textId="77777777" w:rsidR="0006423C" w:rsidRPr="00FA1482" w:rsidRDefault="0006423C" w:rsidP="0006423C">
      <w:pPr>
        <w:pStyle w:val="AppendixBodyNoIndent"/>
        <w:rPr>
          <w:rFonts w:cs="Times New Roman" w:hint="cs"/>
          <w:color w:val="000000" w:themeColor="text1"/>
        </w:rPr>
      </w:pPr>
    </w:p>
    <w:tbl>
      <w:tblPr>
        <w:tblStyle w:val="TableGrid"/>
        <w:tblW w:w="0" w:type="auto"/>
        <w:tblLook w:val="04A0" w:firstRow="1" w:lastRow="0" w:firstColumn="1" w:lastColumn="0" w:noHBand="0" w:noVBand="1"/>
      </w:tblPr>
      <w:tblGrid>
        <w:gridCol w:w="1255"/>
        <w:gridCol w:w="1530"/>
        <w:gridCol w:w="2430"/>
        <w:gridCol w:w="2520"/>
        <w:gridCol w:w="1615"/>
      </w:tblGrid>
      <w:tr w:rsidR="0006423C" w:rsidRPr="00FA1482" w14:paraId="0FF2B9D7" w14:textId="77777777" w:rsidTr="00DB0233">
        <w:tc>
          <w:tcPr>
            <w:tcW w:w="1255" w:type="dxa"/>
            <w:shd w:val="clear" w:color="auto" w:fill="EDEDED"/>
            <w:tcMar>
              <w:top w:w="70" w:type="dxa"/>
              <w:left w:w="70" w:type="dxa"/>
              <w:bottom w:w="70" w:type="dxa"/>
              <w:right w:w="70" w:type="dxa"/>
            </w:tcMar>
          </w:tcPr>
          <w:p w14:paraId="13CFE906"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State</w:t>
            </w:r>
          </w:p>
        </w:tc>
        <w:tc>
          <w:tcPr>
            <w:tcW w:w="1530" w:type="dxa"/>
            <w:shd w:val="clear" w:color="auto" w:fill="EDEDED"/>
            <w:tcMar>
              <w:top w:w="70" w:type="dxa"/>
              <w:left w:w="70" w:type="dxa"/>
              <w:bottom w:w="70" w:type="dxa"/>
              <w:right w:w="70" w:type="dxa"/>
            </w:tcMar>
          </w:tcPr>
          <w:p w14:paraId="2A2B57D5"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Statute/channel</w:t>
            </w:r>
          </w:p>
        </w:tc>
        <w:tc>
          <w:tcPr>
            <w:tcW w:w="2430" w:type="dxa"/>
            <w:shd w:val="clear" w:color="auto" w:fill="EDEDED"/>
            <w:tcMar>
              <w:top w:w="70" w:type="dxa"/>
              <w:left w:w="70" w:type="dxa"/>
              <w:bottom w:w="70" w:type="dxa"/>
              <w:right w:w="70" w:type="dxa"/>
            </w:tcMar>
          </w:tcPr>
          <w:p w14:paraId="5BD55940"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Saved conduct</w:t>
            </w:r>
          </w:p>
        </w:tc>
        <w:tc>
          <w:tcPr>
            <w:tcW w:w="2520" w:type="dxa"/>
            <w:shd w:val="clear" w:color="auto" w:fill="EDEDED"/>
            <w:tcMar>
              <w:top w:w="70" w:type="dxa"/>
              <w:left w:w="70" w:type="dxa"/>
              <w:bottom w:w="70" w:type="dxa"/>
              <w:right w:w="70" w:type="dxa"/>
            </w:tcMar>
          </w:tcPr>
          <w:p w14:paraId="22CDC20C"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Practical operation</w:t>
            </w:r>
          </w:p>
        </w:tc>
        <w:tc>
          <w:tcPr>
            <w:tcW w:w="1615" w:type="dxa"/>
            <w:shd w:val="clear" w:color="auto" w:fill="EDEDED"/>
            <w:tcMar>
              <w:top w:w="70" w:type="dxa"/>
              <w:left w:w="70" w:type="dxa"/>
              <w:bottom w:w="70" w:type="dxa"/>
              <w:right w:w="70" w:type="dxa"/>
            </w:tcMar>
          </w:tcPr>
          <w:p w14:paraId="4A99F903" w14:textId="77777777" w:rsidR="0006423C" w:rsidRPr="00FA1482" w:rsidRDefault="0006423C" w:rsidP="00DB0233">
            <w:pPr>
              <w:pStyle w:val="AppendixTableHeader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Fit</w:t>
            </w:r>
          </w:p>
        </w:tc>
      </w:tr>
      <w:tr w:rsidR="0006423C" w:rsidRPr="00FA1482" w14:paraId="774A9802" w14:textId="77777777" w:rsidTr="00DB0233">
        <w:tc>
          <w:tcPr>
            <w:tcW w:w="1255" w:type="dxa"/>
            <w:tcMar>
              <w:top w:w="70" w:type="dxa"/>
              <w:left w:w="70" w:type="dxa"/>
              <w:bottom w:w="70" w:type="dxa"/>
              <w:right w:w="70" w:type="dxa"/>
            </w:tcMar>
          </w:tcPr>
          <w:p w14:paraId="6DD0271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Texas</w:t>
            </w:r>
          </w:p>
        </w:tc>
        <w:tc>
          <w:tcPr>
            <w:tcW w:w="1530" w:type="dxa"/>
            <w:tcMar>
              <w:top w:w="70" w:type="dxa"/>
              <w:left w:w="70" w:type="dxa"/>
              <w:bottom w:w="70" w:type="dxa"/>
              <w:right w:w="70" w:type="dxa"/>
            </w:tcMar>
          </w:tcPr>
          <w:p w14:paraId="6578DA8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SB 13 / restricted list and public funds</w:t>
            </w:r>
          </w:p>
        </w:tc>
        <w:tc>
          <w:tcPr>
            <w:tcW w:w="2430" w:type="dxa"/>
            <w:tcMar>
              <w:top w:w="70" w:type="dxa"/>
              <w:left w:w="70" w:type="dxa"/>
              <w:bottom w:w="70" w:type="dxa"/>
              <w:right w:w="70" w:type="dxa"/>
            </w:tcMar>
          </w:tcPr>
          <w:p w14:paraId="68651F6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Ordinary-business-purpose and fiduciary-inconsistency language.</w:t>
            </w:r>
          </w:p>
        </w:tc>
        <w:tc>
          <w:tcPr>
            <w:tcW w:w="2520" w:type="dxa"/>
            <w:tcMar>
              <w:top w:w="70" w:type="dxa"/>
              <w:left w:w="70" w:type="dxa"/>
              <w:bottom w:w="70" w:type="dxa"/>
              <w:right w:w="70" w:type="dxa"/>
            </w:tcMar>
          </w:tcPr>
          <w:p w14:paraId="0A736806" w14:textId="60BBD4F9"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Designation occurs through the Comptroller list; ASBC held the language did not cabin the statute</w:t>
            </w:r>
            <w:r w:rsidR="00B62085">
              <w:rPr>
                <w:rFonts w:ascii="Times New Roman" w:eastAsia="Times New Roman" w:hAnsi="Times New Roman" w:cs="Times New Roman"/>
                <w:color w:val="000000" w:themeColor="text1"/>
              </w:rPr>
              <w:t>’</w:t>
            </w:r>
            <w:r w:rsidRPr="00FA1482">
              <w:rPr>
                <w:rFonts w:ascii="Times New Roman" w:eastAsia="Times New Roman" w:hAnsi="Times New Roman" w:cs="Times New Roman" w:hint="cs"/>
                <w:color w:val="000000" w:themeColor="text1"/>
              </w:rPr>
              <w:t>s reach.</w:t>
            </w:r>
          </w:p>
        </w:tc>
        <w:tc>
          <w:tcPr>
            <w:tcW w:w="1615" w:type="dxa"/>
            <w:tcMar>
              <w:top w:w="70" w:type="dxa"/>
              <w:left w:w="70" w:type="dxa"/>
              <w:bottom w:w="70" w:type="dxa"/>
              <w:right w:w="70" w:type="dxa"/>
            </w:tcMar>
          </w:tcPr>
          <w:p w14:paraId="086A7657"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Weak in operation.</w:t>
            </w:r>
          </w:p>
        </w:tc>
      </w:tr>
      <w:tr w:rsidR="0006423C" w:rsidRPr="00FA1482" w14:paraId="0E544E56" w14:textId="77777777" w:rsidTr="00DB0233">
        <w:tc>
          <w:tcPr>
            <w:tcW w:w="1255" w:type="dxa"/>
            <w:tcMar>
              <w:top w:w="70" w:type="dxa"/>
              <w:left w:w="70" w:type="dxa"/>
              <w:bottom w:w="70" w:type="dxa"/>
              <w:right w:w="70" w:type="dxa"/>
            </w:tcMar>
          </w:tcPr>
          <w:p w14:paraId="03B66B9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Kentucky</w:t>
            </w:r>
          </w:p>
        </w:tc>
        <w:tc>
          <w:tcPr>
            <w:tcW w:w="1530" w:type="dxa"/>
            <w:tcMar>
              <w:top w:w="70" w:type="dxa"/>
              <w:left w:w="70" w:type="dxa"/>
              <w:bottom w:w="70" w:type="dxa"/>
              <w:right w:w="70" w:type="dxa"/>
            </w:tcMar>
          </w:tcPr>
          <w:p w14:paraId="084ADBE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SB 205 / restricted-list pension regime</w:t>
            </w:r>
          </w:p>
        </w:tc>
        <w:tc>
          <w:tcPr>
            <w:tcW w:w="2430" w:type="dxa"/>
            <w:tcMar>
              <w:top w:w="70" w:type="dxa"/>
              <w:left w:w="70" w:type="dxa"/>
              <w:bottom w:w="70" w:type="dxa"/>
              <w:right w:w="70" w:type="dxa"/>
            </w:tcMar>
          </w:tcPr>
          <w:p w14:paraId="3AE3B29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Pension system may decline compliance when the law conflicts with fiduciary responsibility.</w:t>
            </w:r>
          </w:p>
        </w:tc>
        <w:tc>
          <w:tcPr>
            <w:tcW w:w="2520" w:type="dxa"/>
            <w:tcMar>
              <w:top w:w="70" w:type="dxa"/>
              <w:left w:w="70" w:type="dxa"/>
              <w:bottom w:w="70" w:type="dxa"/>
              <w:right w:w="70" w:type="dxa"/>
            </w:tcMar>
          </w:tcPr>
          <w:p w14:paraId="4C46499B"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CERS made a formal board determination and did not adjust the portfolio; no enforcement followed.</w:t>
            </w:r>
          </w:p>
        </w:tc>
        <w:tc>
          <w:tcPr>
            <w:tcW w:w="1615" w:type="dxa"/>
            <w:tcMar>
              <w:top w:w="70" w:type="dxa"/>
              <w:left w:w="70" w:type="dxa"/>
              <w:bottom w:w="70" w:type="dxa"/>
              <w:right w:w="70" w:type="dxa"/>
            </w:tcMar>
          </w:tcPr>
          <w:p w14:paraId="3F828C7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Strong record-based carveout.</w:t>
            </w:r>
          </w:p>
        </w:tc>
      </w:tr>
      <w:tr w:rsidR="0006423C" w:rsidRPr="00FA1482" w14:paraId="78932F63" w14:textId="77777777" w:rsidTr="00DB0233">
        <w:tc>
          <w:tcPr>
            <w:tcW w:w="1255" w:type="dxa"/>
            <w:tcMar>
              <w:top w:w="70" w:type="dxa"/>
              <w:left w:w="70" w:type="dxa"/>
              <w:bottom w:w="70" w:type="dxa"/>
              <w:right w:w="70" w:type="dxa"/>
            </w:tcMar>
          </w:tcPr>
          <w:p w14:paraId="534DF23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Maine</w:t>
            </w:r>
          </w:p>
        </w:tc>
        <w:tc>
          <w:tcPr>
            <w:tcW w:w="1530" w:type="dxa"/>
            <w:tcMar>
              <w:top w:w="70" w:type="dxa"/>
              <w:left w:w="70" w:type="dxa"/>
              <w:bottom w:w="70" w:type="dxa"/>
              <w:right w:w="70" w:type="dxa"/>
            </w:tcMar>
          </w:tcPr>
          <w:p w14:paraId="7050F712"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LD 99 / fossil-fuel divestment</w:t>
            </w:r>
          </w:p>
        </w:tc>
        <w:tc>
          <w:tcPr>
            <w:tcW w:w="2430" w:type="dxa"/>
            <w:tcMar>
              <w:top w:w="70" w:type="dxa"/>
              <w:left w:w="70" w:type="dxa"/>
              <w:bottom w:w="70" w:type="dxa"/>
              <w:right w:w="70" w:type="dxa"/>
            </w:tcMar>
          </w:tcPr>
          <w:p w14:paraId="6D23735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Divestment must remain consistent with sound investment criteria and fiduciary obligations.</w:t>
            </w:r>
          </w:p>
        </w:tc>
        <w:tc>
          <w:tcPr>
            <w:tcW w:w="2520" w:type="dxa"/>
            <w:tcMar>
              <w:top w:w="70" w:type="dxa"/>
              <w:left w:w="70" w:type="dxa"/>
              <w:bottom w:w="70" w:type="dxa"/>
              <w:right w:w="70" w:type="dxa"/>
            </w:tcMar>
          </w:tcPr>
          <w:p w14:paraId="040D7A0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 xml:space="preserve">Attorney General interpretation and </w:t>
            </w:r>
            <w:proofErr w:type="spellStart"/>
            <w:r w:rsidRPr="00FA1482">
              <w:rPr>
                <w:rFonts w:ascii="Times New Roman" w:eastAsia="Times New Roman" w:hAnsi="Times New Roman" w:cs="Times New Roman" w:hint="cs"/>
                <w:color w:val="000000" w:themeColor="text1"/>
              </w:rPr>
              <w:t>MainePERS</w:t>
            </w:r>
            <w:proofErr w:type="spellEnd"/>
            <w:r w:rsidRPr="00FA1482">
              <w:rPr>
                <w:rFonts w:ascii="Times New Roman" w:eastAsia="Times New Roman" w:hAnsi="Times New Roman" w:cs="Times New Roman" w:hint="cs"/>
                <w:color w:val="000000" w:themeColor="text1"/>
              </w:rPr>
              <w:t xml:space="preserve"> practice allowed non-mechanical compliance.</w:t>
            </w:r>
          </w:p>
        </w:tc>
        <w:tc>
          <w:tcPr>
            <w:tcW w:w="1615" w:type="dxa"/>
            <w:tcMar>
              <w:top w:w="70" w:type="dxa"/>
              <w:left w:w="70" w:type="dxa"/>
              <w:bottom w:w="70" w:type="dxa"/>
              <w:right w:w="70" w:type="dxa"/>
            </w:tcMar>
          </w:tcPr>
          <w:p w14:paraId="140E02E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Strong fiduciary override.</w:t>
            </w:r>
          </w:p>
        </w:tc>
      </w:tr>
      <w:tr w:rsidR="0006423C" w:rsidRPr="00FA1482" w14:paraId="28532666" w14:textId="77777777" w:rsidTr="00DB0233">
        <w:tc>
          <w:tcPr>
            <w:tcW w:w="1255" w:type="dxa"/>
            <w:tcMar>
              <w:top w:w="70" w:type="dxa"/>
              <w:left w:w="70" w:type="dxa"/>
              <w:bottom w:w="70" w:type="dxa"/>
              <w:right w:w="70" w:type="dxa"/>
            </w:tcMar>
          </w:tcPr>
          <w:p w14:paraId="418DDB61"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Florida</w:t>
            </w:r>
          </w:p>
        </w:tc>
        <w:tc>
          <w:tcPr>
            <w:tcW w:w="1530" w:type="dxa"/>
            <w:tcMar>
              <w:top w:w="70" w:type="dxa"/>
              <w:left w:w="70" w:type="dxa"/>
              <w:bottom w:w="70" w:type="dxa"/>
              <w:right w:w="70" w:type="dxa"/>
            </w:tcMar>
          </w:tcPr>
          <w:p w14:paraId="7A260029"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Section 655.0323 / banking</w:t>
            </w:r>
          </w:p>
        </w:tc>
        <w:tc>
          <w:tcPr>
            <w:tcW w:w="2430" w:type="dxa"/>
            <w:tcMar>
              <w:top w:w="70" w:type="dxa"/>
              <w:left w:w="70" w:type="dxa"/>
              <w:bottom w:w="70" w:type="dxa"/>
              <w:right w:w="70" w:type="dxa"/>
            </w:tcMar>
          </w:tcPr>
          <w:p w14:paraId="1EE122A0"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Banks may rely on quantitative, impartial, risk-based standards and customer-specific factors.</w:t>
            </w:r>
          </w:p>
        </w:tc>
        <w:tc>
          <w:tcPr>
            <w:tcW w:w="2520" w:type="dxa"/>
            <w:tcMar>
              <w:top w:w="70" w:type="dxa"/>
              <w:left w:w="70" w:type="dxa"/>
              <w:bottom w:w="70" w:type="dxa"/>
              <w:right w:w="70" w:type="dxa"/>
            </w:tcMar>
          </w:tcPr>
          <w:p w14:paraId="3DFA260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Preserves individualized underwriting but adds recurring officer attestation.</w:t>
            </w:r>
          </w:p>
        </w:tc>
        <w:tc>
          <w:tcPr>
            <w:tcW w:w="1615" w:type="dxa"/>
            <w:tcMar>
              <w:top w:w="70" w:type="dxa"/>
              <w:left w:w="70" w:type="dxa"/>
              <w:bottom w:w="70" w:type="dxa"/>
              <w:right w:w="70" w:type="dxa"/>
            </w:tcMar>
          </w:tcPr>
          <w:p w14:paraId="40917C1C"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Partial.</w:t>
            </w:r>
          </w:p>
        </w:tc>
      </w:tr>
      <w:tr w:rsidR="0006423C" w:rsidRPr="00FA1482" w14:paraId="4C94CE11" w14:textId="77777777" w:rsidTr="00DB0233">
        <w:tc>
          <w:tcPr>
            <w:tcW w:w="1255" w:type="dxa"/>
            <w:tcMar>
              <w:top w:w="70" w:type="dxa"/>
              <w:left w:w="70" w:type="dxa"/>
              <w:bottom w:w="70" w:type="dxa"/>
              <w:right w:w="70" w:type="dxa"/>
            </w:tcMar>
          </w:tcPr>
          <w:p w14:paraId="18F4E3EF"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Oklahoma</w:t>
            </w:r>
          </w:p>
        </w:tc>
        <w:tc>
          <w:tcPr>
            <w:tcW w:w="1530" w:type="dxa"/>
            <w:tcMar>
              <w:top w:w="70" w:type="dxa"/>
              <w:left w:w="70" w:type="dxa"/>
              <w:bottom w:w="70" w:type="dxa"/>
              <w:right w:w="70" w:type="dxa"/>
            </w:tcMar>
          </w:tcPr>
          <w:p w14:paraId="05D9093E"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HB 2034 / EDEA</w:t>
            </w:r>
          </w:p>
        </w:tc>
        <w:tc>
          <w:tcPr>
            <w:tcW w:w="2430" w:type="dxa"/>
            <w:tcMar>
              <w:top w:w="70" w:type="dxa"/>
              <w:left w:w="70" w:type="dxa"/>
              <w:bottom w:w="70" w:type="dxa"/>
              <w:right w:w="70" w:type="dxa"/>
            </w:tcMar>
          </w:tcPr>
          <w:p w14:paraId="72443296"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Ordinary-business and fiduciary-responsibility exceptions.</w:t>
            </w:r>
          </w:p>
        </w:tc>
        <w:tc>
          <w:tcPr>
            <w:tcW w:w="2520" w:type="dxa"/>
            <w:tcMar>
              <w:top w:w="70" w:type="dxa"/>
              <w:left w:w="70" w:type="dxa"/>
              <w:bottom w:w="70" w:type="dxa"/>
              <w:right w:w="70" w:type="dxa"/>
            </w:tcMar>
          </w:tcPr>
          <w:p w14:paraId="3D55A4FF" w14:textId="3C484BBA"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Keenan held the scheme created an impermissible dual purpose under Oklahoma</w:t>
            </w:r>
            <w:r w:rsidR="00B62085">
              <w:rPr>
                <w:rFonts w:ascii="Times New Roman" w:eastAsia="Times New Roman" w:hAnsi="Times New Roman" w:cs="Times New Roman"/>
                <w:color w:val="000000" w:themeColor="text1"/>
              </w:rPr>
              <w:t>’</w:t>
            </w:r>
            <w:r w:rsidRPr="00FA1482">
              <w:rPr>
                <w:rFonts w:ascii="Times New Roman" w:eastAsia="Times New Roman" w:hAnsi="Times New Roman" w:cs="Times New Roman" w:hint="cs"/>
                <w:color w:val="000000" w:themeColor="text1"/>
              </w:rPr>
              <w:t>s exclusive-benefit clause.</w:t>
            </w:r>
          </w:p>
        </w:tc>
        <w:tc>
          <w:tcPr>
            <w:tcW w:w="1615" w:type="dxa"/>
            <w:tcMar>
              <w:top w:w="70" w:type="dxa"/>
              <w:left w:w="70" w:type="dxa"/>
              <w:bottom w:w="70" w:type="dxa"/>
              <w:right w:w="70" w:type="dxa"/>
            </w:tcMar>
          </w:tcPr>
          <w:p w14:paraId="19A791E5" w14:textId="77777777" w:rsidR="0006423C" w:rsidRPr="00FA1482" w:rsidRDefault="0006423C" w:rsidP="00DB0233">
            <w:pPr>
              <w:pStyle w:val="AppendixTableCellNoIndent"/>
              <w:rPr>
                <w:rFonts w:ascii="Times New Roman" w:hAnsi="Times New Roman" w:cs="Times New Roman" w:hint="cs"/>
                <w:color w:val="000000" w:themeColor="text1"/>
              </w:rPr>
            </w:pPr>
            <w:r w:rsidRPr="00FA1482">
              <w:rPr>
                <w:rFonts w:ascii="Times New Roman" w:eastAsia="Times New Roman" w:hAnsi="Times New Roman" w:cs="Times New Roman" w:hint="cs"/>
                <w:color w:val="000000" w:themeColor="text1"/>
              </w:rPr>
              <w:t>Weak as constitutional cure.</w:t>
            </w:r>
          </w:p>
        </w:tc>
      </w:tr>
    </w:tbl>
    <w:p w14:paraId="03B22DC8" w14:textId="77777777" w:rsidR="0006423C" w:rsidRPr="00FA1482" w:rsidRDefault="0006423C" w:rsidP="0006423C">
      <w:pPr>
        <w:pStyle w:val="AppendixBodyNoIndent"/>
        <w:rPr>
          <w:rFonts w:cs="Times New Roman" w:hint="cs"/>
          <w:color w:val="000000" w:themeColor="text1"/>
        </w:rPr>
      </w:pPr>
    </w:p>
    <w:p w14:paraId="65930FB2" w14:textId="77777777" w:rsidR="0006423C" w:rsidRPr="00FA1482" w:rsidRDefault="0006423C" w:rsidP="0006423C">
      <w:pPr>
        <w:pStyle w:val="Heading2"/>
        <w:rPr>
          <w:rFonts w:hint="cs"/>
        </w:rPr>
      </w:pPr>
      <w:bookmarkStart w:id="100" w:name="_Toc229502307"/>
      <w:r w:rsidRPr="00FA1482">
        <w:rPr>
          <w:rFonts w:hint="cs"/>
        </w:rPr>
        <w:t>N. Clause Extraction</w:t>
      </w:r>
      <w:bookmarkEnd w:id="100"/>
    </w:p>
    <w:p w14:paraId="55CE08CA"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Clause extraction identifies the text that performs legal work. The registry marks definitions; operative prohibitions or mandates; fiduciary-factor and materiality provisions; pecuniary/nonpecuniary language; boycott and discrimination definitions; carveouts and savings clauses; evidence lists; certification and attestation duties; penalties and private-right exposure; proxy, voting, stewardship, and written-analysis provisions; disclosure and reporting duties; actor/reach provisions; and public-act or codified-source citations.</w:t>
      </w:r>
    </w:p>
    <w:p w14:paraId="5C340127" w14:textId="13CF8A0A"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 xml:space="preserve">This structure lets the analysis separate a bill title from its legal mechanism. A statute that excludes long-horizon systemic risk from materiality, a statute that treats coalition membership as evidence of forbidden purpose, and a statute that requires a proxy adviser to prepare a written financial analysis are all different legal moves even if public summaries label them </w:t>
      </w:r>
      <w:r w:rsidR="00B62085">
        <w:rPr>
          <w:rFonts w:cs="Times New Roman"/>
          <w:color w:val="000000" w:themeColor="text1"/>
        </w:rPr>
        <w:t>“</w:t>
      </w:r>
      <w:r w:rsidRPr="00FA1482">
        <w:rPr>
          <w:rFonts w:cs="Times New Roman" w:hint="cs"/>
          <w:color w:val="000000" w:themeColor="text1"/>
        </w:rPr>
        <w:t>anti-ESG.</w:t>
      </w:r>
      <w:r w:rsidR="00B62085">
        <w:rPr>
          <w:rFonts w:cs="Times New Roman"/>
          <w:color w:val="000000" w:themeColor="text1"/>
        </w:rPr>
        <w:t>”</w:t>
      </w:r>
    </w:p>
    <w:p w14:paraId="521D11DA" w14:textId="77777777" w:rsidR="0006423C" w:rsidRPr="00FA1482" w:rsidRDefault="0006423C" w:rsidP="0006423C">
      <w:pPr>
        <w:pStyle w:val="Heading2"/>
        <w:rPr>
          <w:rFonts w:hint="cs"/>
        </w:rPr>
      </w:pPr>
      <w:bookmarkStart w:id="101" w:name="_Toc229502308"/>
      <w:r w:rsidRPr="00FA1482">
        <w:rPr>
          <w:rFonts w:hint="cs"/>
        </w:rPr>
        <w:t>O. Machine Classification and Calibration</w:t>
      </w:r>
      <w:bookmarkEnd w:id="101"/>
    </w:p>
    <w:p w14:paraId="4042CC7C"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Structured machine classification assigned first-pass labels for stance, focus, mechanism, reach, actor, legal tools, status, exclusions, and supporting text. Anthropic Batch API workflows supported large-batch clause and bill review against a semantic-flag codebook. Cross-model review using separate model families generated disagreement sets for boundary cases and high-value rows.</w:t>
      </w:r>
    </w:p>
    <w:p w14:paraId="5DAB874A"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Calibration focused on recurring error modes: title-based ESG false positives; general-retirement-only rows; omnibus bills with incidental energy or pension references; energy-policy-only rows misread as market-facing ESG; government-internal DEI/NCS rows misread as external market regulation; firearms-only and foreign-adversary/geopolitical leakage into climate-facing denominators; confusion between primary mechanism and stacked mechanism flags; confusion between reach, actor, and legal-tool labels; status drift across enacted, pending, symbolic, and dead rows; and companion bills counted under the wrong grain.</w:t>
      </w:r>
    </w:p>
    <w:p w14:paraId="1871FE59"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Automated labels did not decide final classifications. Enacted and pending rows received manual legal review against operative text and source records. Dead rows were reviewed through a combination of targeted queues, substantial samples, and issue-specific checks, with fine-grained legal claims reserved for enacted, pending, or otherwise high-conflict rows whose text could be verified.</w:t>
      </w:r>
    </w:p>
    <w:p w14:paraId="6837555A" w14:textId="77777777" w:rsidR="0006423C" w:rsidRPr="00FA1482" w:rsidRDefault="0006423C" w:rsidP="0006423C">
      <w:pPr>
        <w:pStyle w:val="Heading2"/>
        <w:rPr>
          <w:rFonts w:hint="cs"/>
        </w:rPr>
      </w:pPr>
      <w:bookmarkStart w:id="102" w:name="_Toc229502309"/>
      <w:r w:rsidRPr="00FA1482">
        <w:rPr>
          <w:rFonts w:hint="cs"/>
        </w:rPr>
        <w:t>P. Embeddings, Topics, Template Families, and Diffusion</w:t>
      </w:r>
      <w:bookmarkEnd w:id="102"/>
    </w:p>
    <w:p w14:paraId="2DD2404D"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 xml:space="preserve">The technical layer used several tools to find text relationships that ordinary bill labels miss. Voyage AI embeddings supported semantic search and text-similarity clustering at bill and clause level. </w:t>
      </w:r>
      <w:proofErr w:type="spellStart"/>
      <w:r w:rsidRPr="00FA1482">
        <w:rPr>
          <w:rFonts w:cs="Times New Roman" w:hint="cs"/>
          <w:color w:val="000000" w:themeColor="text1"/>
        </w:rPr>
        <w:t>BERTopic</w:t>
      </w:r>
      <w:proofErr w:type="spellEnd"/>
      <w:r w:rsidRPr="00FA1482">
        <w:rPr>
          <w:rFonts w:cs="Times New Roman" w:hint="cs"/>
          <w:color w:val="000000" w:themeColor="text1"/>
        </w:rPr>
        <w:t>-style topic surfaces identified recurring clause families and issue clusters. Smith-Waterman local sequence alignment and edge-matching workflows identified companion relationships, close reintroductions, template families, definitional borrowing, and repeated clause language.</w:t>
      </w:r>
    </w:p>
    <w:p w14:paraId="75F9A54F"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Similarity evidence was treated as a discovery and validation tool. A high-similarity edge can show common language, template reuse, shared source material, or same-session companion drafting. It does not by itself prove legislative causation. Diffusion claims are stated as descriptive unless direction, sequence, source identity, or public documentation supports a stronger inference.</w:t>
      </w:r>
    </w:p>
    <w:p w14:paraId="0547B1A7" w14:textId="77777777" w:rsidR="0006423C" w:rsidRPr="00FA1482" w:rsidRDefault="0006423C" w:rsidP="0006423C">
      <w:pPr>
        <w:pStyle w:val="Heading2"/>
        <w:rPr>
          <w:rFonts w:hint="cs"/>
        </w:rPr>
      </w:pPr>
      <w:bookmarkStart w:id="103" w:name="_Toc229502310"/>
      <w:r w:rsidRPr="00FA1482">
        <w:rPr>
          <w:rFonts w:hint="cs"/>
        </w:rPr>
        <w:t>Q. Human Review and Source Closeout</w:t>
      </w:r>
      <w:bookmarkEnd w:id="103"/>
    </w:p>
    <w:p w14:paraId="2A770100"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Human legal review controlled the publication-facing labels. Review focused on enacted and pending rows, high-conflict dead rows, boundary classifications, sidecar exclusions, mechanism-primary choices, reach labels, and source/citation mapping. For enacted laws, public-act and codified-law citations were reconciled separately from row counts because one enacted bill may amend several code sections and companion bills may produce one statute.</w:t>
      </w:r>
    </w:p>
    <w:p w14:paraId="326E32B8"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 xml:space="preserve">The source hierarchy for enacted-law citations </w:t>
      </w:r>
      <w:proofErr w:type="gramStart"/>
      <w:r w:rsidRPr="00FA1482">
        <w:rPr>
          <w:rFonts w:cs="Times New Roman" w:hint="cs"/>
          <w:color w:val="000000" w:themeColor="text1"/>
        </w:rPr>
        <w:t>was:</w:t>
      </w:r>
      <w:proofErr w:type="gramEnd"/>
      <w:r>
        <w:rPr>
          <w:rFonts w:cs="Times New Roman"/>
          <w:color w:val="000000" w:themeColor="text1"/>
        </w:rPr>
        <w:t xml:space="preserve"> </w:t>
      </w:r>
      <w:r w:rsidRPr="00FA1482">
        <w:rPr>
          <w:rFonts w:cs="Times New Roman" w:hint="cs"/>
          <w:color w:val="000000" w:themeColor="text1"/>
        </w:rPr>
        <w:t>codified statute;</w:t>
      </w:r>
      <w:r>
        <w:rPr>
          <w:rFonts w:cs="Times New Roman"/>
          <w:color w:val="000000" w:themeColor="text1"/>
        </w:rPr>
        <w:t xml:space="preserve"> </w:t>
      </w:r>
      <w:r w:rsidRPr="00FA1482">
        <w:rPr>
          <w:rFonts w:cs="Times New Roman" w:hint="cs"/>
          <w:color w:val="000000" w:themeColor="text1"/>
        </w:rPr>
        <w:t>session law or public act;</w:t>
      </w:r>
      <w:r>
        <w:rPr>
          <w:rFonts w:cs="Times New Roman"/>
          <w:color w:val="000000" w:themeColor="text1"/>
        </w:rPr>
        <w:t xml:space="preserve"> </w:t>
      </w:r>
      <w:r w:rsidRPr="00FA1482">
        <w:rPr>
          <w:rFonts w:cs="Times New Roman" w:hint="cs"/>
          <w:color w:val="000000" w:themeColor="text1"/>
        </w:rPr>
        <w:t>enrolled bill or official legislative PDF;</w:t>
      </w:r>
      <w:r>
        <w:rPr>
          <w:rFonts w:cs="Times New Roman"/>
          <w:color w:val="000000" w:themeColor="text1"/>
        </w:rPr>
        <w:t xml:space="preserve"> </w:t>
      </w:r>
      <w:r w:rsidRPr="00FA1482">
        <w:rPr>
          <w:rFonts w:cs="Times New Roman" w:hint="cs"/>
          <w:color w:val="000000" w:themeColor="text1"/>
        </w:rPr>
        <w:t>official bill history or state legislative page;</w:t>
      </w:r>
      <w:r>
        <w:rPr>
          <w:rFonts w:cs="Times New Roman"/>
          <w:color w:val="000000" w:themeColor="text1"/>
        </w:rPr>
        <w:t xml:space="preserve"> </w:t>
      </w:r>
      <w:r w:rsidRPr="00FA1482">
        <w:rPr>
          <w:rFonts w:cs="Times New Roman" w:hint="cs"/>
          <w:color w:val="000000" w:themeColor="text1"/>
        </w:rPr>
        <w:t>secondary trackers only as discovery aids or where official source access was unavailable.</w:t>
      </w:r>
    </w:p>
    <w:p w14:paraId="489C8EE4" w14:textId="77777777" w:rsidR="0006423C" w:rsidRPr="00FA1482" w:rsidRDefault="0006423C" w:rsidP="0006423C">
      <w:pPr>
        <w:pStyle w:val="Heading2"/>
        <w:rPr>
          <w:rFonts w:hint="cs"/>
        </w:rPr>
      </w:pPr>
      <w:bookmarkStart w:id="104" w:name="_Toc229502311"/>
      <w:r w:rsidRPr="00FA1482">
        <w:rPr>
          <w:rFonts w:hint="cs"/>
        </w:rPr>
        <w:t>R. Limits</w:t>
      </w:r>
      <w:bookmarkEnd w:id="104"/>
    </w:p>
    <w:p w14:paraId="392296B2" w14:textId="77777777" w:rsidR="0006423C" w:rsidRPr="00FA1482" w:rsidRDefault="0006423C" w:rsidP="0006423C">
      <w:pPr>
        <w:pStyle w:val="AppendixBodyNoIndent"/>
        <w:spacing w:line="360" w:lineRule="auto"/>
        <w:rPr>
          <w:rFonts w:cs="Times New Roman" w:hint="cs"/>
          <w:color w:val="000000" w:themeColor="text1"/>
        </w:rPr>
      </w:pPr>
      <w:r w:rsidRPr="00FA1482">
        <w:rPr>
          <w:rFonts w:cs="Times New Roman" w:hint="cs"/>
          <w:color w:val="000000" w:themeColor="text1"/>
        </w:rPr>
        <w:t>The dataset supports legal and legislative-architecture claims. It does not independently measure firm-level compliance spending, portfolio performance, market-price effects, or causal political diffusion unless a cited source supplies that evidence. Behavioral and fiscal materials are used as evidence of structural pressure or contemporaneous response unless the source supports causal language. Passage-rate claims use resolved denominators; temporal claims use annual attempts; source-coverage claims use filed bill records; and sidecar claims use the relevant sidecar lane.</w:t>
      </w:r>
    </w:p>
    <w:p w14:paraId="7EFC0AA5" w14:textId="77777777" w:rsidR="0006423C" w:rsidRPr="007E5AAF" w:rsidRDefault="0006423C" w:rsidP="0006423C">
      <w:pPr>
        <w:pStyle w:val="BodyText"/>
        <w:rPr>
          <w:color w:val="000000" w:themeColor="text1"/>
        </w:rPr>
      </w:pPr>
    </w:p>
    <w:bookmarkEnd w:id="84"/>
    <w:p w14:paraId="6E416852" w14:textId="77777777" w:rsidR="0006423C" w:rsidRDefault="0006423C">
      <w:pPr>
        <w:pStyle w:val="BodyText"/>
        <w:rPr>
          <w:color w:val="000000" w:themeColor="text1"/>
        </w:rPr>
      </w:pPr>
    </w:p>
    <w:sectPr w:rsidR="0006423C">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2678" w14:textId="77777777" w:rsidR="00E0077A" w:rsidRDefault="00E0077A">
      <w:pPr>
        <w:spacing w:line="240" w:lineRule="auto"/>
      </w:pPr>
      <w:r>
        <w:separator/>
      </w:r>
    </w:p>
  </w:endnote>
  <w:endnote w:type="continuationSeparator" w:id="0">
    <w:p w14:paraId="7EEBC610" w14:textId="77777777" w:rsidR="00E0077A" w:rsidRDefault="00E00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2FE4" w14:textId="77777777" w:rsidR="00E0077A" w:rsidRDefault="00E0077A">
      <w:pPr>
        <w:spacing w:line="240" w:lineRule="auto"/>
      </w:pPr>
      <w:r>
        <w:separator/>
      </w:r>
    </w:p>
  </w:footnote>
  <w:footnote w:type="continuationSeparator" w:id="0">
    <w:p w14:paraId="23F4E69B" w14:textId="77777777" w:rsidR="00E0077A" w:rsidRDefault="00E0077A">
      <w:pPr>
        <w:spacing w:line="240" w:lineRule="auto"/>
      </w:pPr>
      <w:r>
        <w:continuationSeparator/>
      </w:r>
    </w:p>
  </w:footnote>
  <w:footnote w:id="1">
    <w:p w14:paraId="407ABC69" w14:textId="1027D607" w:rsidR="005F5ACD" w:rsidRDefault="00000000">
      <w:pPr>
        <w:pStyle w:val="FootnoteText"/>
      </w:pPr>
      <w:r>
        <w:rPr>
          <w:rStyle w:val="FootnoteReference"/>
        </w:rPr>
        <w:footnoteRef/>
      </w:r>
      <w:r>
        <w:t xml:space="preserve"> David J. Berger, David H. Webber &amp; Beth M. Young, </w:t>
      </w:r>
      <w:r>
        <w:rPr>
          <w:i/>
          <w:iCs/>
        </w:rPr>
        <w:t>The Liability Trap: Why the ALEC Anti-ESG Bills Create a Legal Quagmire for Fiduciaries Connected with Public Pensions</w:t>
      </w:r>
      <w:r>
        <w:t xml:space="preserve"> (SSRN Working Paper No. 4360119, Feb. 15, 2023) (arguing conflicting Anti-ESG fiduciary obligations across states expose pension managers to simultaneous legal liability).</w:t>
      </w:r>
    </w:p>
  </w:footnote>
  <w:footnote w:id="2">
    <w:p w14:paraId="3F9AD71F" w14:textId="77777777" w:rsidR="005F5ACD" w:rsidRDefault="00000000">
      <w:pPr>
        <w:pStyle w:val="FootnoteText"/>
      </w:pPr>
      <w:r>
        <w:rPr>
          <w:rStyle w:val="FootnoteReference"/>
        </w:rPr>
        <w:footnoteRef/>
      </w:r>
      <w:r>
        <w:t xml:space="preserve"> Where chamber-paired bills or close same-session variants produce a single statute, they are counted as one law. See Methodology Appendix Tables A–C.</w:t>
      </w:r>
    </w:p>
  </w:footnote>
  <w:footnote w:id="3">
    <w:p w14:paraId="323B84F9" w14:textId="77777777" w:rsidR="005F5ACD" w:rsidRDefault="00000000">
      <w:pPr>
        <w:pStyle w:val="FootnoteText"/>
      </w:pPr>
      <w:r>
        <w:rPr>
          <w:rStyle w:val="FootnoteReference"/>
        </w:rPr>
        <w:footnoteRef/>
      </w:r>
      <w:r>
        <w:t xml:space="preserve"> 2023 Ark. Acts No. 498 (H.B. 1253), codified at Ark. Code Ann. § 24-2-802(2)(B)(ii); Ch. 175, 2023 Mont. Laws (H.B. 228), codified at Mont. Code Ann. § 17-6-231(1)(b); 2023 Kan. Sess. Laws ch. 80 (H.B. 2100), codified at Kan. Stat. Ann. §§ 75-42a01 to 75-42a06, 74-4921; 2025 Wyo. Sess. Laws ch. 151 (S.F. 191), codified at Wyo. Stat. § 9-4-722; 2025 Ark. Acts No. 308 (H.B. 1307), codified at Ark. Code Ann. §§ 28-69-802, 28-69-803.</w:t>
      </w:r>
    </w:p>
  </w:footnote>
  <w:footnote w:id="4">
    <w:p w14:paraId="30690D97" w14:textId="0D542576" w:rsidR="005F5ACD" w:rsidRDefault="00000000">
      <w:pPr>
        <w:pStyle w:val="FootnoteText"/>
      </w:pPr>
      <w:r>
        <w:rPr>
          <w:rStyle w:val="FootnoteReference"/>
        </w:rPr>
        <w:footnoteRef/>
      </w:r>
      <w:r>
        <w:t xml:space="preserve"> </w:t>
      </w:r>
      <w:r>
        <w:rPr>
          <w:i/>
          <w:iCs/>
        </w:rPr>
        <w:t>Keenan v. Russ</w:t>
      </w:r>
      <w:r>
        <w:t xml:space="preserve">, 2026 OK 20, ¶ 60 (Okla. Apr. 7, 2026); </w:t>
      </w:r>
      <w:r>
        <w:rPr>
          <w:i/>
          <w:iCs/>
        </w:rPr>
        <w:t>American Sustainable Business Council v. Hegar</w:t>
      </w:r>
      <w:r>
        <w:t xml:space="preserve">, No. 1:24-cv-01010 (W.D. Tex. Feb. 4, 2026); </w:t>
      </w:r>
      <w:r>
        <w:rPr>
          <w:i/>
          <w:iCs/>
        </w:rPr>
        <w:t>Glass Lewis &amp; Co., LLC v. Paxton</w:t>
      </w:r>
      <w:r>
        <w:t xml:space="preserve">, No. 1:25-cv-01153 (W.D. Tex. Aug. 29, 2025); </w:t>
      </w:r>
      <w:r>
        <w:rPr>
          <w:i/>
          <w:iCs/>
        </w:rPr>
        <w:t xml:space="preserve">Institutional </w:t>
      </w:r>
      <w:proofErr w:type="spellStart"/>
      <w:r>
        <w:rPr>
          <w:i/>
          <w:iCs/>
        </w:rPr>
        <w:t>S</w:t>
      </w:r>
      <w:r w:rsidR="00B62085">
        <w:rPr>
          <w:i/>
          <w:iCs/>
        </w:rPr>
        <w:t>’</w:t>
      </w:r>
      <w:r>
        <w:rPr>
          <w:i/>
          <w:iCs/>
        </w:rPr>
        <w:t>holder</w:t>
      </w:r>
      <w:proofErr w:type="spellEnd"/>
      <w:r>
        <w:rPr>
          <w:i/>
          <w:iCs/>
        </w:rPr>
        <w:t xml:space="preserve"> Servs., Inc. v. Paxton</w:t>
      </w:r>
      <w:r>
        <w:t>, No. 1:25-cv-01160 (W.D. Tex. Aug. 29, 2025).</w:t>
      </w:r>
    </w:p>
  </w:footnote>
  <w:footnote w:id="5">
    <w:p w14:paraId="493B181F" w14:textId="5ED90CD6" w:rsidR="005F5ACD" w:rsidRDefault="00000000">
      <w:pPr>
        <w:pStyle w:val="FootnoteText"/>
      </w:pPr>
      <w:r>
        <w:rPr>
          <w:rStyle w:val="FootnoteReference"/>
        </w:rPr>
        <w:footnoteRef/>
      </w:r>
      <w:r>
        <w:t xml:space="preserve"> Daniel G. Garrett &amp; Ivan T. Ivanov, </w:t>
      </w:r>
      <w:r>
        <w:rPr>
          <w:i/>
          <w:iCs/>
        </w:rPr>
        <w:t>Gas, Guns, and Governments: Financial Costs of Anti-ESG Policies</w:t>
      </w:r>
      <w:r>
        <w:t xml:space="preserve"> 1, 4, 8, 17–18 (Fed. Reserve Bank of Chi., Working Paper No. 2023-07, 2023), https://doi.org/10.21033/wp-2023-07</w:t>
      </w:r>
      <w:r w:rsidR="001A3FB3">
        <w:t>.</w:t>
      </w:r>
    </w:p>
  </w:footnote>
  <w:footnote w:id="6">
    <w:p w14:paraId="7B1934ED" w14:textId="7FDBA8D0" w:rsidR="005F5ACD" w:rsidRDefault="00000000">
      <w:pPr>
        <w:pStyle w:val="FootnoteText"/>
      </w:pPr>
      <w:r>
        <w:rPr>
          <w:rStyle w:val="FootnoteReference"/>
        </w:rPr>
        <w:footnoteRef/>
      </w:r>
      <w:r>
        <w:t xml:space="preserve"> </w:t>
      </w:r>
      <w:r>
        <w:rPr>
          <w:i/>
          <w:iCs/>
        </w:rPr>
        <w:t>Keenan</w:t>
      </w:r>
      <w:r>
        <w:t xml:space="preserve">, 2026 OK 20, ¶ 41 (5-3 decision). </w:t>
      </w:r>
      <w:r w:rsidR="001A3FB3">
        <w:t>(</w:t>
      </w:r>
      <w:r>
        <w:t>$9.7 million is OPERS</w:t>
      </w:r>
      <w:r w:rsidR="00B62085">
        <w:t>’</w:t>
      </w:r>
      <w:r>
        <w:t>s forward-looking litigation-record estimate of one-time switching costs if compelled to comply with the EDEA, it featured in the court</w:t>
      </w:r>
      <w:r w:rsidR="00B62085">
        <w:t>’</w:t>
      </w:r>
      <w:r>
        <w:t>s dual-purpose analysis under Okla. Const. Art. XXIII, § 12</w:t>
      </w:r>
      <w:r w:rsidR="001A3FB3">
        <w:t>).</w:t>
      </w:r>
    </w:p>
  </w:footnote>
  <w:footnote w:id="7">
    <w:p w14:paraId="111055DF" w14:textId="6F89B2C6" w:rsidR="005F5ACD" w:rsidRDefault="00000000">
      <w:pPr>
        <w:pStyle w:val="FootnoteText"/>
      </w:pPr>
      <w:r>
        <w:rPr>
          <w:rStyle w:val="FootnoteReference"/>
        </w:rPr>
        <w:footnoteRef/>
      </w:r>
      <w:r>
        <w:t xml:space="preserve"> Indiana Legislative Services Agency, Fiscal Impact Statement on H.B. 1008 (Feb. 14, 2023) (nonpartisan LSA analysis projecting an approximately $6.7 billion reduction in Indiana Public Retirement System (INPRS) investment returns over ten years, with annualized return falling from approximately 6.25% to 5.05%, and projected increased state contributions of $550–$600 million annually to maintain pension solvency). After legislative-record pushback from the Indiana Chamber of Commerce, the Indiana Bankers Association, and the Indiana Public Retirement System (INPRS), the bill was amended to narrow its scope; the LSA</w:t>
      </w:r>
      <w:r w:rsidR="00B62085">
        <w:t>’</w:t>
      </w:r>
      <w:r>
        <w:t>s revised analysis projected a residual cost of approximately $5.5 million over ten years.</w:t>
      </w:r>
    </w:p>
  </w:footnote>
  <w:footnote w:id="8">
    <w:p w14:paraId="3ABB0389" w14:textId="3158C0F6" w:rsidR="005F5ACD" w:rsidRDefault="00000000">
      <w:pPr>
        <w:pStyle w:val="FootnoteText"/>
      </w:pPr>
      <w:r>
        <w:rPr>
          <w:rStyle w:val="FootnoteReference"/>
        </w:rPr>
        <w:footnoteRef/>
      </w:r>
      <w:r>
        <w:t xml:space="preserve"> Elizabeth Pollman, </w:t>
      </w:r>
      <w:r>
        <w:rPr>
          <w:i/>
          <w:iCs/>
        </w:rPr>
        <w:t>The Making and Meaning of ESG</w:t>
      </w:r>
      <w:r>
        <w:t>, 14 Harv. Bus. L. Rev. 403, 404, 407 (2024) (</w:t>
      </w:r>
      <w:r w:rsidR="00B62085">
        <w:t>“</w:t>
      </w:r>
      <w:r>
        <w:t>shapeshifts</w:t>
      </w:r>
      <w:r w:rsidR="00B62085">
        <w:t>”</w:t>
      </w:r>
      <w:r>
        <w:t xml:space="preserve"> at 404; </w:t>
      </w:r>
      <w:r w:rsidR="00B62085">
        <w:t>“</w:t>
      </w:r>
      <w:r>
        <w:t>highly flexible moniker</w:t>
      </w:r>
      <w:r w:rsidR="00B62085">
        <w:t>”</w:t>
      </w:r>
      <w:r>
        <w:t xml:space="preserve"> at 407); Ann M. Lipton, </w:t>
      </w:r>
      <w:r>
        <w:rPr>
          <w:i/>
          <w:iCs/>
        </w:rPr>
        <w:t>Boden Lecture: Of Chameleons and ESG</w:t>
      </w:r>
      <w:r>
        <w:t xml:space="preserve">, 107 Marq. L. Rev. 597, 621 (2024) (political-capture / dialectic frame); Dorothy S. Lund &amp; Elizabeth Pollman, </w:t>
      </w:r>
      <w:r>
        <w:rPr>
          <w:i/>
          <w:iCs/>
        </w:rPr>
        <w:t>The Corporate Governance Machine</w:t>
      </w:r>
      <w:r>
        <w:t>, 121 Colum. L. Rev. 2563 (2021).</w:t>
      </w:r>
    </w:p>
  </w:footnote>
  <w:footnote w:id="9">
    <w:p w14:paraId="33836919" w14:textId="587DAD90" w:rsidR="005F5ACD" w:rsidRDefault="00000000">
      <w:pPr>
        <w:pStyle w:val="FootnoteText"/>
      </w:pPr>
      <w:r>
        <w:rPr>
          <w:rStyle w:val="FootnoteReference"/>
        </w:rPr>
        <w:footnoteRef/>
      </w:r>
      <w:r>
        <w:t xml:space="preserve"> Eur. Banking Auth., </w:t>
      </w:r>
      <w:r>
        <w:rPr>
          <w:i/>
          <w:iCs/>
        </w:rPr>
        <w:t>Final Guidelines on the Management of Environmental, Social and Governance Risks</w:t>
      </w:r>
      <w:r>
        <w:t xml:space="preserve"> (Jan. 2025) [hereinafter EBA, </w:t>
      </w:r>
      <w:r>
        <w:rPr>
          <w:i/>
          <w:iCs/>
        </w:rPr>
        <w:t>Final Guidelines</w:t>
      </w:r>
      <w:r>
        <w:t xml:space="preserve">]; Australian Prudential Regulation Auth., </w:t>
      </w:r>
      <w:r>
        <w:rPr>
          <w:i/>
          <w:iCs/>
        </w:rPr>
        <w:t>Prudential Practice Guide CPG 229: Climate Change Financial Risks</w:t>
      </w:r>
      <w:r>
        <w:t xml:space="preserve"> (2021); Network for Greening the Fin. Sys., </w:t>
      </w:r>
      <w:r>
        <w:rPr>
          <w:i/>
          <w:iCs/>
        </w:rPr>
        <w:t>NGFS Climate Scenarios for Central Banks and Supervisors</w:t>
      </w:r>
      <w:r>
        <w:t xml:space="preserve"> (Phase V update, Nov. 2024); IFRS Foundation, </w:t>
      </w:r>
      <w:r>
        <w:rPr>
          <w:i/>
          <w:iCs/>
        </w:rPr>
        <w:t>IFRS S2: Climate-related Disclosures</w:t>
      </w:r>
      <w:r>
        <w:t xml:space="preserve"> (2023); </w:t>
      </w:r>
      <w:r>
        <w:rPr>
          <w:i/>
          <w:iCs/>
        </w:rPr>
        <w:t>Joint Principles for Climate-Related Financial Risk Management for Large Financial Institutions</w:t>
      </w:r>
      <w:r>
        <w:t xml:space="preserve">, 88 Fed. Reg. 74,183 (Oct. 30, 2023) (Federal Reserve / OCC / FDIC); Basel Comm. on Banking Supervision, </w:t>
      </w:r>
      <w:r>
        <w:rPr>
          <w:i/>
          <w:iCs/>
        </w:rPr>
        <w:t>Principles for the Effective Management and Supervision of Climate-Related Financial Risks</w:t>
      </w:r>
      <w:r>
        <w:t xml:space="preserve"> (Bank for Int</w:t>
      </w:r>
      <w:r w:rsidR="00B62085">
        <w:t>’</w:t>
      </w:r>
      <w:r>
        <w:t>l Settlements, June 2022); Int</w:t>
      </w:r>
      <w:r w:rsidR="00B62085">
        <w:t>’</w:t>
      </w:r>
      <w:r>
        <w:t xml:space="preserve">l </w:t>
      </w:r>
      <w:proofErr w:type="spellStart"/>
      <w:r>
        <w:t>Ass</w:t>
      </w:r>
      <w:r w:rsidR="00B62085">
        <w:t>’</w:t>
      </w:r>
      <w:r>
        <w:t>n</w:t>
      </w:r>
      <w:proofErr w:type="spellEnd"/>
      <w:r>
        <w:t xml:space="preserve"> of Ins. Supervisors &amp; Sustainable Ins. Forum, </w:t>
      </w:r>
      <w:r>
        <w:rPr>
          <w:i/>
          <w:iCs/>
        </w:rPr>
        <w:t>Application Paper on the Supervision of Climate-Related Risks in the Insurance Sector</w:t>
      </w:r>
      <w:r>
        <w:t xml:space="preserve"> (May 2021).</w:t>
      </w:r>
    </w:p>
  </w:footnote>
  <w:footnote w:id="10">
    <w:p w14:paraId="5363C51D" w14:textId="73D0B8D7" w:rsidR="005F5ACD" w:rsidRDefault="00000000">
      <w:pPr>
        <w:pStyle w:val="FootnoteText"/>
      </w:pPr>
      <w:r>
        <w:rPr>
          <w:rStyle w:val="FootnoteReference"/>
        </w:rPr>
        <w:footnoteRef/>
      </w:r>
      <w:r>
        <w:t xml:space="preserve"> Jeffrey N. Gordon, </w:t>
      </w:r>
      <w:r>
        <w:rPr>
          <w:i/>
          <w:iCs/>
        </w:rPr>
        <w:t>Unbundling Climate Change Risk from ESG</w:t>
      </w:r>
      <w:r>
        <w:t xml:space="preserve">, Colum. L. &amp; Econ. Working Paper No. 667 (Aug. 19, 2023), at 3–4 (climate-change risk </w:t>
      </w:r>
      <w:r w:rsidR="00B62085">
        <w:t>“</w:t>
      </w:r>
      <w:r>
        <w:t>falls squarely in the shareholder value domain, at least from the perspective of a portfolio investor. The expected value of unaddressed climate change risk for the global economy is massively negative…[A]ddressing climate change stands on a finance case... disruptions associated with various realizations of climate change risk will spread across the entire economy and thus across a diversified stock portfolio…This pure financial case does not generally obtain for other elements of ESG.</w:t>
      </w:r>
      <w:r w:rsidR="00B62085">
        <w:t>”</w:t>
      </w:r>
      <w:r>
        <w:t xml:space="preserve">); </w:t>
      </w:r>
      <w:r>
        <w:rPr>
          <w:i/>
          <w:iCs/>
        </w:rPr>
        <w:t>id.</w:t>
      </w:r>
      <w:r>
        <w:t xml:space="preserve"> at 12 (</w:t>
      </w:r>
      <w:r w:rsidR="00B62085">
        <w:t>“</w:t>
      </w:r>
      <w:r>
        <w:t>[C]</w:t>
      </w:r>
      <w:proofErr w:type="spellStart"/>
      <w:r>
        <w:t>limate</w:t>
      </w:r>
      <w:proofErr w:type="spellEnd"/>
      <w:r>
        <w:t xml:space="preserve"> change must be unbundled from the rest of ESG. It is singular and prior.</w:t>
      </w:r>
      <w:r w:rsidR="00B62085">
        <w:t>”</w:t>
      </w:r>
      <w:r>
        <w:t xml:space="preserve">). The broader stewardship-theory thesis appears in Jeffrey N. Gordon, </w:t>
      </w:r>
      <w:r>
        <w:rPr>
          <w:i/>
          <w:iCs/>
        </w:rPr>
        <w:t>Systematic Stewardship</w:t>
      </w:r>
      <w:r>
        <w:t xml:space="preserve">, 47 J. Corp. L. 627 (2022); see also Jeffrey N. Gordon, </w:t>
      </w:r>
      <w:r>
        <w:rPr>
          <w:i/>
          <w:iCs/>
        </w:rPr>
        <w:t>Systematic Stewardship: It</w:t>
      </w:r>
      <w:r w:rsidR="00B62085">
        <w:rPr>
          <w:i/>
          <w:iCs/>
        </w:rPr>
        <w:t>’</w:t>
      </w:r>
      <w:r>
        <w:rPr>
          <w:i/>
          <w:iCs/>
        </w:rPr>
        <w:t>s Up to the Shareholders</w:t>
      </w:r>
      <w:r w:rsidR="00B62085">
        <w:rPr>
          <w:i/>
          <w:iCs/>
        </w:rPr>
        <w:t>—</w:t>
      </w:r>
      <w:r>
        <w:rPr>
          <w:i/>
          <w:iCs/>
        </w:rPr>
        <w:t>A Response to Profs. Kahan and Rock</w:t>
      </w:r>
      <w:r>
        <w:t>, 48 J. Corp. L. 26 (2023).</w:t>
      </w:r>
    </w:p>
  </w:footnote>
  <w:footnote w:id="11">
    <w:p w14:paraId="358DCBFE" w14:textId="77777777" w:rsidR="005F5ACD" w:rsidRDefault="00000000">
      <w:pPr>
        <w:pStyle w:val="FootnoteText"/>
      </w:pPr>
      <w:r>
        <w:rPr>
          <w:rStyle w:val="FootnoteReference"/>
        </w:rPr>
        <w:footnoteRef/>
      </w:r>
      <w:r>
        <w:t xml:space="preserve"> </w:t>
      </w:r>
      <w:r>
        <w:rPr>
          <w:i/>
          <w:iCs/>
        </w:rPr>
        <w:t>See sources cited supra</w:t>
      </w:r>
      <w:r>
        <w:t xml:space="preserve"> note 9.</w:t>
      </w:r>
    </w:p>
  </w:footnote>
  <w:footnote w:id="12">
    <w:p w14:paraId="1BD79CAD" w14:textId="77777777" w:rsidR="005F5ACD" w:rsidRDefault="00000000">
      <w:pPr>
        <w:pStyle w:val="FootnoteText"/>
      </w:pPr>
      <w:r>
        <w:rPr>
          <w:rStyle w:val="FootnoteReference"/>
        </w:rPr>
        <w:footnoteRef/>
      </w:r>
      <w:r>
        <w:t xml:space="preserve"> Philipp Krueger, Zacharias Sautner &amp; Laura T. Starks, </w:t>
      </w:r>
      <w:r>
        <w:rPr>
          <w:i/>
          <w:iCs/>
        </w:rPr>
        <w:t>The Importance of Climate Risks for Institutional Investors</w:t>
      </w:r>
      <w:r>
        <w:t>, 33 Rev. Fin. Stud. 1067 (2020).</w:t>
      </w:r>
    </w:p>
  </w:footnote>
  <w:footnote w:id="13">
    <w:p w14:paraId="39A264AD" w14:textId="650BF894" w:rsidR="005F5ACD" w:rsidRDefault="00000000">
      <w:pPr>
        <w:pStyle w:val="FootnoteText"/>
      </w:pPr>
      <w:r>
        <w:rPr>
          <w:rStyle w:val="FootnoteReference"/>
        </w:rPr>
        <w:footnoteRef/>
      </w:r>
      <w:r>
        <w:t xml:space="preserve"> Max M. Schanzenbach &amp; Robert H. Sitkoff, </w:t>
      </w:r>
      <w:r>
        <w:rPr>
          <w:i/>
          <w:iCs/>
        </w:rPr>
        <w:t>Reconciling Fiduciary Duty and Social Conscience: The Law and Economics of ESG Investing by a Trustee</w:t>
      </w:r>
      <w:r>
        <w:t xml:space="preserve">, 72 Stan. L. Rev. 381 (2020); Max M. Schanzenbach &amp; Robert H. Sitkoff, </w:t>
      </w:r>
      <w:r>
        <w:rPr>
          <w:i/>
          <w:iCs/>
        </w:rPr>
        <w:t>Comment Letter on the Department of Labor</w:t>
      </w:r>
      <w:r w:rsidR="00B62085">
        <w:rPr>
          <w:i/>
          <w:iCs/>
        </w:rPr>
        <w:t>’</w:t>
      </w:r>
      <w:r>
        <w:rPr>
          <w:i/>
          <w:iCs/>
        </w:rPr>
        <w:t>s Proposed Rulemaking on Financial Factors in Selecting Plan Investments</w:t>
      </w:r>
      <w:r>
        <w:t xml:space="preserve"> (Dec. 13, 2021), https://ssrn.com/abstract=3985618.</w:t>
      </w:r>
    </w:p>
  </w:footnote>
  <w:footnote w:id="14">
    <w:p w14:paraId="25FD13CC" w14:textId="77777777" w:rsidR="005F5ACD" w:rsidRDefault="00000000">
      <w:pPr>
        <w:pStyle w:val="FootnoteText"/>
      </w:pPr>
      <w:r>
        <w:rPr>
          <w:rStyle w:val="FootnoteReference"/>
        </w:rPr>
        <w:footnoteRef/>
      </w:r>
      <w:r>
        <w:t xml:space="preserve"> CFA Inst., </w:t>
      </w:r>
      <w:r>
        <w:rPr>
          <w:i/>
          <w:iCs/>
        </w:rPr>
        <w:t>Environmental, Social, and Governance Issues in Investing: A Guide for Investment Professionals</w:t>
      </w:r>
      <w:r>
        <w:t xml:space="preserve"> (2019) (practitioner taxonomy integrating ESG factors into investment analysis under a financial-materiality framework).</w:t>
      </w:r>
    </w:p>
  </w:footnote>
  <w:footnote w:id="15">
    <w:p w14:paraId="78ED2F81" w14:textId="5EDE098C" w:rsidR="005F5ACD" w:rsidRDefault="00000000">
      <w:pPr>
        <w:pStyle w:val="FootnoteText"/>
      </w:pPr>
      <w:r>
        <w:rPr>
          <w:rStyle w:val="FootnoteReference"/>
        </w:rPr>
        <w:footnoteRef/>
      </w:r>
      <w:r>
        <w:t xml:space="preserve"> Unless otherwise noted, the empirical figures in this Article are drawn from the Author</w:t>
      </w:r>
      <w:r w:rsidR="00B62085">
        <w:t>’</w:t>
      </w:r>
      <w:r>
        <w:t>s original dataset of state climate-facing ESG bills and enacted laws, 2018–2026, coded at the bill-action/law-unit level and classified by stance, legal channel, binding status, and affected target. Because the 2025–2026 legislative cycle is still in progress, counts for those years are partial. The dataset, coding rules, and construction notes are documented in the Methodology Appendix.</w:t>
      </w:r>
    </w:p>
  </w:footnote>
  <w:footnote w:id="16">
    <w:p w14:paraId="3E44631F" w14:textId="1EA11A25" w:rsidR="005F5ACD" w:rsidRDefault="00000000">
      <w:pPr>
        <w:pStyle w:val="FootnoteText"/>
      </w:pPr>
      <w:r>
        <w:rPr>
          <w:rStyle w:val="FootnoteReference"/>
        </w:rPr>
        <w:footnoteRef/>
      </w:r>
      <w:r>
        <w:t xml:space="preserve"> Author</w:t>
      </w:r>
      <w:r w:rsidR="00B62085">
        <w:t>’</w:t>
      </w:r>
      <w:r>
        <w:t>s dataset.</w:t>
      </w:r>
    </w:p>
  </w:footnote>
  <w:footnote w:id="17">
    <w:p w14:paraId="609B6E75" w14:textId="77777777" w:rsidR="005F5ACD" w:rsidRDefault="00000000">
      <w:pPr>
        <w:pStyle w:val="FootnoteText"/>
      </w:pPr>
      <w:r>
        <w:rPr>
          <w:rStyle w:val="FootnoteReference"/>
        </w:rPr>
        <w:footnoteRef/>
      </w:r>
      <w:r>
        <w:t xml:space="preserve"> </w:t>
      </w:r>
      <w:r>
        <w:rPr>
          <w:i/>
          <w:iCs/>
        </w:rPr>
        <w:t>See sources cited supra</w:t>
      </w:r>
      <w:r>
        <w:t xml:space="preserve"> note 9 (EBA, APRA, NGFS, IFRS, U.S. Joint Principles, Basel, IAIS/SIF).</w:t>
      </w:r>
    </w:p>
  </w:footnote>
  <w:footnote w:id="18">
    <w:p w14:paraId="45E9624F" w14:textId="77777777" w:rsidR="005F5ACD" w:rsidRDefault="00000000">
      <w:pPr>
        <w:pStyle w:val="FootnoteText"/>
      </w:pPr>
      <w:r>
        <w:rPr>
          <w:rStyle w:val="FootnoteReference"/>
        </w:rPr>
        <w:footnoteRef/>
      </w:r>
      <w:r>
        <w:t xml:space="preserve"> Financial Factors in Selecting Plan Investments (Final Rule), 85 Fed. Reg. 81,658 (Dec. 16, 2020) (DOL/EBSA); Prudence and Loyalty in Selecting Plan Investments and Exercising Shareholder Rights (Final Rule), 87 Fed. Reg. 73,822 (Nov. 22, 2022) (DOL/EBSA).</w:t>
      </w:r>
    </w:p>
  </w:footnote>
  <w:footnote w:id="19">
    <w:p w14:paraId="256D4871" w14:textId="77777777" w:rsidR="005F5ACD" w:rsidRDefault="00000000">
      <w:pPr>
        <w:pStyle w:val="FootnoteText"/>
      </w:pPr>
      <w:r>
        <w:rPr>
          <w:rStyle w:val="FootnoteReference"/>
        </w:rPr>
        <w:footnoteRef/>
      </w:r>
      <w:r>
        <w:t xml:space="preserve"> For the supervisory-scenario architecture, see Network for Greening the Fin. Sys., </w:t>
      </w:r>
      <w:r>
        <w:rPr>
          <w:i/>
          <w:iCs/>
        </w:rPr>
        <w:t>NGFS Climate Scenarios for Central Banks and Supervisors</w:t>
      </w:r>
      <w:r>
        <w:t xml:space="preserve"> (Phase V update, Nov. 2024); Network for Greening the Fin. Sys., </w:t>
      </w:r>
      <w:r>
        <w:rPr>
          <w:i/>
          <w:iCs/>
        </w:rPr>
        <w:t>A Call for Action: Climate Change as a Source of Financial Risk</w:t>
      </w:r>
      <w:r>
        <w:t xml:space="preserve"> (Apr. 2019). The scenario architecture standard among NGFS member supervisors covers orderly-transition, disorderly-transition, and hot-house pathways across multiple decades.</w:t>
      </w:r>
    </w:p>
  </w:footnote>
  <w:footnote w:id="20">
    <w:p w14:paraId="6C80E56C" w14:textId="3201F8E4" w:rsidR="005F5ACD" w:rsidRDefault="00000000">
      <w:pPr>
        <w:pStyle w:val="FootnoteText"/>
      </w:pPr>
      <w:r>
        <w:rPr>
          <w:rStyle w:val="FootnoteReference"/>
        </w:rPr>
        <w:footnoteRef/>
      </w:r>
      <w:r>
        <w:t xml:space="preserve"> Representative practitioner methodologies include MSCI Inc., </w:t>
      </w:r>
      <w:r>
        <w:rPr>
          <w:i/>
          <w:iCs/>
        </w:rPr>
        <w:t>Climate Value-at-Risk: Methodology</w:t>
      </w:r>
      <w:r>
        <w:t xml:space="preserve"> (integrating transition-policy scenarios and physical-hazard data into security-level value-at-risk metrics); BlackRock</w:t>
      </w:r>
      <w:r w:rsidR="00B62085">
        <w:t>’</w:t>
      </w:r>
      <w:r>
        <w:t xml:space="preserve">s </w:t>
      </w:r>
      <w:r>
        <w:rPr>
          <w:i/>
          <w:iCs/>
        </w:rPr>
        <w:t>Aladdin Climate</w:t>
      </w:r>
      <w:r>
        <w:t xml:space="preserve"> platform (climate-adjusted valuations and portfolio risk decomposition); and S&amp;P Global Sustainable1</w:t>
      </w:r>
      <w:r w:rsidR="00B62085">
        <w:t>’</w:t>
      </w:r>
      <w:r>
        <w:t>s physical-risk analytics for asset-level exposure modeling. The methodologies are referenced as industry-standard products, not as legal authority for any specific risk computation.</w:t>
      </w:r>
    </w:p>
  </w:footnote>
  <w:footnote w:id="21">
    <w:p w14:paraId="27EE604A" w14:textId="39FA0D14" w:rsidR="005F5ACD" w:rsidRDefault="00000000">
      <w:pPr>
        <w:pStyle w:val="FootnoteText"/>
      </w:pPr>
      <w:r>
        <w:rPr>
          <w:rStyle w:val="FootnoteReference"/>
        </w:rPr>
        <w:footnoteRef/>
      </w:r>
      <w:r>
        <w:t xml:space="preserve"> UN Env</w:t>
      </w:r>
      <w:r w:rsidR="00B62085">
        <w:t>’</w:t>
      </w:r>
      <w:r>
        <w:t xml:space="preserve">t </w:t>
      </w:r>
      <w:proofErr w:type="spellStart"/>
      <w:r>
        <w:t>Programme</w:t>
      </w:r>
      <w:proofErr w:type="spellEnd"/>
      <w:r>
        <w:t xml:space="preserve"> Fin. Initiative, </w:t>
      </w:r>
      <w:r>
        <w:rPr>
          <w:i/>
          <w:iCs/>
        </w:rPr>
        <w:t>The 2023 Climate Risk Landscape: Technical Supplement</w:t>
      </w:r>
      <w:r>
        <w:t xml:space="preserve"> tbl. 1, at 4 (June 2023) (cataloging fifteen named vendor methodologies, including BlackRock Aladdin Climate, MSCI Climate VaR, S&amp;P Sustainable1 Climanomics, ISS ESG Climate Analytics Suite, Moody</w:t>
      </w:r>
      <w:r w:rsidR="00B62085">
        <w:t>’</w:t>
      </w:r>
      <w:r>
        <w:t xml:space="preserve">s/RMS Climate Solutions, and Oliver Wyman/S&amp;P Climate Credit Analytics; convened across a 44-bank-and-investor consortium); BlackRock, </w:t>
      </w:r>
      <w:r>
        <w:rPr>
          <w:i/>
          <w:iCs/>
        </w:rPr>
        <w:t>Aladdin Climate</w:t>
      </w:r>
      <w:r>
        <w:t xml:space="preserve"> methodology materials; S&amp;P Global, </w:t>
      </w:r>
      <w:r>
        <w:rPr>
          <w:i/>
          <w:iCs/>
        </w:rPr>
        <w:t>Sustainable1 Physical Risk</w:t>
      </w:r>
      <w:r>
        <w:t xml:space="preserve"> methodology materials.</w:t>
      </w:r>
    </w:p>
  </w:footnote>
  <w:footnote w:id="22">
    <w:p w14:paraId="7EF0BAB0" w14:textId="1BDF4420" w:rsidR="005F5ACD" w:rsidRDefault="00000000">
      <w:pPr>
        <w:pStyle w:val="FootnoteText"/>
      </w:pPr>
      <w:r>
        <w:rPr>
          <w:rStyle w:val="FootnoteReference"/>
        </w:rPr>
        <w:footnoteRef/>
      </w:r>
      <w:r>
        <w:t xml:space="preserve"> Mozaffar Khan, George Serafeim &amp; Aaron Yoon, </w:t>
      </w:r>
      <w:r>
        <w:rPr>
          <w:i/>
          <w:iCs/>
        </w:rPr>
        <w:t>Corporate Sustainability: First Evidence on Materiality</w:t>
      </w:r>
      <w:r>
        <w:t>, 91 Acct. Rev. 1697, 1705 (2016) (</w:t>
      </w:r>
      <w:r w:rsidR="00B62085">
        <w:t>“</w:t>
      </w:r>
      <w:r>
        <w:t>SASB uses the SEC definition of materiality as interpreted by the U.S. Supreme Court … material information is defined as presenting a substantial likelihood that the disclosure of the omitted fact would have been viewed by the reasonable investor as having significantly altered the total mix of information made available.</w:t>
      </w:r>
      <w:r w:rsidR="00B62085">
        <w:t>”</w:t>
      </w:r>
      <w:r>
        <w:t xml:space="preserve"> (citing </w:t>
      </w:r>
      <w:r>
        <w:rPr>
          <w:i/>
          <w:iCs/>
        </w:rPr>
        <w:t>TSC Indus., Inc. v. Northway, Inc.</w:t>
      </w:r>
      <w:r>
        <w:t xml:space="preserve">, 426 U.S. 438, 449 (1976); </w:t>
      </w:r>
      <w:r>
        <w:rPr>
          <w:i/>
          <w:iCs/>
        </w:rPr>
        <w:t>Basic Inc. v. Levinson</w:t>
      </w:r>
      <w:r>
        <w:t>, 485 U.S. 224 (1988))).</w:t>
      </w:r>
    </w:p>
  </w:footnote>
  <w:footnote w:id="23">
    <w:p w14:paraId="743700E6" w14:textId="77777777" w:rsidR="005F5ACD" w:rsidRDefault="00000000">
      <w:pPr>
        <w:pStyle w:val="FootnoteText"/>
      </w:pPr>
      <w:r>
        <w:rPr>
          <w:rStyle w:val="FootnoteReference"/>
        </w:rPr>
        <w:footnoteRef/>
      </w:r>
      <w:r>
        <w:t xml:space="preserve"> For the empirical floor, see Gunnar Friede, Timo Busch &amp; Alexander Bassen, </w:t>
      </w:r>
      <w:r>
        <w:rPr>
          <w:i/>
          <w:iCs/>
        </w:rPr>
        <w:t>ESG and Financial Performance: Aggregated Evidence from More than 2000 Empirical Studies</w:t>
      </w:r>
      <w:r>
        <w:t xml:space="preserve">, 5 J. Sustainable Fin. &amp; Inv. 210, 217 (2015) (roughly 90% of studies report a nonnegative ESG–CFP relation, stable over time; firm-level studies show stronger associations than portfolio-implementation studies); Mozaffar Khan, George Serafeim &amp; Aaron Yoon, </w:t>
      </w:r>
      <w:r>
        <w:rPr>
          <w:i/>
          <w:iCs/>
        </w:rPr>
        <w:t>Corporate Sustainability: First Evidence on Materiality</w:t>
      </w:r>
      <w:r>
        <w:t xml:space="preserve">, 91 Acct. Rev. 1697, 1723 tbl. 7 (2016) (material-sustainability portfolios outperform immaterial-sustainability portfolios by 5.20%, p&lt;0.01); MSCI Sustainability Inst. &amp; MSCI Climate Risk Ctr., </w:t>
      </w:r>
      <w:r>
        <w:rPr>
          <w:i/>
          <w:iCs/>
        </w:rPr>
        <w:t>What the Market Thinks: A Climate Risk Survey</w:t>
      </w:r>
      <w:r>
        <w:t xml:space="preserve"> exh. 6, at 13 (Oct. 2024) (survey of more than 350 senior institutional investors; 93% treat physical climate change as already or imminently economically material). For measurement-divergence caveats, see Florian Berg, Julian F. Kölbel &amp; Roberto Rigobon, </w:t>
      </w:r>
      <w:r>
        <w:rPr>
          <w:i/>
          <w:iCs/>
        </w:rPr>
        <w:t>Aggregate Confusion: The Divergence of ESG Ratings</w:t>
      </w:r>
      <w:r>
        <w:t>, 26 Rev. Fin. 1315 (2022).</w:t>
      </w:r>
    </w:p>
  </w:footnote>
  <w:footnote w:id="24">
    <w:p w14:paraId="7D2A6745" w14:textId="10A2F762" w:rsidR="005F5ACD" w:rsidRDefault="00000000">
      <w:pPr>
        <w:pStyle w:val="FootnoteText"/>
      </w:pPr>
      <w:r>
        <w:rPr>
          <w:rStyle w:val="FootnoteReference"/>
        </w:rPr>
        <w:footnoteRef/>
      </w:r>
      <w:r>
        <w:t xml:space="preserve"> </w:t>
      </w:r>
      <w:r>
        <w:rPr>
          <w:i/>
          <w:iCs/>
        </w:rPr>
        <w:t>DiFelice v. US Airways, Inc.</w:t>
      </w:r>
      <w:r>
        <w:t xml:space="preserve">, 497 F.3d 410, 418, 425 (4th Cir. 2007) (ERISA prudence </w:t>
      </w:r>
      <w:r w:rsidR="00B62085">
        <w:t>“</w:t>
      </w:r>
      <w:r>
        <w:t>is not concerned with results</w:t>
      </w:r>
      <w:r w:rsidR="00B62085">
        <w:t>”</w:t>
      </w:r>
      <w:r>
        <w:t xml:space="preserve"> but with </w:t>
      </w:r>
      <w:r w:rsidR="00B62085">
        <w:t>“</w:t>
      </w:r>
      <w:r>
        <w:t>how the fiduciary acted viewed from the perspective of the time of the challenged decision</w:t>
      </w:r>
      <w:r w:rsidR="00B62085">
        <w:t>”</w:t>
      </w:r>
      <w:r>
        <w:t xml:space="preserve"> (at 418); </w:t>
      </w:r>
      <w:r w:rsidR="00B62085">
        <w:t>“</w:t>
      </w:r>
      <w:r>
        <w:t>[w]</w:t>
      </w:r>
      <w:proofErr w:type="spellStart"/>
      <w:r>
        <w:t>hether</w:t>
      </w:r>
      <w:proofErr w:type="spellEnd"/>
      <w:r>
        <w:t xml:space="preserve"> a fiduciary</w:t>
      </w:r>
      <w:r w:rsidR="00B62085">
        <w:t>’</w:t>
      </w:r>
      <w:r>
        <w:t>s actions are prudent cannot be measured in hindsight</w:t>
      </w:r>
      <w:r w:rsidR="00B62085">
        <w:t>”</w:t>
      </w:r>
      <w:r>
        <w:t xml:space="preserve"> (at 425)). </w:t>
      </w:r>
      <w:r>
        <w:rPr>
          <w:i/>
          <w:iCs/>
        </w:rPr>
        <w:t>See also Hughes v. Northwestern Univ.</w:t>
      </w:r>
      <w:r>
        <w:t xml:space="preserve">, 142 S. Ct. 737, 742 (2022) (unanimous) (reaffirming that ERISA prudence requires a </w:t>
      </w:r>
      <w:r w:rsidR="00B62085">
        <w:t>“</w:t>
      </w:r>
      <w:r>
        <w:t>context-specific inquiry</w:t>
      </w:r>
      <w:r w:rsidR="00B62085">
        <w:t>”</w:t>
      </w:r>
      <w:r>
        <w:t xml:space="preserve"> and that </w:t>
      </w:r>
      <w:r w:rsidR="00B62085">
        <w:t>“</w:t>
      </w:r>
      <w:r>
        <w:t>the circumstances facing an ERISA fiduciary will implicate difficult tradeoffs, and courts must give due regard to the range of reasonable judgments a fiduciary may make based on her experience and expertise</w:t>
      </w:r>
      <w:r w:rsidR="00B62085">
        <w:t>”</w:t>
      </w:r>
      <w:r>
        <w:t>).</w:t>
      </w:r>
    </w:p>
  </w:footnote>
  <w:footnote w:id="25">
    <w:p w14:paraId="5EC8BBAC" w14:textId="1A4C54DF" w:rsidR="005F5ACD" w:rsidRDefault="00000000">
      <w:pPr>
        <w:pStyle w:val="FootnoteText"/>
      </w:pPr>
      <w:r>
        <w:rPr>
          <w:rStyle w:val="FootnoteReference"/>
        </w:rPr>
        <w:footnoteRef/>
      </w:r>
      <w:r>
        <w:t xml:space="preserve"> Restatement (Third) of Trusts § 90 cmt. (a), (b), (e) (Am. L. Inst. 2007); </w:t>
      </w:r>
      <w:r>
        <w:rPr>
          <w:i/>
          <w:iCs/>
        </w:rPr>
        <w:t>id.</w:t>
      </w:r>
      <w:r>
        <w:t xml:space="preserve"> § 90 cmt. f (</w:t>
      </w:r>
      <w:r w:rsidR="00B62085">
        <w:t>“</w:t>
      </w:r>
      <w:r>
        <w:t>Specific investments or techniques are not per se prudent or imprudent.</w:t>
      </w:r>
      <w:r w:rsidR="00B62085">
        <w:t>”</w:t>
      </w:r>
      <w:r>
        <w:t>); Unif. Prudent Investor Act § 2 (Unif. L. Comm</w:t>
      </w:r>
      <w:r w:rsidR="00B62085">
        <w:t>’</w:t>
      </w:r>
      <w:r>
        <w:t xml:space="preserve">n 1994); John H. Langbein, </w:t>
      </w:r>
      <w:r>
        <w:rPr>
          <w:i/>
          <w:iCs/>
        </w:rPr>
        <w:t>The Uniform Prudent Investor Act and the Future of Trust Investing</w:t>
      </w:r>
      <w:r>
        <w:t>, 81 Iowa L. Rev. 641 (1996) (Reporter</w:t>
      </w:r>
      <w:r w:rsidR="00B62085">
        <w:t>’</w:t>
      </w:r>
      <w:r>
        <w:t>s Commentary on the Act</w:t>
      </w:r>
      <w:r w:rsidR="00B62085">
        <w:t>’</w:t>
      </w:r>
      <w:r>
        <w:t>s portfolio-theory foundation and the rejection of per-se investment rules).</w:t>
      </w:r>
    </w:p>
  </w:footnote>
  <w:footnote w:id="26">
    <w:p w14:paraId="55D4AE31" w14:textId="77777777" w:rsidR="005F5ACD" w:rsidRDefault="00000000">
      <w:pPr>
        <w:pStyle w:val="FootnoteText"/>
      </w:pPr>
      <w:r>
        <w:rPr>
          <w:rStyle w:val="FootnoteReference"/>
        </w:rPr>
        <w:footnoteRef/>
      </w:r>
      <w:r>
        <w:t xml:space="preserve"> Schanzenbach &amp; Sitkoff, </w:t>
      </w:r>
      <w:r>
        <w:rPr>
          <w:i/>
          <w:iCs/>
        </w:rPr>
        <w:t>Reconciling Fiduciary Duty</w:t>
      </w:r>
      <w:r>
        <w:t xml:space="preserve">, </w:t>
      </w:r>
      <w:r>
        <w:rPr>
          <w:i/>
          <w:iCs/>
        </w:rPr>
        <w:t>supra</w:t>
      </w:r>
      <w:r>
        <w:t xml:space="preserve"> note 13, at 397–409.</w:t>
      </w:r>
    </w:p>
  </w:footnote>
  <w:footnote w:id="27">
    <w:p w14:paraId="5B2B7F8A" w14:textId="77777777" w:rsidR="005F5ACD" w:rsidRDefault="00000000">
      <w:pPr>
        <w:pStyle w:val="FootnoteText"/>
      </w:pPr>
      <w:r>
        <w:rPr>
          <w:rStyle w:val="FootnoteReference"/>
        </w:rPr>
        <w:footnoteRef/>
      </w:r>
      <w:r>
        <w:t xml:space="preserve"> CFA Inst., </w:t>
      </w:r>
      <w:r>
        <w:rPr>
          <w:i/>
          <w:iCs/>
        </w:rPr>
        <w:t>Environmental, Social, and Governance Issues in Investing</w:t>
      </w:r>
      <w:r>
        <w:t xml:space="preserve">, </w:t>
      </w:r>
      <w:r>
        <w:rPr>
          <w:i/>
          <w:iCs/>
        </w:rPr>
        <w:t>supra</w:t>
      </w:r>
      <w:r>
        <w:t xml:space="preserve"> note 14.</w:t>
      </w:r>
    </w:p>
  </w:footnote>
  <w:footnote w:id="28">
    <w:p w14:paraId="2EC8C6FF" w14:textId="092FFFE6" w:rsidR="005F5ACD" w:rsidRDefault="00000000">
      <w:pPr>
        <w:pStyle w:val="FootnoteText"/>
      </w:pPr>
      <w:r>
        <w:rPr>
          <w:rStyle w:val="FootnoteReference"/>
        </w:rPr>
        <w:footnoteRef/>
      </w:r>
      <w:r>
        <w:t xml:space="preserve"> Philipp Krueger, Zacharias Sautner &amp; Laura T. Starks, </w:t>
      </w:r>
      <w:r>
        <w:rPr>
          <w:i/>
          <w:iCs/>
        </w:rPr>
        <w:t>The Importance of Climate Risks for Institutional Investors</w:t>
      </w:r>
      <w:r>
        <w:t>, 33 Rev. Fin. Stud. 1067, 1086, 1089, 1094 &amp; n.10 (2020) (n = 439 institutional investors; 50% report climate regulatory risks have begun to materialize; engagement and hedging</w:t>
      </w:r>
      <w:r w:rsidR="00B62085">
        <w:t>—</w:t>
      </w:r>
      <w:r>
        <w:t>not divestment</w:t>
      </w:r>
      <w:r w:rsidR="00B62085">
        <w:t>—</w:t>
      </w:r>
      <w:r>
        <w:t xml:space="preserve">are modal responses; quoting Harvard endowment: </w:t>
      </w:r>
      <w:r w:rsidR="00B62085">
        <w:t>“</w:t>
      </w:r>
      <w:r>
        <w:t>a resource, not an instrument to impel social or political change</w:t>
      </w:r>
      <w:r w:rsidR="00B62085">
        <w:t>”</w:t>
      </w:r>
      <w:r>
        <w:t>).</w:t>
      </w:r>
    </w:p>
  </w:footnote>
  <w:footnote w:id="29">
    <w:p w14:paraId="6786F3C2" w14:textId="77777777" w:rsidR="005F5ACD" w:rsidRDefault="00000000">
      <w:pPr>
        <w:pStyle w:val="FootnoteText"/>
      </w:pPr>
      <w:r>
        <w:rPr>
          <w:rStyle w:val="FootnoteReference"/>
        </w:rPr>
        <w:footnoteRef/>
      </w:r>
      <w:r>
        <w:t xml:space="preserve"> Restatement (Third) of Trusts § 90 cmt. (b); Unif. Prudent Investor Act § 2(b).</w:t>
      </w:r>
    </w:p>
  </w:footnote>
  <w:footnote w:id="30">
    <w:p w14:paraId="3F42527C" w14:textId="57BABF3B" w:rsidR="005F5ACD" w:rsidRDefault="00000000">
      <w:pPr>
        <w:pStyle w:val="FootnoteText"/>
      </w:pPr>
      <w:r>
        <w:rPr>
          <w:rStyle w:val="FootnoteReference"/>
        </w:rPr>
        <w:footnoteRef/>
      </w:r>
      <w:r>
        <w:t xml:space="preserve"> For duration-matching as a foundational responsibility of long-horizon institutional investors, see Restatement (Third) of Trusts § 90 cmt. (b) (Am. L. Inst. 2007) (asset-allocation strategy must be reasonably suited to the trust</w:t>
      </w:r>
      <w:r w:rsidR="00B62085">
        <w:t>’</w:t>
      </w:r>
      <w:r>
        <w:t xml:space="preserve">s duration); </w:t>
      </w:r>
      <w:proofErr w:type="spellStart"/>
      <w:r>
        <w:t>Unif</w:t>
      </w:r>
      <w:proofErr w:type="spellEnd"/>
      <w:r>
        <w:t>. Prudent Investor Act § 2(b) (Unif. L. Comm</w:t>
      </w:r>
      <w:r w:rsidR="00B62085">
        <w:t>’</w:t>
      </w:r>
      <w:r>
        <w:t xml:space="preserve">n 1994). On long-horizon climate-risk modeling at portfolio scale, see Philipp Krueger, Zacharias Sautner &amp; Laura T. Starks, </w:t>
      </w:r>
      <w:r>
        <w:rPr>
          <w:i/>
          <w:iCs/>
        </w:rPr>
        <w:t>The Importance of Climate Risks for Institutional Investors</w:t>
      </w:r>
      <w:r>
        <w:t xml:space="preserve">, 33 Rev. Fin. Stud. 1067 (2020); Network for Greening the Fin. Sys., </w:t>
      </w:r>
      <w:r>
        <w:rPr>
          <w:i/>
          <w:iCs/>
        </w:rPr>
        <w:t>NGFS Climate Scenarios for Central Banks and Supervisors</w:t>
      </w:r>
      <w:r>
        <w:t xml:space="preserve"> (Phase V update, Nov. 2024) (multi-decade scenario horizons). On the economic significance of upper-tail climate outcomes, see Martin L. Weitzman, </w:t>
      </w:r>
      <w:r>
        <w:rPr>
          <w:i/>
          <w:iCs/>
        </w:rPr>
        <w:t>On Modeling and Interpreting the Economics of Catastrophic Climate Change</w:t>
      </w:r>
      <w:r>
        <w:t xml:space="preserve">, 91 Rev. Econ. &amp; Stat. 1 (2009) (fat-tailed structural uncertainty can dominate discounting in climate-policy analysis); Avinash K. Dixit &amp; Robert S. Pindyck, </w:t>
      </w:r>
      <w:r>
        <w:rPr>
          <w:i/>
          <w:iCs/>
        </w:rPr>
        <w:t>Investment Under Uncertainty</w:t>
      </w:r>
      <w:r>
        <w:t xml:space="preserve"> (1994) (irreversibility and uncertainty generate real-options premiums).</w:t>
      </w:r>
    </w:p>
  </w:footnote>
  <w:footnote w:id="31">
    <w:p w14:paraId="6E63464C" w14:textId="4A3CE22E" w:rsidR="005F5ACD" w:rsidRDefault="00000000">
      <w:pPr>
        <w:pStyle w:val="FootnoteText"/>
      </w:pPr>
      <w:r>
        <w:rPr>
          <w:rStyle w:val="FootnoteReference"/>
        </w:rPr>
        <w:footnoteRef/>
      </w:r>
      <w:r>
        <w:t xml:space="preserve"> For the proposition that diversified investors face residual systematic (non-diversifiable, economy-wide) risk that cannot be eliminated through portfolio construction, see Harry Markowitz, </w:t>
      </w:r>
      <w:r>
        <w:rPr>
          <w:i/>
          <w:iCs/>
        </w:rPr>
        <w:t>Portfolio Selection</w:t>
      </w:r>
      <w:r>
        <w:t xml:space="preserve">, 7 J. Fin. 77 (1952) (mean-variance optimization; residual systematic-risk concept). For the modern-portfolio-theory bridge to climate risk, see Madison Condon, </w:t>
      </w:r>
      <w:r>
        <w:rPr>
          <w:i/>
          <w:iCs/>
        </w:rPr>
        <w:t>Market Myopia</w:t>
      </w:r>
      <w:r w:rsidR="00B62085">
        <w:rPr>
          <w:i/>
          <w:iCs/>
        </w:rPr>
        <w:t>’</w:t>
      </w:r>
      <w:r>
        <w:rPr>
          <w:i/>
          <w:iCs/>
        </w:rPr>
        <w:t>s Climate Bubble</w:t>
      </w:r>
      <w:r>
        <w:t xml:space="preserve">, 2022 Utah L. Rev. 63, 113 (distinguishing systemic risk (contagion) from systematic risk (non-diversifiable); climate risks </w:t>
      </w:r>
      <w:r w:rsidR="00B62085">
        <w:t>“</w:t>
      </w:r>
      <w:r>
        <w:t xml:space="preserve">broadly effect the economy, [are] </w:t>
      </w:r>
      <w:r w:rsidR="00B62085">
        <w:t>‘</w:t>
      </w:r>
      <w:r>
        <w:t>systemic</w:t>
      </w:r>
      <w:r w:rsidR="00B62085">
        <w:t>’</w:t>
      </w:r>
      <w:r>
        <w:t xml:space="preserve"> and cannot be diversified away</w:t>
      </w:r>
      <w:r w:rsidR="00B62085">
        <w:t>”</w:t>
      </w:r>
      <w:r>
        <w:t xml:space="preserve">). For climate physical and transition risk understood as portfolio-wide rather than firm-idiosyncratic, see Eur. Banking Auth., </w:t>
      </w:r>
      <w:r>
        <w:rPr>
          <w:i/>
          <w:iCs/>
        </w:rPr>
        <w:t>Final Guidelines</w:t>
      </w:r>
      <w:r>
        <w:t xml:space="preserve">, </w:t>
      </w:r>
      <w:r>
        <w:rPr>
          <w:i/>
          <w:iCs/>
        </w:rPr>
        <w:t>supra</w:t>
      </w:r>
      <w:r>
        <w:t xml:space="preserve"> note 9; Australian Prudential Regulation Auth., </w:t>
      </w:r>
      <w:r>
        <w:rPr>
          <w:i/>
          <w:iCs/>
        </w:rPr>
        <w:t>Prudential Practice Guide CPG 229</w:t>
      </w:r>
      <w:r>
        <w:t xml:space="preserve">, </w:t>
      </w:r>
      <w:r>
        <w:rPr>
          <w:i/>
          <w:iCs/>
        </w:rPr>
        <w:t>supra</w:t>
      </w:r>
      <w:r>
        <w:t xml:space="preserve"> note 9; Network for Greening the Fin. Sys., </w:t>
      </w:r>
      <w:r>
        <w:rPr>
          <w:i/>
          <w:iCs/>
        </w:rPr>
        <w:t>NGFS Climate Scenarios</w:t>
      </w:r>
      <w:r>
        <w:t xml:space="preserve">, </w:t>
      </w:r>
      <w:r>
        <w:rPr>
          <w:i/>
          <w:iCs/>
        </w:rPr>
        <w:t>supra</w:t>
      </w:r>
      <w:r>
        <w:t xml:space="preserve"> note 9; IFRS Foundation, </w:t>
      </w:r>
      <w:r>
        <w:rPr>
          <w:i/>
          <w:iCs/>
        </w:rPr>
        <w:t>IFRS S2</w:t>
      </w:r>
      <w:r>
        <w:t xml:space="preserve">, </w:t>
      </w:r>
      <w:r>
        <w:rPr>
          <w:i/>
          <w:iCs/>
        </w:rPr>
        <w:t>supra</w:t>
      </w:r>
      <w:r>
        <w:t xml:space="preserve"> note 9.</w:t>
      </w:r>
    </w:p>
  </w:footnote>
  <w:footnote w:id="32">
    <w:p w14:paraId="718CB6FC" w14:textId="77777777" w:rsidR="005F5ACD" w:rsidRDefault="00000000">
      <w:pPr>
        <w:pStyle w:val="FootnoteText"/>
      </w:pPr>
      <w:r>
        <w:rPr>
          <w:rStyle w:val="FootnoteReference"/>
        </w:rPr>
        <w:footnoteRef/>
      </w:r>
      <w:r>
        <w:t xml:space="preserve"> Commission Delegated Regulation 2023/2772 of 31 July 2023, 2023 O.J. (L 2023/2772) 1 (EU) (supplementing Directive 2013/34/EU as regards sustainability reporting standards). ESRS 1 ch. 3 ¶¶ 21–53 addresses double materiality; ¶ 29 supplies the definitional scope.</w:t>
      </w:r>
    </w:p>
  </w:footnote>
  <w:footnote w:id="33">
    <w:p w14:paraId="3E54D89C" w14:textId="77777777" w:rsidR="005F5ACD" w:rsidRDefault="00000000">
      <w:pPr>
        <w:pStyle w:val="FootnoteText"/>
      </w:pPr>
      <w:r>
        <w:rPr>
          <w:rStyle w:val="FootnoteReference"/>
        </w:rPr>
        <w:footnoteRef/>
      </w:r>
      <w:r>
        <w:t xml:space="preserve"> Susan N. Gary, </w:t>
      </w:r>
      <w:r>
        <w:rPr>
          <w:i/>
          <w:iCs/>
        </w:rPr>
        <w:t>Best Interests in the Long Term: Fiduciary Duties and ESG Integration</w:t>
      </w:r>
      <w:r>
        <w:t xml:space="preserve">, 90 U. Colo. L. Rev. 731 (2019); Edward B. Rock, </w:t>
      </w:r>
      <w:r>
        <w:rPr>
          <w:i/>
          <w:iCs/>
        </w:rPr>
        <w:t>For Whom Is the Corporation Managed in 2020?: The Debate over Corporate Purpose</w:t>
      </w:r>
      <w:r>
        <w:t>, 76 Bus. Law. 363 (2021).</w:t>
      </w:r>
    </w:p>
  </w:footnote>
  <w:footnote w:id="34">
    <w:p w14:paraId="5806A446" w14:textId="77777777" w:rsidR="005F5ACD" w:rsidRDefault="00000000">
      <w:pPr>
        <w:pStyle w:val="FootnoteText"/>
      </w:pPr>
      <w:r>
        <w:rPr>
          <w:rStyle w:val="FootnoteReference"/>
        </w:rPr>
        <w:footnoteRef/>
      </w:r>
      <w:r>
        <w:t xml:space="preserve"> Counting-unit definitions and use protocols are set out in Methodology Appendix Table A.</w:t>
      </w:r>
    </w:p>
  </w:footnote>
  <w:footnote w:id="35">
    <w:p w14:paraId="11D8F5D6" w14:textId="77777777" w:rsidR="005F5ACD" w:rsidRDefault="00000000">
      <w:pPr>
        <w:pStyle w:val="FootnoteText"/>
      </w:pPr>
      <w:r>
        <w:rPr>
          <w:rStyle w:val="FootnoteReference"/>
        </w:rPr>
        <w:footnoteRef/>
      </w:r>
      <w:r>
        <w:t xml:space="preserve"> Pro-side enactment counts depend on the universe predicate used: full publication corpus, 25; broad ESG, 23; corporate/financial ESG, 21; core corporate/fiduciary, 21; climate-facing ESG, 13. Representative Pro-side enactments include Maine LD 99 § 1957(3), California SB 253, California SB 261, and Illinois SB 2152. </w:t>
      </w:r>
      <w:r>
        <w:rPr>
          <w:i/>
          <w:iCs/>
        </w:rPr>
        <w:t>See</w:t>
      </w:r>
      <w:r>
        <w:t xml:space="preserve"> Methodology Appendix Table C.</w:t>
      </w:r>
    </w:p>
  </w:footnote>
  <w:footnote w:id="36">
    <w:p w14:paraId="4B5BD581" w14:textId="77777777" w:rsidR="005F5ACD" w:rsidRDefault="00000000">
      <w:pPr>
        <w:pStyle w:val="FootnoteText"/>
      </w:pPr>
      <w:r>
        <w:rPr>
          <w:rStyle w:val="FootnoteReference"/>
        </w:rPr>
        <w:footnoteRef/>
      </w:r>
      <w:r>
        <w:t xml:space="preserve"> Where chamber-paired bills or close same-session variants produce a single statute, they are counted as one law. See Methodology Appendix Tables A–C.</w:t>
      </w:r>
    </w:p>
  </w:footnote>
  <w:footnote w:id="37">
    <w:p w14:paraId="1D1A89A3" w14:textId="77777777" w:rsidR="005F5ACD" w:rsidRDefault="00000000">
      <w:pPr>
        <w:pStyle w:val="FootnoteText"/>
      </w:pPr>
      <w:r>
        <w:rPr>
          <w:rStyle w:val="FootnoteReference"/>
        </w:rPr>
        <w:footnoteRef/>
      </w:r>
      <w:r>
        <w:t xml:space="preserve"> Filtered-universe counts are reported as annual attempts followed by companion-collapsed statutes: broad ESG, 1,329/911; corporate/financial ESG, 1,125/769; core corporate/fiduciary ESG, 909/604; climate-facing ESG, 739/492. The DEI/NCS diagnostic sidecar contains 146 annual attempts and 100 statutes; firearms-only, foreign-adversary, and energy-policy-only sidecars are tracked separately. The climate-facing universe includes climate-explicit, climate-implicit, and broad-ESG measures plausibly affecting climate-related fiduciary, investment, governance, disclosure, proxy, contracting, or market-conduct rules; it is not limited to provisions that use climate words. </w:t>
      </w:r>
      <w:r>
        <w:rPr>
          <w:i/>
          <w:iCs/>
        </w:rPr>
        <w:t>See</w:t>
      </w:r>
      <w:r>
        <w:t xml:space="preserve"> Methodology Appendix Tables A–C and E.</w:t>
      </w:r>
    </w:p>
  </w:footnote>
  <w:footnote w:id="38">
    <w:p w14:paraId="1E1EE88A" w14:textId="77777777" w:rsidR="005F5ACD" w:rsidRDefault="00000000">
      <w:pPr>
        <w:pStyle w:val="FootnoteText"/>
      </w:pPr>
      <w:r>
        <w:rPr>
          <w:rStyle w:val="FootnoteReference"/>
        </w:rPr>
        <w:footnoteRef/>
      </w:r>
      <w:r>
        <w:t xml:space="preserve"> The enacted Anti-side corpus contains 54 enacted bill records, collapsed to 51 statutes across 21 states after excluding federal-executive-order-review, energy-policy-only, and administratively resolved rows. </w:t>
      </w:r>
      <w:r>
        <w:rPr>
          <w:i/>
          <w:iCs/>
        </w:rPr>
        <w:t>See</w:t>
      </w:r>
      <w:r>
        <w:t xml:space="preserve"> Methodology Appendix Table C.</w:t>
      </w:r>
    </w:p>
  </w:footnote>
  <w:footnote w:id="39">
    <w:p w14:paraId="22CBC40F" w14:textId="77777777" w:rsidR="005F5ACD" w:rsidRDefault="00000000">
      <w:pPr>
        <w:pStyle w:val="FootnoteText"/>
      </w:pPr>
      <w:r>
        <w:rPr>
          <w:rStyle w:val="FootnoteReference"/>
        </w:rPr>
        <w:footnoteRef/>
      </w:r>
      <w:r>
        <w:t xml:space="preserve"> The Prescribed Non-Consideration subset contains 39 enacted bill records, collapsed to 37 statutes across 18 states. Passage rates exclude pending and symbolic-passed measures. </w:t>
      </w:r>
      <w:r>
        <w:rPr>
          <w:i/>
          <w:iCs/>
        </w:rPr>
        <w:t>See</w:t>
      </w:r>
      <w:r>
        <w:t xml:space="preserve"> Methodology Appendix Table C.</w:t>
      </w:r>
    </w:p>
  </w:footnote>
  <w:footnote w:id="40">
    <w:p w14:paraId="7E2D49B0" w14:textId="77777777" w:rsidR="005F5ACD" w:rsidRDefault="00000000">
      <w:pPr>
        <w:pStyle w:val="FootnoteText"/>
      </w:pPr>
      <w:r>
        <w:rPr>
          <w:rStyle w:val="FootnoteReference"/>
        </w:rPr>
        <w:footnoteRef/>
      </w:r>
      <w:r>
        <w:t xml:space="preserve"> Pro-side counts are predicate-specific because the statutes regulate different doctrinal objects, including pension divestment, climate-risk analysis, emissions disclosure, proxy reporting, and corporate-board composition.</w:t>
      </w:r>
    </w:p>
  </w:footnote>
  <w:footnote w:id="41">
    <w:p w14:paraId="2A70E7C4" w14:textId="77777777" w:rsidR="005F5ACD" w:rsidRDefault="00000000">
      <w:pPr>
        <w:pStyle w:val="FootnoteText"/>
      </w:pPr>
      <w:r>
        <w:rPr>
          <w:rStyle w:val="FootnoteReference"/>
        </w:rPr>
        <w:footnoteRef/>
      </w:r>
      <w:r>
        <w:t xml:space="preserve"> The 51-statute count uses the companion-collapsed enacted Anti-side corpus. </w:t>
      </w:r>
      <w:r>
        <w:rPr>
          <w:i/>
          <w:iCs/>
        </w:rPr>
        <w:t>See</w:t>
      </w:r>
      <w:r>
        <w:t xml:space="preserve"> Methodology Appendix Table C.</w:t>
      </w:r>
    </w:p>
  </w:footnote>
  <w:footnote w:id="42">
    <w:p w14:paraId="48780339" w14:textId="77777777" w:rsidR="005F5ACD" w:rsidRDefault="00000000">
      <w:pPr>
        <w:pStyle w:val="FootnoteText"/>
      </w:pPr>
      <w:r>
        <w:rPr>
          <w:rStyle w:val="FootnoteReference"/>
        </w:rPr>
        <w:footnoteRef/>
      </w:r>
      <w:r>
        <w:t xml:space="preserve"> CFA Inst., </w:t>
      </w:r>
      <w:r>
        <w:rPr>
          <w:i/>
          <w:iCs/>
        </w:rPr>
        <w:t>Environmental, Social, and Governance Issues in Investing</w:t>
      </w:r>
      <w:r>
        <w:t xml:space="preserve">, </w:t>
      </w:r>
      <w:r>
        <w:rPr>
          <w:i/>
          <w:iCs/>
        </w:rPr>
        <w:t>supra</w:t>
      </w:r>
      <w:r>
        <w:t xml:space="preserve"> note 14.</w:t>
      </w:r>
    </w:p>
  </w:footnote>
  <w:footnote w:id="43">
    <w:p w14:paraId="3F208450" w14:textId="77777777" w:rsidR="005F5ACD" w:rsidRDefault="00000000">
      <w:pPr>
        <w:pStyle w:val="FootnoteText"/>
      </w:pPr>
      <w:r>
        <w:rPr>
          <w:rStyle w:val="FootnoteReference"/>
        </w:rPr>
        <w:footnoteRef/>
      </w:r>
      <w:r>
        <w:t xml:space="preserve"> </w:t>
      </w:r>
      <w:r>
        <w:rPr>
          <w:i/>
          <w:iCs/>
        </w:rPr>
        <w:t>See</w:t>
      </w:r>
      <w:r>
        <w:t xml:space="preserve"> Sustainalytics, </w:t>
      </w:r>
      <w:r>
        <w:rPr>
          <w:i/>
          <w:iCs/>
        </w:rPr>
        <w:t>ESG Risk Ratings Methodology Abstract</w:t>
      </w:r>
      <w:r>
        <w:t xml:space="preserve"> (2019); IRRC Institute &amp; Sustainalytics, </w:t>
      </w:r>
      <w:r>
        <w:rPr>
          <w:i/>
          <w:iCs/>
        </w:rPr>
        <w:t>ESG and Financial Performance: Uncovering the Relationship by Aggregating Evidence from 1,000 Plus Studies Published Between 2015–2020</w:t>
      </w:r>
      <w:r>
        <w:t xml:space="preserve"> (2021) (documenting ESG factor integration under financial-materiality frameworks). </w:t>
      </w:r>
      <w:r>
        <w:rPr>
          <w:i/>
          <w:iCs/>
        </w:rPr>
        <w:t>See also</w:t>
      </w:r>
      <w:r>
        <w:t xml:space="preserve"> CFA Inst., </w:t>
      </w:r>
      <w:r>
        <w:rPr>
          <w:i/>
          <w:iCs/>
        </w:rPr>
        <w:t>Environmental, Social, and Governance Issues in Investing</w:t>
      </w:r>
      <w:r>
        <w:t xml:space="preserve">, </w:t>
      </w:r>
      <w:r>
        <w:rPr>
          <w:i/>
          <w:iCs/>
        </w:rPr>
        <w:t>supra</w:t>
      </w:r>
      <w:r>
        <w:t xml:space="preserve"> note 14 (taxonomy).</w:t>
      </w:r>
    </w:p>
  </w:footnote>
  <w:footnote w:id="44">
    <w:p w14:paraId="5D80CC66" w14:textId="1941C06A" w:rsidR="005F5ACD" w:rsidRDefault="00000000">
      <w:pPr>
        <w:pStyle w:val="FootnoteText"/>
      </w:pPr>
      <w:r>
        <w:rPr>
          <w:rStyle w:val="FootnoteReference"/>
        </w:rPr>
        <w:footnoteRef/>
      </w:r>
      <w:r>
        <w:t xml:space="preserve"> Representative operative-purpose language: Act of June 14, 2021, 87th Leg., R.S., ch. 529, 2021 Tex. Gen. Laws (S.B. 13), codified at Tex. Gov</w:t>
      </w:r>
      <w:r w:rsidR="00B62085">
        <w:t>’</w:t>
      </w:r>
      <w:r>
        <w:t xml:space="preserve">t Code § 809.001(1) (defining </w:t>
      </w:r>
      <w:r w:rsidR="00B62085">
        <w:t>“</w:t>
      </w:r>
      <w:r>
        <w:t>boycott</w:t>
      </w:r>
      <w:r w:rsidR="00B62085">
        <w:t>”</w:t>
      </w:r>
      <w:r>
        <w:t xml:space="preserve"> by reference to acts taken for nonbusiness </w:t>
      </w:r>
      <w:r w:rsidR="00B62085">
        <w:t>“</w:t>
      </w:r>
      <w:r>
        <w:t>reasons</w:t>
      </w:r>
      <w:r w:rsidR="00B62085">
        <w:t>”</w:t>
      </w:r>
      <w:r>
        <w:t xml:space="preserve"> or to </w:t>
      </w:r>
      <w:r w:rsidR="00B62085">
        <w:t>“</w:t>
      </w:r>
      <w:r>
        <w:t>penalize, inflict economic harm on, or limit commercial relations with</w:t>
      </w:r>
      <w:r w:rsidR="00B62085">
        <w:t>”</w:t>
      </w:r>
      <w:r>
        <w:t xml:space="preserve"> energy companies); Ind. Pub. L. No. 206-2023 (H.B. 1008), codified at Ind. Code § 5-10.2-14 (Indiana HB 1008 fiduciary purpose-test paired with enumerated-evidence list); 2023 Ky. Acts ch. 94 (H.B. 236), codified at Ky. Rev. Stat. Ann. § 21.450(2)(c)(1)–(5) (Kentucky HB 236 fiduciary-purpose test reaching consideration </w:t>
      </w:r>
      <w:r w:rsidR="00B62085">
        <w:t>“</w:t>
      </w:r>
      <w:r>
        <w:t>of a nonpecuniary interest</w:t>
      </w:r>
      <w:r w:rsidR="00B62085">
        <w:t>”</w:t>
      </w:r>
      <w:r>
        <w:t xml:space="preserve">); 2023 Ark. Acts No. 498 (H.B. 1253), codified at Ark. Code Ann. § 24-2-802(2)(B)(ii) (Arkansas HB 1253 materiality redefinition); Ch. 175, 2023 Mont. Laws (H.B. 228), codified at Mont. Code Ann. § 17-6-231(1) (Montana HB 228 fiduciary purpose framing). The </w:t>
      </w:r>
      <w:r w:rsidR="00B62085">
        <w:t>“</w:t>
      </w:r>
      <w:r>
        <w:t>decisions … based on</w:t>
      </w:r>
      <w:r w:rsidR="00B62085">
        <w:t>”</w:t>
      </w:r>
      <w:r>
        <w:t xml:space="preserve"> / </w:t>
      </w:r>
      <w:r w:rsidR="00B62085">
        <w:t>“</w:t>
      </w:r>
      <w:r>
        <w:t>for the purpose of</w:t>
      </w:r>
      <w:r w:rsidR="00B62085">
        <w:t>”</w:t>
      </w:r>
      <w:r>
        <w:t xml:space="preserve"> formulations appear across the operative corpus in slightly different phrasings; this footnote identifies representative statutes rather than enumerating every variation.</w:t>
      </w:r>
    </w:p>
  </w:footnote>
  <w:footnote w:id="45">
    <w:p w14:paraId="312E4F01" w14:textId="77777777" w:rsidR="005F5ACD" w:rsidRDefault="00000000">
      <w:pPr>
        <w:pStyle w:val="FootnoteText"/>
      </w:pPr>
      <w:r>
        <w:rPr>
          <w:rStyle w:val="FootnoteReference"/>
        </w:rPr>
        <w:footnoteRef/>
      </w:r>
      <w:r>
        <w:t xml:space="preserve"> The sidecar exclusions remove statutes whose substantive reach is limited to: (a) DEI mandates without an investment hook (categorical diversity quotas as fiduciary considerations or as direct mandates); (b) firearms-only screens or anti-discrimination provisions targeting firearms-related conduct; (c) foreign-adversary and broader geopolitical screens (anti-BDS-only divestment regimes; sanctions-based screens not reaching ESG vocabulary); (d) energy-policy-only declarations not regulating financial conduct; (e) tobacco-only divestment; (f) prison-labor-only divestment; (g) social-and-labor-only mandates; and (h) federal-executive-order-review sidecars. For the sidecar coding conventions, see Methodology Appendix Tables B and G.</w:t>
      </w:r>
    </w:p>
  </w:footnote>
  <w:footnote w:id="46">
    <w:p w14:paraId="5899AD0F" w14:textId="77777777" w:rsidR="005F5ACD" w:rsidRDefault="00000000">
      <w:pPr>
        <w:pStyle w:val="FootnoteText"/>
      </w:pPr>
      <w:r>
        <w:rPr>
          <w:rStyle w:val="FootnoteReference"/>
        </w:rPr>
        <w:footnoteRef/>
      </w:r>
      <w:r>
        <w:t xml:space="preserve"> In companion-collapsed units, firearms-only Anti measures have 61 units, 11 enacted, and a 20.37% resolved enactment rate; foreign-adversary-only measures have 69 units, 10 enacted, and a 17.24% resolved enactment rate; DEI-only measures have 23 Anti units, 2 enacted, and an 11.76% resolved enactment rate, and 55 Pro units, 8 enacted, and a 17.39% resolved enactment rate. Energy-policy-only rows are retained as a boundary check rather than a body-rate comparison because the category includes programmatic energy measures and possible omnibus energy references. Full counts for the energy-policy-only category are in the Methodology Appendix.</w:t>
      </w:r>
    </w:p>
  </w:footnote>
  <w:footnote w:id="47">
    <w:p w14:paraId="1A90EE2B" w14:textId="6B403ADF" w:rsidR="005F5ACD" w:rsidRDefault="00000000">
      <w:pPr>
        <w:pStyle w:val="FootnoteText"/>
      </w:pPr>
      <w:r>
        <w:rPr>
          <w:rStyle w:val="FootnoteReference"/>
        </w:rPr>
        <w:footnoteRef/>
      </w:r>
      <w:r>
        <w:t xml:space="preserve"> The five-channel taxonomy is descriptive of the present operational corpus and is not exhaustive. A sixth and emerging channel</w:t>
      </w:r>
      <w:r w:rsidR="00B62085">
        <w:t>—</w:t>
      </w:r>
      <w:r>
        <w:t>direct conduct regulation of corporate political and stewardship speech, distinct from issuer disclosure</w:t>
      </w:r>
      <w:r w:rsidR="00B62085">
        <w:t>—</w:t>
      </w:r>
      <w:r>
        <w:t>appears in inchoate form in some 2025–26 filings.</w:t>
      </w:r>
    </w:p>
  </w:footnote>
  <w:footnote w:id="48">
    <w:p w14:paraId="450DB9AB" w14:textId="77777777" w:rsidR="005F5ACD" w:rsidRDefault="00000000">
      <w:pPr>
        <w:pStyle w:val="FootnoteText"/>
      </w:pPr>
      <w:r>
        <w:rPr>
          <w:rStyle w:val="FootnoteReference"/>
        </w:rPr>
        <w:footnoteRef/>
      </w:r>
      <w:r>
        <w:t xml:space="preserve"> </w:t>
      </w:r>
      <w:r>
        <w:rPr>
          <w:i/>
          <w:iCs/>
        </w:rPr>
        <w:t>See</w:t>
      </w:r>
      <w:r>
        <w:t xml:space="preserve"> Methodology Appendix (Tables A–C) for full count chain.</w:t>
      </w:r>
    </w:p>
  </w:footnote>
  <w:footnote w:id="49">
    <w:p w14:paraId="3A98AAFD" w14:textId="77777777" w:rsidR="005F5ACD" w:rsidRDefault="00000000">
      <w:pPr>
        <w:pStyle w:val="FootnoteText"/>
      </w:pPr>
      <w:r>
        <w:rPr>
          <w:rStyle w:val="FootnoteReference"/>
        </w:rPr>
        <w:footnoteRef/>
      </w:r>
      <w:r>
        <w:t xml:space="preserve"> Schanzenbach &amp; Sitkoff, </w:t>
      </w:r>
      <w:r>
        <w:rPr>
          <w:i/>
          <w:iCs/>
        </w:rPr>
        <w:t>Reconciling Fiduciary Duty</w:t>
      </w:r>
      <w:r>
        <w:t xml:space="preserve">, </w:t>
      </w:r>
      <w:r>
        <w:rPr>
          <w:i/>
          <w:iCs/>
        </w:rPr>
        <w:t>supra</w:t>
      </w:r>
      <w:r>
        <w:t xml:space="preserve"> note 13.</w:t>
      </w:r>
    </w:p>
  </w:footnote>
  <w:footnote w:id="50">
    <w:p w14:paraId="0DE48BE6" w14:textId="70540677" w:rsidR="005F5ACD" w:rsidRDefault="00000000">
      <w:pPr>
        <w:pStyle w:val="FootnoteText"/>
      </w:pPr>
      <w:r>
        <w:rPr>
          <w:rStyle w:val="FootnoteReference"/>
        </w:rPr>
        <w:footnoteRef/>
      </w:r>
      <w:r>
        <w:t xml:space="preserve"> Ark. Code Ann. § 24-2-802(2)(B)(ii)(a)–(b) (2023) (pecuniary-factor definition excluding </w:t>
      </w:r>
      <w:r w:rsidR="00B62085">
        <w:t>“</w:t>
      </w:r>
      <w:r>
        <w:t>long-term future</w:t>
      </w:r>
      <w:r w:rsidR="00B62085">
        <w:t>”</w:t>
      </w:r>
      <w:r>
        <w:t xml:space="preserve"> effects from materiality); Mont. Code Ann. § 17-6-231(1)(b) (2023) (</w:t>
      </w:r>
      <w:r w:rsidR="00B62085">
        <w:t>“</w:t>
      </w:r>
      <w:r>
        <w:t>distant future</w:t>
      </w:r>
      <w:r w:rsidR="00B62085">
        <w:t>”</w:t>
      </w:r>
      <w:r>
        <w:t xml:space="preserve"> formulation).</w:t>
      </w:r>
    </w:p>
  </w:footnote>
  <w:footnote w:id="51">
    <w:p w14:paraId="13D79DD2" w14:textId="51F91414" w:rsidR="005F5ACD" w:rsidRDefault="00000000">
      <w:pPr>
        <w:pStyle w:val="FootnoteText"/>
      </w:pPr>
      <w:r>
        <w:rPr>
          <w:rStyle w:val="FootnoteReference"/>
        </w:rPr>
        <w:footnoteRef/>
      </w:r>
      <w:r>
        <w:t xml:space="preserve"> 2023 Ark. Acts No. 498 (H.B. 1253), codified at Ark. Code Ann. § 24-2-802(2)(B)(ii)(a)–(b) (fiduciary evaluation </w:t>
      </w:r>
      <w:r w:rsidR="00B62085">
        <w:t>“</w:t>
      </w:r>
      <w:r>
        <w:t>shall take into account only pecuniary factors</w:t>
      </w:r>
      <w:r w:rsidR="00B62085">
        <w:t>”</w:t>
      </w:r>
      <w:r>
        <w:t xml:space="preserve">; excludes long-horizon systemic risk from </w:t>
      </w:r>
      <w:r w:rsidR="00B62085">
        <w:t>“</w:t>
      </w:r>
      <w:r>
        <w:t>Material</w:t>
      </w:r>
      <w:r w:rsidR="00B62085">
        <w:t>”</w:t>
      </w:r>
      <w:r>
        <w:t>).</w:t>
      </w:r>
    </w:p>
  </w:footnote>
  <w:footnote w:id="52">
    <w:p w14:paraId="51CE3BA8" w14:textId="3D21A8F0" w:rsidR="005F5ACD" w:rsidRDefault="00000000">
      <w:pPr>
        <w:pStyle w:val="FootnoteText"/>
      </w:pPr>
      <w:r>
        <w:rPr>
          <w:rStyle w:val="FootnoteReference"/>
        </w:rPr>
        <w:footnoteRef/>
      </w:r>
      <w:r>
        <w:t xml:space="preserve"> Ch. 175, 2023 Mont. Laws (H.B. 228), codified at Mont. Code Ann. § 17-6-231(1)(b) (</w:t>
      </w:r>
      <w:r w:rsidR="00B62085">
        <w:t>“</w:t>
      </w:r>
      <w:r>
        <w:t>distant future</w:t>
      </w:r>
      <w:r w:rsidR="00B62085">
        <w:t>”</w:t>
      </w:r>
      <w:r>
        <w:t xml:space="preserve"> formulation parallels Arkansas</w:t>
      </w:r>
      <w:r w:rsidR="00B62085">
        <w:t>’</w:t>
      </w:r>
      <w:r>
        <w:t xml:space="preserve">s </w:t>
      </w:r>
      <w:r w:rsidR="00B62085">
        <w:t>“</w:t>
      </w:r>
      <w:r>
        <w:t>long-term future</w:t>
      </w:r>
      <w:r w:rsidR="00B62085">
        <w:t>”</w:t>
      </w:r>
      <w:r>
        <w:t xml:space="preserve"> carveout; parallelism suggests common drafting strategy).</w:t>
      </w:r>
    </w:p>
  </w:footnote>
  <w:footnote w:id="53">
    <w:p w14:paraId="6FD388F9" w14:textId="77777777" w:rsidR="005F5ACD" w:rsidRDefault="00000000">
      <w:pPr>
        <w:pStyle w:val="FootnoteText"/>
      </w:pPr>
      <w:r>
        <w:rPr>
          <w:rStyle w:val="FootnoteReference"/>
        </w:rPr>
        <w:footnoteRef/>
      </w:r>
      <w:r>
        <w:t xml:space="preserve"> 2023 Kan. Sess. Laws ch. 80 (H.B. 2100), codified at Kan. Stat. Ann. §§ 75-42a01 to 75-42a06, 74-4921 (closed-list pecuniary factors; treble-fee damages under Kan. Stat. Ann. § 75-42a05(c)).</w:t>
      </w:r>
    </w:p>
  </w:footnote>
  <w:footnote w:id="54">
    <w:p w14:paraId="213ABCB5" w14:textId="77777777" w:rsidR="005F5ACD" w:rsidRDefault="00000000">
      <w:pPr>
        <w:pStyle w:val="FootnoteText"/>
      </w:pPr>
      <w:r>
        <w:rPr>
          <w:rStyle w:val="FootnoteReference"/>
        </w:rPr>
        <w:footnoteRef/>
      </w:r>
      <w:r>
        <w:t xml:space="preserve"> 2025 Wyo. Sess. Laws ch. 151 (S.F. 191), codified at Wyo. Stat. § 9-4-722; 2025 Ark. Acts No. 308 (H.B. 1307), codified at Ark. Code Ann. §§ 28-69-802, 28-69-803(f)–(h) (extends closed-list definitional move to UPMIFA-derived institutional-fund standards for Arkansas state-supported funds, including university endowments).</w:t>
      </w:r>
    </w:p>
  </w:footnote>
  <w:footnote w:id="55">
    <w:p w14:paraId="65663628" w14:textId="42DBAE81" w:rsidR="005F5ACD" w:rsidRDefault="00000000">
      <w:pPr>
        <w:pStyle w:val="FootnoteText"/>
      </w:pPr>
      <w:r>
        <w:rPr>
          <w:rStyle w:val="FootnoteReference"/>
        </w:rPr>
        <w:footnoteRef/>
      </w:r>
      <w:r>
        <w:t xml:space="preserve"> </w:t>
      </w:r>
      <w:r>
        <w:rPr>
          <w:i/>
          <w:iCs/>
        </w:rPr>
        <w:t>ESG Oversight Committee Keeps 10 Financial Service Providers on List</w:t>
      </w:r>
      <w:r>
        <w:t xml:space="preserve">, Nw. Ark. Democrat-Gazette (May 9, 2024), https://www.nwaonline.com/news/2024/may/09/esg-oversight-committee-keeps-10-financial/; </w:t>
      </w:r>
      <w:r>
        <w:rPr>
          <w:i/>
          <w:iCs/>
        </w:rPr>
        <w:t>see</w:t>
      </w:r>
      <w:r>
        <w:t xml:space="preserve"> Ark. Code Ann. §§ 25-1-1001 to -1006 (2024). The vote was 3-2; the standard applied was the statutory ordinary-business-purpose criterion. Dissenting members Cook and </w:t>
      </w:r>
      <w:proofErr w:type="spellStart"/>
      <w:r>
        <w:t>Lundstrum</w:t>
      </w:r>
      <w:proofErr w:type="spellEnd"/>
      <w:r>
        <w:t xml:space="preserve"> viewed Goldman</w:t>
      </w:r>
      <w:r w:rsidR="00B62085">
        <w:t>’</w:t>
      </w:r>
      <w:r>
        <w:t>s policy as a legitimate risk-based business decision. The committee determination is administrative rather than adjudicative and does not constitute binding legal authority.</w:t>
      </w:r>
    </w:p>
  </w:footnote>
  <w:footnote w:id="56">
    <w:p w14:paraId="1D388489" w14:textId="0BEDC03A" w:rsidR="005F5ACD" w:rsidRDefault="00000000">
      <w:pPr>
        <w:pStyle w:val="FootnoteText"/>
      </w:pPr>
      <w:r>
        <w:rPr>
          <w:rStyle w:val="FootnoteReference"/>
        </w:rPr>
        <w:footnoteRef/>
      </w:r>
      <w:r>
        <w:t xml:space="preserve"> 2023 Tenn. Pub. Acts ch. 471 (H.B. 1286/S.B. 955), codified at Tenn. Code Ann. § 9-4-1401(2)(B). The </w:t>
      </w:r>
      <w:r w:rsidR="00B62085">
        <w:t>“</w:t>
      </w:r>
      <w:r>
        <w:t>data-based economic decisions and forecasting based on financial trends or themes</w:t>
      </w:r>
      <w:r w:rsidR="00B62085">
        <w:t>”</w:t>
      </w:r>
      <w:r>
        <w:t xml:space="preserve"> inclusion is the textual feature that distinguishes the Tennessee codification from the Arkansas variant.</w:t>
      </w:r>
    </w:p>
  </w:footnote>
  <w:footnote w:id="57">
    <w:p w14:paraId="1C4133BE" w14:textId="77777777" w:rsidR="005F5ACD" w:rsidRDefault="00000000">
      <w:pPr>
        <w:pStyle w:val="FootnoteText"/>
      </w:pPr>
      <w:r>
        <w:rPr>
          <w:rStyle w:val="FootnoteReference"/>
        </w:rPr>
        <w:footnoteRef/>
      </w:r>
      <w:r>
        <w:t xml:space="preserve"> </w:t>
      </w:r>
      <w:r>
        <w:rPr>
          <w:i/>
          <w:iCs/>
        </w:rPr>
        <w:t>See sources cited supra</w:t>
      </w:r>
      <w:r>
        <w:t xml:space="preserve"> note 9.</w:t>
      </w:r>
    </w:p>
  </w:footnote>
  <w:footnote w:id="58">
    <w:p w14:paraId="0C6ACDCD" w14:textId="07CC6CC1" w:rsidR="005F5ACD" w:rsidRDefault="00000000">
      <w:pPr>
        <w:pStyle w:val="FootnoteText"/>
      </w:pPr>
      <w:r>
        <w:rPr>
          <w:rStyle w:val="FootnoteReference"/>
        </w:rPr>
        <w:footnoteRef/>
      </w:r>
      <w:r>
        <w:t xml:space="preserve"> 2023 Ky. Acts ch. 94 (H.B. 236), codified at Ky. Rev. Stat. Ann. § 21.450(2)(c)(1)–(5). The enumerated-evidence list is non-exclusive (</w:t>
      </w:r>
      <w:r w:rsidR="00B62085">
        <w:t>“</w:t>
      </w:r>
      <w:r>
        <w:t>includes but is not limited to</w:t>
      </w:r>
      <w:r w:rsidR="00B62085">
        <w:t>”</w:t>
      </w:r>
      <w:r>
        <w:t>) and treats the specified artifacts as enumerated statutory evidence of nonpecuniary consideration. The clause operates within the broader operative architecture of HB 236, which also reaches public-fund investment decisions and proxy-voting practice.</w:t>
      </w:r>
    </w:p>
  </w:footnote>
  <w:footnote w:id="59">
    <w:p w14:paraId="7865F9C6" w14:textId="3C450312" w:rsidR="005F5ACD" w:rsidRDefault="00000000">
      <w:pPr>
        <w:pStyle w:val="FootnoteText"/>
      </w:pPr>
      <w:r>
        <w:rPr>
          <w:rStyle w:val="FootnoteReference"/>
        </w:rPr>
        <w:footnoteRef/>
      </w:r>
      <w:r>
        <w:t xml:space="preserve"> Ind. Pub. L. No. 206-2023 (H.B. 1008), codified at Ind. Code § 5-10.2-14. The Indiana statute couples a purpose test with an enumerated-evidence list that includes coalition membership and public commitments, producing an evidentiary architecture parallel to Kentucky HB 236</w:t>
      </w:r>
      <w:r w:rsidR="00B62085">
        <w:t>’</w:t>
      </w:r>
      <w:r>
        <w:t>s.</w:t>
      </w:r>
    </w:p>
  </w:footnote>
  <w:footnote w:id="60">
    <w:p w14:paraId="7B2C2BFE" w14:textId="77777777" w:rsidR="005F5ACD" w:rsidRDefault="00000000">
      <w:pPr>
        <w:pStyle w:val="FootnoteText"/>
      </w:pPr>
      <w:r>
        <w:rPr>
          <w:rStyle w:val="FootnoteReference"/>
        </w:rPr>
        <w:footnoteRef/>
      </w:r>
      <w:r>
        <w:t xml:space="preserve"> 2025 Ky. Acts ch. 115 (S.B. 183) (amending Ky. Rev. Stat. Ann. §§ 21.450, 61.650, 78.790, 161.430).</w:t>
      </w:r>
    </w:p>
  </w:footnote>
  <w:footnote w:id="61">
    <w:p w14:paraId="68A0B445" w14:textId="77777777" w:rsidR="005F5ACD" w:rsidRDefault="00000000">
      <w:pPr>
        <w:pStyle w:val="FootnoteText"/>
      </w:pPr>
      <w:r>
        <w:rPr>
          <w:rStyle w:val="FootnoteReference"/>
        </w:rPr>
        <w:footnoteRef/>
      </w:r>
      <w:r>
        <w:t xml:space="preserve"> 2024 S.C. Acts No. 103 (H. 3690), amending S.C. Code Ann. §§ 9-16-30(G), 9-16-50, 9-16-320, 9-16-330 and adding § 9-16-110. The statute establishes per-investment CEO certification and a manager-cascade through which non-certifying advisers face public listing.</w:t>
      </w:r>
    </w:p>
  </w:footnote>
  <w:footnote w:id="62">
    <w:p w14:paraId="7830A4CA" w14:textId="77777777" w:rsidR="005F5ACD" w:rsidRDefault="00000000">
      <w:pPr>
        <w:pStyle w:val="FootnoteText"/>
      </w:pPr>
      <w:r>
        <w:rPr>
          <w:rStyle w:val="FootnoteReference"/>
        </w:rPr>
        <w:footnoteRef/>
      </w:r>
      <w:r>
        <w:t xml:space="preserve"> 2023 W. Va. Acts ch. 274 (H.B. 2862), codified at W. Va. Code §§ 12-6-11a(d)(3), 12-6C-13(c). West Virginia HB 2862 layers an advance-notice / opportunity-to-instruct requirement before certain shareholder votes concerning nonpecuniary interests.</w:t>
      </w:r>
    </w:p>
  </w:footnote>
  <w:footnote w:id="63">
    <w:p w14:paraId="7D2EBE88" w14:textId="16E96DB8" w:rsidR="005F5ACD" w:rsidRDefault="00000000">
      <w:pPr>
        <w:pStyle w:val="FootnoteText"/>
      </w:pPr>
      <w:r>
        <w:rPr>
          <w:rStyle w:val="FootnoteReference"/>
        </w:rPr>
        <w:footnoteRef/>
      </w:r>
      <w:r>
        <w:t xml:space="preserve"> Cass R. Sunstein, </w:t>
      </w:r>
      <w:r>
        <w:rPr>
          <w:i/>
          <w:iCs/>
        </w:rPr>
        <w:t>On the Expressive Function of Law</w:t>
      </w:r>
      <w:r>
        <w:t>, 144 U. Pa. L. Rev. 2021, 2032–33 (1996) (</w:t>
      </w:r>
      <w:r w:rsidR="00B62085">
        <w:t>“</w:t>
      </w:r>
      <w:r>
        <w:t>[E]</w:t>
      </w:r>
      <w:proofErr w:type="spellStart"/>
      <w:r>
        <w:t>ventually</w:t>
      </w:r>
      <w:proofErr w:type="spellEnd"/>
      <w:r>
        <w:t xml:space="preserve"> there can be norm cascades, as reputational incentives shift behavior in new directions</w:t>
      </w:r>
      <w:r w:rsidR="00B62085">
        <w:t>”</w:t>
      </w:r>
      <w:r>
        <w:t xml:space="preserve">); Dan M. Kahan, </w:t>
      </w:r>
      <w:r>
        <w:rPr>
          <w:i/>
          <w:iCs/>
        </w:rPr>
        <w:t>The Secret Ambition of Deterrence</w:t>
      </w:r>
      <w:r>
        <w:t xml:space="preserve">, 113 Harv. L. Rev. 413, 417, 424–25 (1999) (recasting regulatory disputes as </w:t>
      </w:r>
      <w:r w:rsidR="00B62085">
        <w:t>“</w:t>
      </w:r>
      <w:r>
        <w:t xml:space="preserve">battles to control the </w:t>
      </w:r>
      <w:r>
        <w:rPr>
          <w:i/>
          <w:iCs/>
        </w:rPr>
        <w:t>expressive capital</w:t>
      </w:r>
      <w:r w:rsidR="00B62085">
        <w:t>”</w:t>
      </w:r>
      <w:r>
        <w:t xml:space="preserve"> of a legal regime; </w:t>
      </w:r>
      <w:r w:rsidR="00B62085">
        <w:t>“</w:t>
      </w:r>
      <w:r>
        <w:t>if even a small minority of cultural zealots remain committed to using the law to project the ascendancy of their norms, the less culturally ambitious majority will be goaded into expressive competition by way of self-defense</w:t>
      </w:r>
      <w:r w:rsidR="00B62085">
        <w:t>”</w:t>
      </w:r>
      <w:r>
        <w:t>).</w:t>
      </w:r>
    </w:p>
  </w:footnote>
  <w:footnote w:id="64">
    <w:p w14:paraId="05506FDB" w14:textId="77777777" w:rsidR="005F5ACD" w:rsidRDefault="00000000">
      <w:pPr>
        <w:pStyle w:val="FootnoteText"/>
      </w:pPr>
      <w:r>
        <w:rPr>
          <w:rStyle w:val="FootnoteReference"/>
        </w:rPr>
        <w:footnoteRef/>
      </w:r>
      <w:r>
        <w:t xml:space="preserve"> Bernard S. Black, </w:t>
      </w:r>
      <w:r>
        <w:rPr>
          <w:i/>
          <w:iCs/>
        </w:rPr>
        <w:t>Agents Watching Agents: The Promise of Institutional Investor Voice</w:t>
      </w:r>
      <w:r>
        <w:t>, 39 UCLA L. Rev. 811 (1992) (analyzing institutional-investor accountability architectures; documentation regimes change firm behavior asymmetrically because documented retreat is cheaper than documented persistence).</w:t>
      </w:r>
    </w:p>
  </w:footnote>
  <w:footnote w:id="65">
    <w:p w14:paraId="79DFCF31" w14:textId="42C4284B" w:rsidR="005F5ACD" w:rsidRDefault="00000000">
      <w:pPr>
        <w:pStyle w:val="FootnoteText"/>
      </w:pPr>
      <w:r>
        <w:rPr>
          <w:rStyle w:val="FootnoteReference"/>
        </w:rPr>
        <w:footnoteRef/>
      </w:r>
      <w:r>
        <w:t xml:space="preserve"> Act of June 14, 2021, 87th Leg., R.S., ch. 529, 2021 Tex. Gen. Laws (S.B. 13), codified principally at Tex. Gov</w:t>
      </w:r>
      <w:r w:rsidR="00B62085">
        <w:t>’</w:t>
      </w:r>
      <w:r>
        <w:t xml:space="preserve">t Code </w:t>
      </w:r>
      <w:proofErr w:type="spellStart"/>
      <w:r>
        <w:t>ch.</w:t>
      </w:r>
      <w:proofErr w:type="spellEnd"/>
      <w:r>
        <w:t> 809, and ch. 2276.</w:t>
      </w:r>
    </w:p>
  </w:footnote>
  <w:footnote w:id="66">
    <w:p w14:paraId="1A1C7234" w14:textId="021959AA" w:rsidR="005F5ACD" w:rsidRDefault="00000000">
      <w:pPr>
        <w:pStyle w:val="FootnoteText"/>
      </w:pPr>
      <w:r>
        <w:rPr>
          <w:rStyle w:val="FootnoteReference"/>
        </w:rPr>
        <w:footnoteRef/>
      </w:r>
      <w:r>
        <w:t xml:space="preserve"> Tex. Gov</w:t>
      </w:r>
      <w:r w:rsidR="00B62085">
        <w:t>’</w:t>
      </w:r>
      <w:r>
        <w:t xml:space="preserve">t Code § 809.001(1). The </w:t>
      </w:r>
      <w:r w:rsidR="00B62085">
        <w:t>“</w:t>
      </w:r>
      <w:r>
        <w:t>ordinary business purposes</w:t>
      </w:r>
      <w:r w:rsidR="00B62085">
        <w:t>”</w:t>
      </w:r>
      <w:r>
        <w:t xml:space="preserve"> exception is the principal in-statute carveout.</w:t>
      </w:r>
    </w:p>
  </w:footnote>
  <w:footnote w:id="67">
    <w:p w14:paraId="505601D7" w14:textId="7430C302" w:rsidR="005F5ACD" w:rsidRDefault="00000000">
      <w:pPr>
        <w:pStyle w:val="FootnoteText"/>
      </w:pPr>
      <w:r>
        <w:rPr>
          <w:rStyle w:val="FootnoteReference"/>
        </w:rPr>
        <w:footnoteRef/>
      </w:r>
      <w:r>
        <w:t xml:space="preserve"> For the First Amendment overbreadth and Fourteenth Amendment vagueness analysis of TX SB 13</w:t>
      </w:r>
      <w:r w:rsidR="00B62085">
        <w:t>’</w:t>
      </w:r>
      <w:r>
        <w:t xml:space="preserve">s procurement and divestment architecture, see </w:t>
      </w:r>
      <w:r>
        <w:rPr>
          <w:i/>
          <w:iCs/>
        </w:rPr>
        <w:t>American Sustainable Business Council v. Hegar</w:t>
      </w:r>
      <w:r>
        <w:t xml:space="preserve">, 2026 U.S. Dist. LEXIS 22918 (W.D. Tex. Feb. 4, 2026) (No. 1:24-cv-01010-ADA) (granting partial summary judgment), appeal docketed, No. 26-50111 (5th Cir.). The dormant-Commerce-Clause / </w:t>
      </w:r>
      <w:r>
        <w:rPr>
          <w:i/>
          <w:iCs/>
        </w:rPr>
        <w:t>Wunnicke</w:t>
      </w:r>
      <w:r>
        <w:t xml:space="preserve"> downstream-restriction analysis applied to the same firmwide-reach architecture applies </w:t>
      </w:r>
      <w:r>
        <w:rPr>
          <w:i/>
          <w:iCs/>
        </w:rPr>
        <w:t>South-Central Timber</w:t>
      </w:r>
      <w:r>
        <w:t xml:space="preserve"> to the same statutory architecture, not an additional holding of </w:t>
      </w:r>
      <w:r>
        <w:rPr>
          <w:i/>
          <w:iCs/>
        </w:rPr>
        <w:t>ASBC</w:t>
      </w:r>
      <w:r>
        <w:t>.</w:t>
      </w:r>
    </w:p>
  </w:footnote>
  <w:footnote w:id="68">
    <w:p w14:paraId="0E9183DA" w14:textId="77777777" w:rsidR="005F5ACD" w:rsidRDefault="00000000">
      <w:pPr>
        <w:pStyle w:val="FootnoteText"/>
      </w:pPr>
      <w:r>
        <w:rPr>
          <w:rStyle w:val="FootnoteReference"/>
        </w:rPr>
        <w:footnoteRef/>
      </w:r>
      <w:r>
        <w:t xml:space="preserve"> 2022 Okla. Sess. Laws ch. 231 (H.B. 2034) (the Oklahoma Energy Discrimination Elimination Act), codified at Okla. Stat. tit. 74, §§ 12001–12006. The ordinary-business-purpose definition appears at § 12002(A)(1); the fiduciary-responsibility exception appears at § 12002(D)(3); and the divestment-delay / schedule provisions appear at § 12003(D)–(F).</w:t>
      </w:r>
    </w:p>
  </w:footnote>
  <w:footnote w:id="69">
    <w:p w14:paraId="7F7C0780" w14:textId="2F0B3809" w:rsidR="005F5ACD" w:rsidRDefault="00000000">
      <w:pPr>
        <w:pStyle w:val="FootnoteText"/>
      </w:pPr>
      <w:r>
        <w:rPr>
          <w:rStyle w:val="FootnoteReference"/>
        </w:rPr>
        <w:footnoteRef/>
      </w:r>
      <w:r>
        <w:t xml:space="preserve"> </w:t>
      </w:r>
      <w:r>
        <w:rPr>
          <w:i/>
          <w:iCs/>
        </w:rPr>
        <w:t>Keenan</w:t>
      </w:r>
      <w:r>
        <w:t>, 2026 OK 20, ¶ 60 (Jett, J., recused; 5-3) (holding the EDEA, as applied to OPERS, conflicts with Okla. Const. Art. XXIII, § 12</w:t>
      </w:r>
      <w:r w:rsidR="00B62085">
        <w:t>’</w:t>
      </w:r>
      <w:r>
        <w:t>s exclusive-purpose pension clause; the $9.7 million figure is OPERS</w:t>
      </w:r>
      <w:r w:rsidR="00B62085">
        <w:t>’</w:t>
      </w:r>
      <w:r>
        <w:t>s forward-looking litigation-record estimate of one-time switching costs if compelled to comply with the EDEA, not an independent post-implementation realized loss). The holding is binding Oklahoma constitutional law as applied to OPERS and does not generalize to states without comparable exclusive-purpose provisions.</w:t>
      </w:r>
    </w:p>
  </w:footnote>
  <w:footnote w:id="70">
    <w:p w14:paraId="5438BA60" w14:textId="77777777" w:rsidR="005F5ACD" w:rsidRDefault="00000000">
      <w:pPr>
        <w:pStyle w:val="FootnoteText"/>
      </w:pPr>
      <w:r>
        <w:rPr>
          <w:rStyle w:val="FootnoteReference"/>
        </w:rPr>
        <w:footnoteRef/>
      </w:r>
      <w:r>
        <w:t xml:space="preserve"> 2022 Ky. Acts ch. 120 (S.B. 205), codified at Ky. Rev. Stat. Ann. §§ 41.470–41.480; 2022 W. Va. Acts ch. 235 (S.B. 262), codified at W. Va. Code §§ 12-1C-1 to 12-1C-7. For </w:t>
      </w:r>
      <w:r>
        <w:rPr>
          <w:i/>
          <w:iCs/>
        </w:rPr>
        <w:t>South-Central Timber Development, Inc. v. Wunnicke</w:t>
      </w:r>
      <w:r>
        <w:t>, 467 U.S. 82 (1984), and the market-participant/downstream-restriction line, see Part III §III.D below.</w:t>
      </w:r>
    </w:p>
  </w:footnote>
  <w:footnote w:id="71">
    <w:p w14:paraId="1F52DEE7" w14:textId="77777777" w:rsidR="005F5ACD" w:rsidRDefault="00000000">
      <w:pPr>
        <w:pStyle w:val="FootnoteText"/>
      </w:pPr>
      <w:r>
        <w:rPr>
          <w:rStyle w:val="FootnoteReference"/>
        </w:rPr>
        <w:footnoteRef/>
      </w:r>
      <w:r>
        <w:t xml:space="preserve"> </w:t>
      </w:r>
      <w:r>
        <w:rPr>
          <w:i/>
          <w:iCs/>
        </w:rPr>
        <w:t>South-Central Timber Dev., Inc. v. Wunnicke</w:t>
      </w:r>
      <w:r>
        <w:t>, 467 U.S. 82 (1984). The Court held that the market-participant doctrine does not protect a State that imposes conditions reaching beyond the immediate market in which the State participates.</w:t>
      </w:r>
    </w:p>
  </w:footnote>
  <w:footnote w:id="72">
    <w:p w14:paraId="493DF838" w14:textId="77777777" w:rsidR="005F5ACD" w:rsidRDefault="00000000">
      <w:pPr>
        <w:pStyle w:val="FootnoteText"/>
      </w:pPr>
      <w:r>
        <w:rPr>
          <w:rStyle w:val="FootnoteReference"/>
        </w:rPr>
        <w:footnoteRef/>
      </w:r>
      <w:r>
        <w:t xml:space="preserve"> Press Release, Tex. Comptroller of Pub. Accts., </w:t>
      </w:r>
      <w:r>
        <w:rPr>
          <w:i/>
          <w:iCs/>
        </w:rPr>
        <w:t>Texas Comptroller Glenn Hegar Announces Update to List of Financial Companies that Boycott Energy Companies</w:t>
      </w:r>
      <w:r>
        <w:t xml:space="preserve"> (June 3, 2025), https://comptroller.texas.gov/about/media-center/news/20250603-texas-comptroller-glenn-hegar-announces-update-to-list-of-financial-companies-that-boycott-energy-companies-1746731924320. The updated list identified approximately 332 funds for state-pension divestment, down from approximately 350 in November 2023. The removal is analyzed further in §IV.B as illustrating the compliance-overhang mechanism.</w:t>
      </w:r>
    </w:p>
  </w:footnote>
  <w:footnote w:id="73">
    <w:p w14:paraId="69684DF0" w14:textId="16BFD8BC" w:rsidR="005F5ACD" w:rsidRDefault="00000000">
      <w:pPr>
        <w:pStyle w:val="FootnoteText"/>
      </w:pPr>
      <w:r>
        <w:rPr>
          <w:rStyle w:val="FootnoteReference"/>
        </w:rPr>
        <w:footnoteRef/>
      </w:r>
      <w:r>
        <w:t xml:space="preserve"> Ch. 2023-28, Laws of Fla. (H.B. 3), codified in relevant part at Fla. Stat. § 655.0323. The provision codifies HB 3</w:t>
      </w:r>
      <w:r w:rsidR="00B62085">
        <w:t>’</w:t>
      </w:r>
      <w:r>
        <w:t>s banking discrimination prohibition; HB 3</w:t>
      </w:r>
      <w:r w:rsidR="00B62085">
        <w:t>’</w:t>
      </w:r>
      <w:r>
        <w:t>s public-investment provisions operate separately.</w:t>
      </w:r>
    </w:p>
  </w:footnote>
  <w:footnote w:id="74">
    <w:p w14:paraId="6182E8F8" w14:textId="33134322" w:rsidR="005F5ACD" w:rsidRDefault="00000000">
      <w:pPr>
        <w:pStyle w:val="FootnoteText"/>
      </w:pPr>
      <w:r>
        <w:rPr>
          <w:rStyle w:val="FootnoteReference"/>
        </w:rPr>
        <w:footnoteRef/>
      </w:r>
      <w:r>
        <w:t xml:space="preserve"> 2024 Tenn. Pub. Acts ch. 746 (H.B. 2100/S.B. 2148), codified at Tenn. Code Ann. §§ 45-1-128, 56-8-114 (insurance variant); 2025 Idaho Sess. Laws ch. 164 (S.B. 1027), codified at Idaho Code §§ 26-3801 to 26-3806 (with § 26-3803 supplying the operative prohibition); Laws of Utah 2026, ch. 235 (S.B. 298), codified at Utah Code Ann. §§ 70A-9a-901 to 70A-9a-904 (enacted, effective May 5, 2027). The Utah variant</w:t>
      </w:r>
      <w:r w:rsidR="00B62085">
        <w:t>’</w:t>
      </w:r>
      <w:r>
        <w:t>s absence of an ordinary individualized-risk carveout sharpens the National Bank Act and Dodd-Frank § 25b preemption questions Part III addresses.</w:t>
      </w:r>
    </w:p>
  </w:footnote>
  <w:footnote w:id="75">
    <w:p w14:paraId="76306ACD" w14:textId="2C5C60E5" w:rsidR="005F5ACD" w:rsidRDefault="00000000">
      <w:pPr>
        <w:pStyle w:val="FootnoteText"/>
      </w:pPr>
      <w:r>
        <w:rPr>
          <w:rStyle w:val="FootnoteReference"/>
        </w:rPr>
        <w:footnoteRef/>
      </w:r>
      <w:r>
        <w:t xml:space="preserve"> Idaho H 190 defines boycott/discrimination language around whether a person or organization </w:t>
      </w:r>
      <w:r w:rsidR="00B62085">
        <w:t>“</w:t>
      </w:r>
      <w:r>
        <w:t>(a) [e]</w:t>
      </w:r>
      <w:proofErr w:type="spellStart"/>
      <w:r>
        <w:t>ngages</w:t>
      </w:r>
      <w:proofErr w:type="spellEnd"/>
      <w:r>
        <w:t xml:space="preserve"> in a particular business sector; (b) [e]ngages in a particular business sector and does not commit or pledge to meet standards beyond applicable federal and state law; or (c) [d]</w:t>
      </w:r>
      <w:proofErr w:type="spellStart"/>
      <w:r>
        <w:t>oes</w:t>
      </w:r>
      <w:proofErr w:type="spellEnd"/>
      <w:r>
        <w:t xml:space="preserve"> business with</w:t>
      </w:r>
      <w:r w:rsidR="00B62085">
        <w:t>”</w:t>
      </w:r>
      <w:r>
        <w:t xml:space="preserve"> such a person or organization. Florida and Tennessee use business-sector / quantitative-risk language in their financial-services statutes. Utah SB 298 reaches transaction denial or failure </w:t>
      </w:r>
      <w:r w:rsidR="00B62085">
        <w:t>“</w:t>
      </w:r>
      <w:r>
        <w:t>through direct action, automation, or programming</w:t>
      </w:r>
      <w:r w:rsidR="00B62085">
        <w:t>”</w:t>
      </w:r>
      <w:r>
        <w:t xml:space="preserve"> and references </w:t>
      </w:r>
      <w:r w:rsidR="00B62085">
        <w:t>“</w:t>
      </w:r>
      <w:r>
        <w:t>any other lawful acts or behavior.</w:t>
      </w:r>
      <w:r w:rsidR="00B62085">
        <w:t>”</w:t>
      </w:r>
      <w:r>
        <w:t xml:space="preserve"> For failed outer-edge examples, verified sources only: Kansas HB 2404/SB 224 scripted an investment-adviser consent warning for funds engaged in </w:t>
      </w:r>
      <w:r w:rsidR="00B62085">
        <w:t>“</w:t>
      </w:r>
      <w:r>
        <w:t>ideological boycotts</w:t>
      </w:r>
      <w:r w:rsidR="00B62085">
        <w:t>”</w:t>
      </w:r>
      <w:r>
        <w:t xml:space="preserve">; WV SB 663 and NH HB 359 used objective-risk-only financial-services language; OK HB 3172/WV SB 569/SC H 4616 used </w:t>
      </w:r>
      <w:r w:rsidR="00B62085">
        <w:t>“</w:t>
      </w:r>
      <w:r>
        <w:t>lawful economic activity</w:t>
      </w:r>
      <w:r w:rsidR="00B62085">
        <w:t>”</w:t>
      </w:r>
      <w:r>
        <w:t xml:space="preserve"> fair-banking formulations.</w:t>
      </w:r>
    </w:p>
  </w:footnote>
  <w:footnote w:id="76">
    <w:p w14:paraId="3A7E2C37" w14:textId="77777777" w:rsidR="005F5ACD" w:rsidRDefault="00000000">
      <w:pPr>
        <w:pStyle w:val="FootnoteText"/>
      </w:pPr>
      <w:r>
        <w:rPr>
          <w:rStyle w:val="FootnoteReference"/>
        </w:rPr>
        <w:footnoteRef/>
      </w:r>
      <w:r>
        <w:t xml:space="preserve"> Act of June 20, 2025, 89th Leg., R.S., ch. 1153, 2025 Tex. Gen. Laws (S.B. 2337), codified at Tex. Bus. Orgs. Code §§ 6A.101(a)(2), 6A.101(b)(1)(A)–(B), (b)(3), 6A.201–6A.202.</w:t>
      </w:r>
    </w:p>
  </w:footnote>
  <w:footnote w:id="77">
    <w:p w14:paraId="1573097B" w14:textId="77777777" w:rsidR="005F5ACD" w:rsidRDefault="00000000">
      <w:pPr>
        <w:pStyle w:val="FootnoteText"/>
      </w:pPr>
      <w:r>
        <w:rPr>
          <w:rStyle w:val="FootnoteReference"/>
        </w:rPr>
        <w:footnoteRef/>
      </w:r>
      <w:r>
        <w:t xml:space="preserve"> Ind. Pub. L. No. 60-2026 (H.B. 1273), codified at Ind. Code § 24-4-27.5.</w:t>
      </w:r>
    </w:p>
  </w:footnote>
  <w:footnote w:id="78">
    <w:p w14:paraId="793F82CE" w14:textId="77777777" w:rsidR="005F5ACD" w:rsidRDefault="00000000">
      <w:pPr>
        <w:pStyle w:val="FootnoteText"/>
      </w:pPr>
      <w:r>
        <w:rPr>
          <w:rStyle w:val="FootnoteReference"/>
        </w:rPr>
        <w:footnoteRef/>
      </w:r>
      <w:r>
        <w:t xml:space="preserve"> 2026 Kan. Sess. Laws ch. 146 (S.B. 375).</w:t>
      </w:r>
    </w:p>
  </w:footnote>
  <w:footnote w:id="79">
    <w:p w14:paraId="148A11D9" w14:textId="6B01A420" w:rsidR="005F5ACD" w:rsidRDefault="00000000">
      <w:pPr>
        <w:pStyle w:val="FootnoteText"/>
      </w:pPr>
      <w:r>
        <w:rPr>
          <w:rStyle w:val="FootnoteReference"/>
        </w:rPr>
        <w:footnoteRef/>
      </w:r>
      <w:r>
        <w:t xml:space="preserve"> </w:t>
      </w:r>
      <w:r>
        <w:rPr>
          <w:i/>
          <w:iCs/>
        </w:rPr>
        <w:t>NIFLA v. Becerra</w:t>
      </w:r>
      <w:r>
        <w:t xml:space="preserve">, 585 U.S. 755, 768–71 (2018); </w:t>
      </w:r>
      <w:r>
        <w:rPr>
          <w:i/>
          <w:iCs/>
        </w:rPr>
        <w:t>Zauderer v. Office of Disciplinary Counsel</w:t>
      </w:r>
      <w:r>
        <w:t xml:space="preserve">, 471 U.S. 626 (1985). The factual/interpretive line drawn in </w:t>
      </w:r>
      <w:r>
        <w:rPr>
          <w:i/>
          <w:iCs/>
        </w:rPr>
        <w:t>NIFLA</w:t>
      </w:r>
      <w:r>
        <w:t xml:space="preserve"> at 768–71 controls the analysis of the proxy-adviser disclaimer and characterization architecture. For the Texas-specific litigation positioning, see </w:t>
      </w:r>
      <w:r>
        <w:rPr>
          <w:i/>
          <w:iCs/>
        </w:rPr>
        <w:t>Glass Lewis &amp; Co., LLC v. Paxton</w:t>
      </w:r>
      <w:r>
        <w:t xml:space="preserve">, No. 1:25-cv-01153 (W.D. Tex.) and </w:t>
      </w:r>
      <w:r>
        <w:rPr>
          <w:i/>
          <w:iCs/>
        </w:rPr>
        <w:t xml:space="preserve">Institutional </w:t>
      </w:r>
      <w:proofErr w:type="spellStart"/>
      <w:r>
        <w:rPr>
          <w:i/>
          <w:iCs/>
        </w:rPr>
        <w:t>S</w:t>
      </w:r>
      <w:r w:rsidR="00B62085">
        <w:rPr>
          <w:i/>
          <w:iCs/>
        </w:rPr>
        <w:t>’</w:t>
      </w:r>
      <w:r>
        <w:rPr>
          <w:i/>
          <w:iCs/>
        </w:rPr>
        <w:t>holder</w:t>
      </w:r>
      <w:proofErr w:type="spellEnd"/>
      <w:r>
        <w:rPr>
          <w:i/>
          <w:iCs/>
        </w:rPr>
        <w:t xml:space="preserve"> Servs., Inc. v. Paxton</w:t>
      </w:r>
      <w:r>
        <w:t>, No. 1:25-cv-01160 (W.D. Tex.) (preliminary injunctions Aug. 29, 2025, treating the requirements as compelled interpretive speech subject to ordinary scrutiny).</w:t>
      </w:r>
    </w:p>
  </w:footnote>
  <w:footnote w:id="80">
    <w:p w14:paraId="0FDB72CC" w14:textId="77777777" w:rsidR="005F5ACD" w:rsidRDefault="00000000">
      <w:pPr>
        <w:pStyle w:val="FootnoteText"/>
      </w:pPr>
      <w:r>
        <w:rPr>
          <w:rStyle w:val="FootnoteReference"/>
        </w:rPr>
        <w:footnoteRef/>
      </w:r>
      <w:r>
        <w:t xml:space="preserve"> 2023 Cal. Stat. ch. 382 (S.B. 253), codified at Cal. Health &amp; Safety Code § 38532. The statute requires audited Scope 1, Scope 2, and Scope 3 disclosure under standardized frameworks.</w:t>
      </w:r>
    </w:p>
  </w:footnote>
  <w:footnote w:id="81">
    <w:p w14:paraId="70CFC217" w14:textId="77777777" w:rsidR="005F5ACD" w:rsidRDefault="00000000">
      <w:pPr>
        <w:pStyle w:val="FootnoteText"/>
      </w:pPr>
      <w:r>
        <w:rPr>
          <w:rStyle w:val="FootnoteReference"/>
        </w:rPr>
        <w:footnoteRef/>
      </w:r>
      <w:r>
        <w:t xml:space="preserve"> 2023 Cal. Stat. ch. 383 (S.B. 261), codified at Cal. Health &amp; Safety Code § 38533. The statute requires narrative disclosure of climate-related financial risk under TCFD-style frameworks.</w:t>
      </w:r>
    </w:p>
  </w:footnote>
  <w:footnote w:id="82">
    <w:p w14:paraId="6D55DF38" w14:textId="77777777" w:rsidR="005F5ACD" w:rsidRDefault="00000000">
      <w:pPr>
        <w:pStyle w:val="FootnoteText"/>
      </w:pPr>
      <w:r>
        <w:rPr>
          <w:rStyle w:val="FootnoteReference"/>
        </w:rPr>
        <w:footnoteRef/>
      </w:r>
      <w:r>
        <w:t xml:space="preserve"> </w:t>
      </w:r>
      <w:r>
        <w:rPr>
          <w:i/>
          <w:iCs/>
        </w:rPr>
        <w:t>Chamber of Commerce of the United States v. Sanchez</w:t>
      </w:r>
      <w:r>
        <w:t xml:space="preserve">, No. 25-5327 (9th Cir. 2025) (appeal from No. 2:24-cv-00801-ODW-PVC (C.D. Cal.)); Order Granting in Part and Denying in Part Motion for Injunction Pending Appeal, </w:t>
      </w:r>
      <w:r>
        <w:rPr>
          <w:i/>
          <w:iCs/>
        </w:rPr>
        <w:t>Chamber of Commerce of the United States v. Sanchez</w:t>
      </w:r>
      <w:r>
        <w:t xml:space="preserve">, No. 25-5327 (9th Cir. Nov. 18, 2025). For current enforcement posture, see Cal. Air Res. Bd., </w:t>
      </w:r>
      <w:r>
        <w:rPr>
          <w:i/>
          <w:iCs/>
        </w:rPr>
        <w:t>SB 261 Enforcement Advisory</w:t>
      </w:r>
      <w:r>
        <w:t xml:space="preserve"> (Dec. 1, 2025), https://ww2.arb.ca.gov/sites/default/files/2025-12/Dec%201%20SB%20261%20Enforcement%20Advisory.pdf (suspending CARB enforcement of Health &amp; Safety Code § 38533 during pendency of the Ninth Circuit injunction). The case has appeared in some public materials under the caption </w:t>
      </w:r>
      <w:r>
        <w:rPr>
          <w:i/>
          <w:iCs/>
        </w:rPr>
        <w:t>Chamber of Commerce v. Randolph</w:t>
      </w:r>
      <w:r>
        <w:t xml:space="preserve">; the current controlling public caption used by CARB and on the Supreme Court emergency-application docket (Sup. Ct. Dkt. 25A561, application withdrawn Nov. 18, 2025) is </w:t>
      </w:r>
      <w:r>
        <w:rPr>
          <w:i/>
          <w:iCs/>
        </w:rPr>
        <w:t>Sanchez</w:t>
      </w:r>
      <w:r>
        <w:t>.</w:t>
      </w:r>
    </w:p>
  </w:footnote>
  <w:footnote w:id="83">
    <w:p w14:paraId="126152B8" w14:textId="77777777" w:rsidR="005F5ACD" w:rsidRDefault="00000000">
      <w:pPr>
        <w:pStyle w:val="FootnoteText"/>
      </w:pPr>
      <w:r>
        <w:rPr>
          <w:rStyle w:val="FootnoteReference"/>
        </w:rPr>
        <w:footnoteRef/>
      </w:r>
      <w:r>
        <w:t xml:space="preserve"> Laws of Utah 2023, ch. 298 (H.B. 449), codified at Utah Code Ann. §§ 13-63-101, 13-63-201.</w:t>
      </w:r>
    </w:p>
  </w:footnote>
  <w:footnote w:id="84">
    <w:p w14:paraId="3AAF1B8F" w14:textId="77777777" w:rsidR="005F5ACD" w:rsidRDefault="00000000">
      <w:pPr>
        <w:pStyle w:val="FootnoteText"/>
      </w:pPr>
      <w:r>
        <w:rPr>
          <w:rStyle w:val="FootnoteReference"/>
        </w:rPr>
        <w:footnoteRef/>
      </w:r>
      <w:r>
        <w:t xml:space="preserve"> </w:t>
      </w:r>
      <w:r>
        <w:rPr>
          <w:i/>
          <w:iCs/>
        </w:rPr>
        <w:t>See</w:t>
      </w:r>
      <w:r>
        <w:t xml:space="preserve"> Ethan J. Leib &amp; James J. Brudney, </w:t>
      </w:r>
      <w:r>
        <w:rPr>
          <w:i/>
          <w:iCs/>
        </w:rPr>
        <w:t>The Belt-and-Suspenders Canon</w:t>
      </w:r>
      <w:r>
        <w:t>, 105 Iowa L. Rev. 735, 740, 767–68 (2020) (four-point test concept: redundancy, workable pathway, agency interpretation, and collateral-attack binding; a nominally redundant savings clause paired with a contrary operative restriction does not cure the restriction through surplusage-preservation alone).</w:t>
      </w:r>
    </w:p>
  </w:footnote>
  <w:footnote w:id="85">
    <w:p w14:paraId="6AC1180F" w14:textId="27A801DB" w:rsidR="005F5ACD" w:rsidRDefault="00000000">
      <w:pPr>
        <w:pStyle w:val="FootnoteText"/>
      </w:pPr>
      <w:r>
        <w:rPr>
          <w:rStyle w:val="FootnoteReference"/>
        </w:rPr>
        <w:footnoteRef/>
      </w:r>
      <w:r>
        <w:t xml:space="preserve"> Kentucky CERS Board Determination, Feb. 8, 2023 (on file with author) (determining that KY SB 205</w:t>
      </w:r>
      <w:r w:rsidR="00B62085">
        <w:t>’</w:t>
      </w:r>
      <w:r>
        <w:t xml:space="preserve">s requirements were inconsistent with fiduciary responsibilities and invoking the self-exemption mechanism); </w:t>
      </w:r>
      <w:r>
        <w:rPr>
          <w:i/>
          <w:iCs/>
        </w:rPr>
        <w:t>see also</w:t>
      </w:r>
      <w:r>
        <w:t xml:space="preserve"> MainePERS, Investment Report and Fossil-Fuel Exposure Update, Jan. 2026 (on file with author) (reporting that compliance with the fossil-fuel divestment mandate would have tripled management fees, prompting reliance on the § 1957(3) fiduciary-responsibility override on Attorney General advice).</w:t>
      </w:r>
    </w:p>
  </w:footnote>
  <w:footnote w:id="86">
    <w:p w14:paraId="0CC4F2DC" w14:textId="55B0971B" w:rsidR="005F5ACD" w:rsidRDefault="00000000">
      <w:pPr>
        <w:pStyle w:val="FootnoteText"/>
      </w:pPr>
      <w:r>
        <w:rPr>
          <w:rStyle w:val="FootnoteReference"/>
        </w:rPr>
        <w:footnoteRef/>
      </w:r>
      <w:r>
        <w:t xml:space="preserve"> The gap between statutory carveout text and administrative application is illustrated by the Arkansas ESG Oversight Committee</w:t>
      </w:r>
      <w:r w:rsidR="00B62085">
        <w:t>’</w:t>
      </w:r>
      <w:r>
        <w:t>s May 2024 determination. By 3-2 administrative vote, the Committee found that Goldman Sachs</w:t>
      </w:r>
      <w:r w:rsidR="00B62085">
        <w:t>’</w:t>
      </w:r>
      <w:r>
        <w:t>s policy declining to finance new coal-fired power generation, new thermal coal mining, and new upstream Arctic oil and gas exploration did not satisfy the statutory ordinary-business-purpose exception under Ark. Code Ann. § 25-1-1006 (2024), placing standard climate-finance screens within the statute</w:t>
      </w:r>
      <w:r w:rsidR="00B62085">
        <w:t>’</w:t>
      </w:r>
      <w:r>
        <w:t>s restricted-list architecture. Committee Chairman David Scott</w:t>
      </w:r>
      <w:r w:rsidR="00B62085">
        <w:t>’</w:t>
      </w:r>
      <w:r>
        <w:t xml:space="preserve">s public statement distinguished </w:t>
      </w:r>
      <w:r w:rsidR="00B62085">
        <w:t>“</w:t>
      </w:r>
      <w:r>
        <w:t>policies based on ordinary business practices</w:t>
      </w:r>
      <w:r w:rsidR="00B62085">
        <w:t>”</w:t>
      </w:r>
      <w:r>
        <w:t xml:space="preserve"> from </w:t>
      </w:r>
      <w:r w:rsidR="00B62085">
        <w:t>“</w:t>
      </w:r>
      <w:r>
        <w:t>environmental policy decisions</w:t>
      </w:r>
      <w:r w:rsidR="00B62085">
        <w:t>”—</w:t>
      </w:r>
      <w:r>
        <w:t>confirming that the ordinary-business-purpose carveout operates as a record-based fiduciary carveout in statutory text but as an authority-dependent carveout in administrative application when the agency attributes climate-finance policies to ideological rather than risk-based motives. The Committee</w:t>
      </w:r>
      <w:r w:rsidR="00B62085">
        <w:t>’</w:t>
      </w:r>
      <w:r>
        <w:t>s 3-2 split is also illustrative: dissenters viewed Goldman</w:t>
      </w:r>
      <w:r w:rsidR="00B62085">
        <w:t>’</w:t>
      </w:r>
      <w:r>
        <w:t xml:space="preserve">s policy as a legitimate risk-based business decision, confirming that application of the </w:t>
      </w:r>
      <w:r w:rsidR="00B62085">
        <w:t>“</w:t>
      </w:r>
      <w:r>
        <w:t>ordinary business purposes</w:t>
      </w:r>
      <w:r w:rsidR="00B62085">
        <w:t>”</w:t>
      </w:r>
      <w:r>
        <w:t xml:space="preserve"> exception turns on contested factual characterization of institutional motive rather than on objective criteria. </w:t>
      </w:r>
      <w:r>
        <w:rPr>
          <w:i/>
          <w:iCs/>
        </w:rPr>
        <w:t>ESG Oversight Committee Keeps 10 Financial Service Providers on List</w:t>
      </w:r>
      <w:r>
        <w:t xml:space="preserve">, Nw. Ark. Democrat-Gazette (May 9, 2024), https://www.nwaonline.com/news/2024/may/09/esg-oversight-committee-keeps-10-financial/; </w:t>
      </w:r>
      <w:r>
        <w:rPr>
          <w:i/>
          <w:iCs/>
        </w:rPr>
        <w:t>see</w:t>
      </w:r>
      <w:r>
        <w:t xml:space="preserve"> Ark. Code Ann. §§ 25-1-1001 to -1006 (2024).</w:t>
      </w:r>
    </w:p>
  </w:footnote>
  <w:footnote w:id="87">
    <w:p w14:paraId="7AA59B9D" w14:textId="77777777" w:rsidR="005F5ACD" w:rsidRDefault="00000000">
      <w:pPr>
        <w:pStyle w:val="FootnoteText"/>
      </w:pPr>
      <w:r>
        <w:rPr>
          <w:rStyle w:val="FootnoteReference"/>
        </w:rPr>
        <w:footnoteRef/>
      </w:r>
      <w:r>
        <w:t xml:space="preserve"> Me. Pub. L. 2021, ch. 231 (L.D. 99), codified at Me. Rev. Stat. tit. 5, § 1957(3). The fiduciary-obligations override functions as a record-based fiduciary carveout by preserving fiduciary-responsibility limits on implementation of the divestment direction.</w:t>
      </w:r>
    </w:p>
  </w:footnote>
  <w:footnote w:id="88">
    <w:p w14:paraId="7D56D954" w14:textId="77777777" w:rsidR="0006423C" w:rsidRDefault="0006423C" w:rsidP="0006423C">
      <w:pPr>
        <w:pStyle w:val="FootnoteText"/>
      </w:pPr>
      <w:r>
        <w:rPr>
          <w:rStyle w:val="FootnoteReference"/>
        </w:rPr>
        <w:footnoteRef/>
      </w:r>
      <w:r>
        <w:t xml:space="preserve"> </w:t>
      </w:r>
      <w:r>
        <w:rPr>
          <w:i/>
          <w:iCs/>
        </w:rPr>
        <w:t>Keenan</w:t>
      </w:r>
      <w:r>
        <w:t>, 2026 OK 20 (5-3; Jett, J., recused) (invalidating Oklahoma EDEA as applied to OPERS under Okla. Const. art. XXIII, § 12 exclusive-benefit clause).</w:t>
      </w:r>
    </w:p>
  </w:footnote>
  <w:footnote w:id="89">
    <w:p w14:paraId="07DC73F7" w14:textId="77777777" w:rsidR="0006423C" w:rsidRDefault="0006423C" w:rsidP="0006423C">
      <w:pPr>
        <w:pStyle w:val="FootnoteText"/>
      </w:pPr>
      <w:r>
        <w:rPr>
          <w:rStyle w:val="FootnoteReference"/>
        </w:rPr>
        <w:footnoteRef/>
      </w:r>
      <w:r>
        <w:t xml:space="preserve"> </w:t>
      </w:r>
      <w:r>
        <w:rPr>
          <w:i/>
          <w:iCs/>
        </w:rPr>
        <w:t>NRA v. Vullo</w:t>
      </w:r>
      <w:r>
        <w:t xml:space="preserve">, 602 U.S. 175, 190–92 (2024); </w:t>
      </w:r>
      <w:r>
        <w:rPr>
          <w:i/>
          <w:iCs/>
        </w:rPr>
        <w:t>ASBC</w:t>
      </w:r>
      <w:r>
        <w:t>, 2026 U.S. Dist. LEXIS 22918, appeal docketed, No. 26-50111 (5th Cir.).</w:t>
      </w:r>
    </w:p>
  </w:footnote>
  <w:footnote w:id="90">
    <w:p w14:paraId="2F59755E" w14:textId="77777777" w:rsidR="0006423C" w:rsidRDefault="0006423C" w:rsidP="0006423C">
      <w:pPr>
        <w:pStyle w:val="FootnoteText"/>
      </w:pPr>
      <w:r>
        <w:rPr>
          <w:rStyle w:val="FootnoteReference"/>
        </w:rPr>
        <w:footnoteRef/>
      </w:r>
      <w:r>
        <w:t xml:space="preserve"> 12 U.S.C. § 25b (National Bank Act preemption standard); 15 U.S.C. § 1012(b) (McCarran-Ferguson reverse-preemption for state insurance regulation); see </w:t>
      </w:r>
      <w:r>
        <w:rPr>
          <w:i/>
          <w:iCs/>
        </w:rPr>
        <w:t>Cantero v. Bank of America, N.A.</w:t>
      </w:r>
      <w:r>
        <w:t>, 602 U.S. 205 (2024) (reaffirming that NBA preemption requires nuanced significant-interference analysis, not categorical displacement).</w:t>
      </w:r>
    </w:p>
  </w:footnote>
  <w:footnote w:id="91">
    <w:p w14:paraId="15F85830" w14:textId="77777777" w:rsidR="0006423C" w:rsidRDefault="0006423C" w:rsidP="0006423C">
      <w:pPr>
        <w:pStyle w:val="FootnoteText"/>
      </w:pPr>
      <w:r>
        <w:rPr>
          <w:rStyle w:val="FootnoteReference"/>
        </w:rPr>
        <w:footnoteRef/>
      </w:r>
      <w:r>
        <w:t xml:space="preserve"> </w:t>
      </w:r>
      <w:r>
        <w:rPr>
          <w:i/>
          <w:iCs/>
        </w:rPr>
        <w:t>Glass Lewis &amp; Co. v. Paxton</w:t>
      </w:r>
      <w:r>
        <w:t xml:space="preserve">, No. 1:25-cv-01153 (W.D. Tex. Aug. 29, 2025) (preliminary injunction); </w:t>
      </w:r>
      <w:r>
        <w:rPr>
          <w:i/>
          <w:iCs/>
        </w:rPr>
        <w:t>Institutional Shareholder Services, Inc. v. Paxton</w:t>
      </w:r>
      <w:r>
        <w:t xml:space="preserve">, No. 1:25-cv-01160 (W.D. Tex. Aug. 29, 2025) (preliminary injunction); </w:t>
      </w:r>
      <w:r>
        <w:rPr>
          <w:i/>
          <w:iCs/>
        </w:rPr>
        <w:t>Institutional Shareholder Services, Inc. v. SEC</w:t>
      </w:r>
      <w:r>
        <w:t>, 142 F.4th 757 (D.C. Cir. 2025) (Henderson, J.).</w:t>
      </w:r>
    </w:p>
  </w:footnote>
  <w:footnote w:id="92">
    <w:p w14:paraId="735BF663" w14:textId="77777777" w:rsidR="0006423C" w:rsidRDefault="0006423C" w:rsidP="0006423C">
      <w:pPr>
        <w:pStyle w:val="FootnoteText"/>
      </w:pPr>
      <w:r>
        <w:rPr>
          <w:rStyle w:val="FootnoteReference"/>
        </w:rPr>
        <w:footnoteRef/>
      </w:r>
      <w:r>
        <w:t xml:space="preserve"> </w:t>
      </w:r>
      <w:r>
        <w:rPr>
          <w:i/>
          <w:iCs/>
        </w:rPr>
        <w:t>Chamber of Commerce of the United States v. Sanchez</w:t>
      </w:r>
      <w:r>
        <w:t>, No. 25-5327 (9th Cir. Oct. 29, 2025), 2025 U.S. App. LEXIS 28376 (appeal from No. 2:24-cv-00801-ODW-PVC (C.D. Cal., Los Angeles)).</w:t>
      </w:r>
    </w:p>
  </w:footnote>
  <w:footnote w:id="93">
    <w:p w14:paraId="03BAA366" w14:textId="547D4C01" w:rsidR="005F5ACD" w:rsidRDefault="00000000">
      <w:pPr>
        <w:pStyle w:val="FootnoteText"/>
      </w:pPr>
      <w:r>
        <w:rPr>
          <w:rStyle w:val="FootnoteReference"/>
        </w:rPr>
        <w:footnoteRef/>
      </w:r>
      <w:r>
        <w:t xml:space="preserve"> </w:t>
      </w:r>
      <w:r>
        <w:rPr>
          <w:i/>
          <w:iCs/>
        </w:rPr>
        <w:t>Keenan</w:t>
      </w:r>
      <w:r>
        <w:t xml:space="preserve">, 2026 OK 20, ¶¶ 1–8 (procedural posture); ¶¶ 9–34 (analyzing Okla. Const. art. XXIII, § 12 exclusive-benefit clause); </w:t>
      </w:r>
      <w:r>
        <w:rPr>
          <w:i/>
          <w:iCs/>
        </w:rPr>
        <w:t>id.</w:t>
      </w:r>
      <w:r>
        <w:t xml:space="preserve"> ¶ 60 (holding EDEA creates impermissible </w:t>
      </w:r>
      <w:r w:rsidR="00B62085">
        <w:t>“</w:t>
      </w:r>
      <w:r>
        <w:t>dual purpose</w:t>
      </w:r>
      <w:r w:rsidR="00B62085">
        <w:t>”</w:t>
      </w:r>
      <w:r>
        <w:t xml:space="preserve"> in violation of that clause).</w:t>
      </w:r>
    </w:p>
  </w:footnote>
  <w:footnote w:id="94">
    <w:p w14:paraId="2A1B3C60" w14:textId="79CCC019" w:rsidR="005F5ACD" w:rsidRDefault="00000000">
      <w:pPr>
        <w:pStyle w:val="FootnoteText"/>
      </w:pPr>
      <w:r>
        <w:rPr>
          <w:rStyle w:val="FootnoteReference"/>
        </w:rPr>
        <w:footnoteRef/>
      </w:r>
      <w:r>
        <w:t xml:space="preserve"> </w:t>
      </w:r>
      <w:r>
        <w:rPr>
          <w:i/>
          <w:iCs/>
        </w:rPr>
        <w:t>Keenan</w:t>
      </w:r>
      <w:r>
        <w:t>, 2026 OK 20, ¶ 60 (</w:t>
      </w:r>
      <w:r w:rsidR="00B62085">
        <w:t>“</w:t>
      </w:r>
      <w:r>
        <w:t xml:space="preserve">We conclude that application of [the EDEA] to OPERS violates Okla. Const. Art. XXIII, §12 by creating a </w:t>
      </w:r>
      <w:r w:rsidR="00B62085">
        <w:t>‘</w:t>
      </w:r>
      <w:r>
        <w:t>dual purpose</w:t>
      </w:r>
      <w:r w:rsidR="00B62085">
        <w:t>’</w:t>
      </w:r>
      <w:r>
        <w:t xml:space="preserve"> for investment decisions made by OPERS . . . as opposed to the </w:t>
      </w:r>
      <w:r w:rsidR="00B62085">
        <w:t>‘</w:t>
      </w:r>
      <w:r>
        <w:t>exclusive purpose</w:t>
      </w:r>
      <w:r w:rsidR="00B62085">
        <w:t>’</w:t>
      </w:r>
      <w:r>
        <w:t xml:space="preserve"> OPERS must follow due to the express language of Okla. Const. Art. XXIII, §12.</w:t>
      </w:r>
      <w:r w:rsidR="00B62085">
        <w:t>”</w:t>
      </w:r>
      <w:r>
        <w:t>).</w:t>
      </w:r>
    </w:p>
  </w:footnote>
  <w:footnote w:id="95">
    <w:p w14:paraId="71E7EAD1" w14:textId="77777777" w:rsidR="005F5ACD" w:rsidRDefault="00000000">
      <w:pPr>
        <w:pStyle w:val="FootnoteText"/>
      </w:pPr>
      <w:r>
        <w:rPr>
          <w:rStyle w:val="FootnoteReference"/>
        </w:rPr>
        <w:footnoteRef/>
      </w:r>
      <w:r>
        <w:t xml:space="preserve"> </w:t>
      </w:r>
      <w:r>
        <w:rPr>
          <w:i/>
          <w:iCs/>
        </w:rPr>
        <w:t>Keenan</w:t>
      </w:r>
      <w:r>
        <w:t>, 2026 OK 20, ¶ 41.</w:t>
      </w:r>
    </w:p>
  </w:footnote>
  <w:footnote w:id="96">
    <w:p w14:paraId="692839C0" w14:textId="3B4AF76E" w:rsidR="005F5ACD" w:rsidRDefault="00000000">
      <w:pPr>
        <w:pStyle w:val="FootnoteText"/>
      </w:pPr>
      <w:r>
        <w:rPr>
          <w:rStyle w:val="FootnoteReference"/>
        </w:rPr>
        <w:footnoteRef/>
      </w:r>
      <w:r>
        <w:t xml:space="preserve"> </w:t>
      </w:r>
      <w:r>
        <w:rPr>
          <w:i/>
          <w:iCs/>
        </w:rPr>
        <w:t>Keenan</w:t>
      </w:r>
      <w:r>
        <w:t>, 2026 OK 20, ¶ 41 (finding that companies on the Oklahoma Treasurer</w:t>
      </w:r>
      <w:r w:rsidR="00B62085">
        <w:t>’</w:t>
      </w:r>
      <w:r>
        <w:t>s restricted list controlled approximately 64% of OPERS</w:t>
      </w:r>
      <w:r w:rsidR="00B62085">
        <w:t>’</w:t>
      </w:r>
      <w:r>
        <w:t>s assets).</w:t>
      </w:r>
    </w:p>
  </w:footnote>
  <w:footnote w:id="97">
    <w:p w14:paraId="473C7542" w14:textId="77777777" w:rsidR="005F5ACD" w:rsidRDefault="00000000">
      <w:pPr>
        <w:pStyle w:val="FootnoteText"/>
      </w:pPr>
      <w:r>
        <w:rPr>
          <w:rStyle w:val="FootnoteReference"/>
        </w:rPr>
        <w:footnoteRef/>
      </w:r>
      <w:r>
        <w:t xml:space="preserve"> Schanzenbach &amp; Sitkoff, </w:t>
      </w:r>
      <w:r>
        <w:rPr>
          <w:i/>
          <w:iCs/>
        </w:rPr>
        <w:t>Reconciling Fiduciary Duty</w:t>
      </w:r>
      <w:r>
        <w:t xml:space="preserve">, </w:t>
      </w:r>
      <w:r>
        <w:rPr>
          <w:i/>
          <w:iCs/>
        </w:rPr>
        <w:t>supra</w:t>
      </w:r>
      <w:r>
        <w:t xml:space="preserve"> note 13; </w:t>
      </w:r>
      <w:r>
        <w:rPr>
          <w:i/>
          <w:iCs/>
        </w:rPr>
        <w:t>see also</w:t>
      </w:r>
      <w:r>
        <w:t xml:space="preserve"> Restatement (Third) of Trusts § 90 (Am. Law Inst. 2007) (prudent-investor rule).</w:t>
      </w:r>
    </w:p>
  </w:footnote>
  <w:footnote w:id="98">
    <w:p w14:paraId="756B3E23" w14:textId="008EE748" w:rsidR="005F5ACD" w:rsidRDefault="00000000">
      <w:pPr>
        <w:pStyle w:val="FootnoteText"/>
      </w:pPr>
      <w:r>
        <w:rPr>
          <w:rStyle w:val="FootnoteReference"/>
        </w:rPr>
        <w:footnoteRef/>
      </w:r>
      <w:r>
        <w:t xml:space="preserve"> </w:t>
      </w:r>
      <w:r>
        <w:rPr>
          <w:i/>
          <w:iCs/>
        </w:rPr>
        <w:t>Spence v. American Airlines, Inc.</w:t>
      </w:r>
      <w:r>
        <w:t xml:space="preserve">, 775 F. Supp. 3d 963, 1010–11 (N.D. Tex. Jan. 10, 2025) (loyalty breach found; prudence claim rejected because defendants </w:t>
      </w:r>
      <w:r w:rsidR="00B62085">
        <w:t>“</w:t>
      </w:r>
      <w:r>
        <w:t>acted in accordance with prevailing industry practices</w:t>
      </w:r>
      <w:r w:rsidR="00B62085">
        <w:t>”</w:t>
      </w:r>
      <w:r>
        <w:t xml:space="preserve">; characterizing the BlackRock–American Airlines relationship as </w:t>
      </w:r>
      <w:r w:rsidR="00B62085">
        <w:t>“</w:t>
      </w:r>
      <w:r>
        <w:t>incestuous</w:t>
      </w:r>
      <w:r w:rsidR="00B62085">
        <w:t>”</w:t>
      </w:r>
      <w:r>
        <w:t xml:space="preserve">); </w:t>
      </w:r>
      <w:r>
        <w:rPr>
          <w:i/>
          <w:iCs/>
        </w:rPr>
        <w:t>Spence v. Am. Airlines, Inc.</w:t>
      </w:r>
      <w:r>
        <w:t xml:space="preserve">, 2025 U.S. Dist. LEXIS 256958 (N.D. Tex. Sept. 30, 2025) (Final Judgment) (loyalty-yes / prudence-no; monetary damages, disgorgement, and fee-reimbursement denied; structural permanent injunction including ¶ 1 prohibition on Plan stewardship </w:t>
      </w:r>
      <w:r w:rsidR="00B62085">
        <w:t>“</w:t>
      </w:r>
      <w:r>
        <w:t>motivated by or directed towards non-pecuniary ends, including but not limited to ESG-oriented investment management and objectives</w:t>
      </w:r>
      <w:r w:rsidR="00B62085">
        <w:t>”</w:t>
      </w:r>
      <w:r>
        <w:t xml:space="preserve">; ¶¶ 3.b–c annual participant certification that the Employee Benefits Committee </w:t>
      </w:r>
      <w:r w:rsidR="00B62085">
        <w:t>“</w:t>
      </w:r>
      <w:r>
        <w:t>will only and solely pursue investment objectives based on provable financial performance, not DEI, ESG, sustainability, or any other nonfinancial criteria</w:t>
      </w:r>
      <w:r w:rsidR="00B62085">
        <w:t>”</w:t>
      </w:r>
      <w:r>
        <w:t xml:space="preserve">; ¶ 4 coalition-membership disclosure obligation requiring American Airlines to publish on its corporate website memberships in </w:t>
      </w:r>
      <w:r w:rsidR="00B62085">
        <w:t>“</w:t>
      </w:r>
      <w:r>
        <w:t>UN PRI, Net Zero Asset Managers Initiatives, Ceres Investor Network, or any organization principally devoted to achieving DEI, ESG, climate-focused investment or stewardship objectives</w:t>
      </w:r>
      <w:r w:rsidR="00B62085">
        <w:t>”</w:t>
      </w:r>
      <w:r>
        <w:t>).</w:t>
      </w:r>
    </w:p>
  </w:footnote>
  <w:footnote w:id="99">
    <w:p w14:paraId="2E3BCAC3" w14:textId="0F3D4872" w:rsidR="005F5ACD" w:rsidRDefault="00000000">
      <w:pPr>
        <w:pStyle w:val="FootnoteText"/>
      </w:pPr>
      <w:r>
        <w:rPr>
          <w:rStyle w:val="FootnoteReference"/>
        </w:rPr>
        <w:footnoteRef/>
      </w:r>
      <w:r>
        <w:t xml:space="preserve"> For state-statutory incorporation of ERISA § 404(a)(1) </w:t>
      </w:r>
      <w:r w:rsidR="00B62085">
        <w:t>“</w:t>
      </w:r>
      <w:r>
        <w:t>exclusive purpose</w:t>
      </w:r>
      <w:r w:rsidR="00B62085">
        <w:t>”</w:t>
      </w:r>
      <w:r>
        <w:t xml:space="preserve"> language enforced by state courts, see </w:t>
      </w:r>
      <w:r>
        <w:rPr>
          <w:i/>
          <w:iCs/>
        </w:rPr>
        <w:t>Bd. of Trs. of Emps.</w:t>
      </w:r>
      <w:r w:rsidR="00B62085">
        <w:rPr>
          <w:i/>
          <w:iCs/>
        </w:rPr>
        <w:t>’</w:t>
      </w:r>
      <w:r>
        <w:rPr>
          <w:i/>
          <w:iCs/>
        </w:rPr>
        <w:t xml:space="preserve"> Ret. Sys. of Balt. v. Mayor &amp; City Council of Balt.</w:t>
      </w:r>
      <w:r>
        <w:t>, 317 Md. 72, 109–10, 562 A.2d 720, 738 (1989) (enforcing the Baltimore City Code</w:t>
      </w:r>
      <w:r w:rsidR="00B62085">
        <w:t>’</w:t>
      </w:r>
      <w:r>
        <w:t xml:space="preserve">s ERISA-mirroring exclusive-purpose formulation; upheld on de minimis cost grounds). </w:t>
      </w:r>
      <w:r>
        <w:rPr>
          <w:i/>
          <w:iCs/>
        </w:rPr>
        <w:t>See also</w:t>
      </w:r>
      <w:r>
        <w:t xml:space="preserve"> Jill Fisch &amp; Jeff Schwartz, </w:t>
      </w:r>
      <w:r>
        <w:rPr>
          <w:i/>
          <w:iCs/>
        </w:rPr>
        <w:t>The Singular Role of Public Pension Funds in Corporate Governance</w:t>
      </w:r>
      <w:r>
        <w:t>, 104 Tex. L. Rev. 735 (2025) (state pension statutes substantially mirror ERISA</w:t>
      </w:r>
      <w:r w:rsidR="00B62085">
        <w:t>’</w:t>
      </w:r>
      <w:r>
        <w:t xml:space="preserve">s exclusive-benefit rule). </w:t>
      </w:r>
      <w:r>
        <w:rPr>
          <w:i/>
          <w:iCs/>
        </w:rPr>
        <w:t>See also</w:t>
      </w:r>
      <w:r>
        <w:t xml:space="preserve"> III Scott on Trusts § 227.17 (W. Fratcher 4th ed. 1988) (ERISA-mirroring exclusive-purpose formulations in state pension law); Webber, </w:t>
      </w:r>
      <w:r>
        <w:rPr>
          <w:i/>
          <w:iCs/>
        </w:rPr>
        <w:t>The Rise of the Working-Class Shareholder</w:t>
      </w:r>
      <w:r>
        <w:t>, 89 N.Y.U. L. Rev. 2089 (2014) (national scope of statutory-incorporation pension-fiduciary regimes).</w:t>
      </w:r>
    </w:p>
  </w:footnote>
  <w:footnote w:id="100">
    <w:p w14:paraId="46DE7308" w14:textId="369943BF" w:rsidR="005F5ACD" w:rsidRDefault="00000000">
      <w:pPr>
        <w:pStyle w:val="FootnoteText"/>
      </w:pPr>
      <w:r>
        <w:rPr>
          <w:rStyle w:val="FootnoteReference"/>
        </w:rPr>
        <w:footnoteRef/>
      </w:r>
      <w:r>
        <w:t xml:space="preserve"> </w:t>
      </w:r>
      <w:r>
        <w:rPr>
          <w:i/>
          <w:iCs/>
        </w:rPr>
        <w:t>Wong v. New York City Employees</w:t>
      </w:r>
      <w:r w:rsidR="00B62085">
        <w:rPr>
          <w:i/>
          <w:iCs/>
        </w:rPr>
        <w:t>’</w:t>
      </w:r>
      <w:r>
        <w:rPr>
          <w:i/>
          <w:iCs/>
        </w:rPr>
        <w:t xml:space="preserve"> Retirement System</w:t>
      </w:r>
      <w:r>
        <w:t xml:space="preserve">, 236 A.D.3d 480, 481–83 (N.Y. App. Div. 1st </w:t>
      </w:r>
      <w:proofErr w:type="spellStart"/>
      <w:r>
        <w:t>Dep</w:t>
      </w:r>
      <w:r w:rsidR="00B62085">
        <w:t>’</w:t>
      </w:r>
      <w:r>
        <w:t>t</w:t>
      </w:r>
      <w:proofErr w:type="spellEnd"/>
      <w:r>
        <w:t xml:space="preserve"> 2025), </w:t>
      </w:r>
      <w:r>
        <w:rPr>
          <w:i/>
          <w:iCs/>
        </w:rPr>
        <w:t>leave to appeal denied</w:t>
      </w:r>
      <w:r>
        <w:t>, N.Y. Ct. App. Mo. No. 2025-294 (2025) (defined-benefit participants generally lack financial-injury standing; plan sponsor bears investment-performance risk).</w:t>
      </w:r>
    </w:p>
  </w:footnote>
  <w:footnote w:id="101">
    <w:p w14:paraId="5EEFCBBA" w14:textId="77777777" w:rsidR="005F5ACD" w:rsidRDefault="00000000">
      <w:pPr>
        <w:pStyle w:val="FootnoteText"/>
      </w:pPr>
      <w:r>
        <w:rPr>
          <w:rStyle w:val="FootnoteReference"/>
        </w:rPr>
        <w:footnoteRef/>
      </w:r>
      <w:r>
        <w:t xml:space="preserve"> </w:t>
      </w:r>
      <w:r>
        <w:rPr>
          <w:i/>
          <w:iCs/>
        </w:rPr>
        <w:t>Utah v. Micone</w:t>
      </w:r>
      <w:r>
        <w:t>, 766 F. Supp. 3d 669, 674 (N.D. Tex. 2025) (climate-coded inputs permissible under ERISA prudence and loyalty where financially material; post-</w:t>
      </w:r>
      <w:r>
        <w:rPr>
          <w:i/>
          <w:iCs/>
        </w:rPr>
        <w:t>Loper Bright Enters. v. Raimondo</w:t>
      </w:r>
      <w:r>
        <w:t>, 603 U.S. 369 (2024), de novo review).</w:t>
      </w:r>
    </w:p>
  </w:footnote>
  <w:footnote w:id="102">
    <w:p w14:paraId="306785E6" w14:textId="77777777" w:rsidR="005F5ACD" w:rsidRDefault="00000000">
      <w:pPr>
        <w:pStyle w:val="FootnoteText"/>
      </w:pPr>
      <w:r>
        <w:rPr>
          <w:rStyle w:val="FootnoteReference"/>
        </w:rPr>
        <w:footnoteRef/>
      </w:r>
      <w:r>
        <w:t xml:space="preserve"> </w:t>
      </w:r>
      <w:r>
        <w:rPr>
          <w:i/>
          <w:iCs/>
        </w:rPr>
        <w:t>Spence</w:t>
      </w:r>
      <w:r>
        <w:t xml:space="preserve">, 775 F. Supp. 3d at 1010–11 (loyalty breach; prudence rejected); </w:t>
      </w:r>
      <w:r>
        <w:rPr>
          <w:i/>
          <w:iCs/>
        </w:rPr>
        <w:t>Spence</w:t>
      </w:r>
      <w:r>
        <w:t>, 2025 U.S. Dist. LEXIS 256958 (monetary relief denied; permanent injunction including ¶ 1 prohibition on non-pecuniary stewardship activities and ¶ 4 coalition-membership disclosure obligation).</w:t>
      </w:r>
    </w:p>
  </w:footnote>
  <w:footnote w:id="103">
    <w:p w14:paraId="0E888E8B" w14:textId="77777777" w:rsidR="005F5ACD" w:rsidRDefault="00000000">
      <w:pPr>
        <w:pStyle w:val="FootnoteText"/>
      </w:pPr>
      <w:r>
        <w:rPr>
          <w:rStyle w:val="FootnoteReference"/>
        </w:rPr>
        <w:footnoteRef/>
      </w:r>
      <w:r>
        <w:t xml:space="preserve"> Me. Pub. L. 2021, ch. 231 (L.D. 99), codified at Me. Rev. Stat. tit. 5, § 1957(3). The fiduciary-obligations override functions as a record-based fiduciary carveout by preserving fiduciary-responsibility limits on implementation of the divestment direction.</w:t>
      </w:r>
    </w:p>
  </w:footnote>
  <w:footnote w:id="104">
    <w:p w14:paraId="27D110A3" w14:textId="77777777" w:rsidR="005F5ACD" w:rsidRDefault="00000000">
      <w:pPr>
        <w:pStyle w:val="FootnoteText"/>
      </w:pPr>
      <w:r>
        <w:rPr>
          <w:rStyle w:val="FootnoteReference"/>
        </w:rPr>
        <w:footnoteRef/>
      </w:r>
      <w:r>
        <w:t xml:space="preserve"> </w:t>
      </w:r>
      <w:r>
        <w:rPr>
          <w:i/>
          <w:iCs/>
        </w:rPr>
        <w:t>Vullo</w:t>
      </w:r>
      <w:r>
        <w:t xml:space="preserve">, 602 U.S. 175, 180, 190–92 (four-factor coercion test tracing through </w:t>
      </w:r>
      <w:r>
        <w:rPr>
          <w:i/>
          <w:iCs/>
        </w:rPr>
        <w:t>Bantam Books, Inc. v. Sullivan</w:t>
      </w:r>
      <w:r>
        <w:t xml:space="preserve">, 372 U.S. 58, 67–71 (1963), and </w:t>
      </w:r>
      <w:r>
        <w:rPr>
          <w:i/>
          <w:iCs/>
        </w:rPr>
        <w:t>Speiser v. Randall</w:t>
      </w:r>
      <w:r>
        <w:t>, 357 U.S. 513, 518–19, 526 (1958) (conditioning a tax exemption on a loyalty oath impermissibly burdens protected expression)).</w:t>
      </w:r>
    </w:p>
  </w:footnote>
  <w:footnote w:id="105">
    <w:p w14:paraId="1A780227" w14:textId="7A359B86" w:rsidR="005F5ACD" w:rsidRDefault="00000000">
      <w:pPr>
        <w:pStyle w:val="FootnoteText"/>
      </w:pPr>
      <w:r>
        <w:rPr>
          <w:rStyle w:val="FootnoteReference"/>
        </w:rPr>
        <w:footnoteRef/>
      </w:r>
      <w:r>
        <w:t xml:space="preserve"> </w:t>
      </w:r>
      <w:r>
        <w:rPr>
          <w:i/>
          <w:iCs/>
        </w:rPr>
        <w:t>ASBC</w:t>
      </w:r>
      <w:r>
        <w:t>, 2026 U.S. Dist. LEXIS 22918 (Albright, J.) (granting partial summary judgment on Counts I–III; declaring TX SB 13 unconstitutional under the First and Fourteenth Amendments and enjoining enforcement of both Tex. Gov</w:t>
      </w:r>
      <w:r w:rsidR="00B62085">
        <w:t>’</w:t>
      </w:r>
      <w:r>
        <w:t xml:space="preserve">t Code §§ 809.001–809.102 (Divestment) and §§ 2276.001–2276.002 (Procurement)) (hereinafter </w:t>
      </w:r>
      <w:r>
        <w:rPr>
          <w:i/>
          <w:iCs/>
        </w:rPr>
        <w:t>ASBC</w:t>
      </w:r>
      <w:r>
        <w:t xml:space="preserve">). The overbreadth holding found the </w:t>
      </w:r>
      <w:r w:rsidR="00B62085">
        <w:t>“</w:t>
      </w:r>
      <w:r>
        <w:t>any action</w:t>
      </w:r>
      <w:r w:rsidR="00B62085">
        <w:t>”</w:t>
      </w:r>
      <w:r>
        <w:t xml:space="preserve"> language reached protected speech and association; the vagueness holding rested on discriminatory enforcement; and the court judicially confirmed the Compliance Overhang mechanism: the Comptroller publicly stated that firms are removed from the blacklist upon discontinuing membership in sustainable-investing organizations. </w:t>
      </w:r>
      <w:r>
        <w:rPr>
          <w:i/>
          <w:iCs/>
        </w:rPr>
        <w:t>ASBC</w:t>
      </w:r>
      <w:r>
        <w:t xml:space="preserve">, at </w:t>
      </w:r>
      <w:r>
        <w:rPr>
          <w:i/>
          <w:iCs/>
        </w:rPr>
        <w:t>15.</w:t>
      </w:r>
      <w:r>
        <w:t xml:space="preserve"> See also* </w:t>
      </w:r>
      <w:r>
        <w:rPr>
          <w:i/>
          <w:iCs/>
        </w:rPr>
        <w:t>NAACP v. Alabama ex rel. Patterson</w:t>
      </w:r>
      <w:r>
        <w:t>, 357 U.S. 449, 460–62 (1958) (SB 13</w:t>
      </w:r>
      <w:r w:rsidR="00B62085">
        <w:t>’</w:t>
      </w:r>
      <w:r>
        <w:t xml:space="preserve">s </w:t>
      </w:r>
      <w:r w:rsidR="00B62085">
        <w:t>“</w:t>
      </w:r>
      <w:r>
        <w:t>boycott energy companies</w:t>
      </w:r>
      <w:r w:rsidR="00B62085">
        <w:t>”</w:t>
      </w:r>
      <w:r>
        <w:t xml:space="preserve"> definition encompasses protected associational conduct); </w:t>
      </w:r>
      <w:r>
        <w:rPr>
          <w:i/>
          <w:iCs/>
        </w:rPr>
        <w:t>see also Ams. for Prosperity Found. v. Bonta</w:t>
      </w:r>
      <w:r>
        <w:t xml:space="preserve">, 594 U.S. 595, 606–08 (2021) (reaffirming </w:t>
      </w:r>
      <w:r w:rsidR="00B62085">
        <w:t>“</w:t>
      </w:r>
      <w:r>
        <w:t>exacting scrutiny</w:t>
      </w:r>
      <w:r w:rsidR="00B62085">
        <w:t>”</w:t>
      </w:r>
      <w:r>
        <w:t xml:space="preserve"> for government-compelled disclosure of associational ties). Appeal docketed, No. 26-50111 (5th Cir.).</w:t>
      </w:r>
    </w:p>
  </w:footnote>
  <w:footnote w:id="106">
    <w:p w14:paraId="08F749D8" w14:textId="7A035D5C" w:rsidR="005F5ACD" w:rsidRDefault="00000000">
      <w:pPr>
        <w:pStyle w:val="FootnoteText"/>
      </w:pPr>
      <w:r>
        <w:rPr>
          <w:rStyle w:val="FootnoteReference"/>
        </w:rPr>
        <w:footnoteRef/>
      </w:r>
      <w:r>
        <w:t xml:space="preserve"> </w:t>
      </w:r>
      <w:r>
        <w:rPr>
          <w:i/>
          <w:iCs/>
        </w:rPr>
        <w:t>ASBC</w:t>
      </w:r>
      <w:r>
        <w:t>, 2026 U.S. Dist. LEXIS 22918 (Albright, J.) (granting partial summary judgment on Counts I–III; declaring TX SB 13 unconstitutional under the First and Fourteenth Amendments and enjoining enforcement of both Tex. Gov</w:t>
      </w:r>
      <w:r w:rsidR="00B62085">
        <w:t>’</w:t>
      </w:r>
      <w:r>
        <w:t xml:space="preserve">t Code §§ 809.001–809.102 (Divestment) and §§ 2276.001–2276.002 (Procurement)) (hereinafter </w:t>
      </w:r>
      <w:r>
        <w:rPr>
          <w:i/>
          <w:iCs/>
        </w:rPr>
        <w:t>ASBC</w:t>
      </w:r>
      <w:r>
        <w:t xml:space="preserve">). The overbreadth holding found the </w:t>
      </w:r>
      <w:r w:rsidR="00B62085">
        <w:t>“</w:t>
      </w:r>
      <w:r>
        <w:t>any action</w:t>
      </w:r>
      <w:r w:rsidR="00B62085">
        <w:t>”</w:t>
      </w:r>
      <w:r>
        <w:t xml:space="preserve"> language reached protected speech and association; the vagueness holding rested on discriminatory enforcement; and the court judicially confirmed the Compliance Overhang mechanism: the Comptroller publicly stated that firms are removed from the blacklist upon discontinuing membership in sustainable-investing organizations. </w:t>
      </w:r>
      <w:r>
        <w:rPr>
          <w:i/>
          <w:iCs/>
        </w:rPr>
        <w:t>ASBC</w:t>
      </w:r>
      <w:r>
        <w:t xml:space="preserve">, at </w:t>
      </w:r>
      <w:r>
        <w:rPr>
          <w:i/>
          <w:iCs/>
        </w:rPr>
        <w:t>15.</w:t>
      </w:r>
      <w:r>
        <w:t xml:space="preserve"> See also* </w:t>
      </w:r>
      <w:r>
        <w:rPr>
          <w:i/>
          <w:iCs/>
        </w:rPr>
        <w:t>NAACP v. Alabama ex rel. Patterson</w:t>
      </w:r>
      <w:r>
        <w:t>, 357 U.S. 449, 460–62 (1958) (SB 13</w:t>
      </w:r>
      <w:r w:rsidR="00B62085">
        <w:t>’</w:t>
      </w:r>
      <w:r>
        <w:t xml:space="preserve">s </w:t>
      </w:r>
      <w:r w:rsidR="00B62085">
        <w:t>“</w:t>
      </w:r>
      <w:r>
        <w:t>boycott energy companies</w:t>
      </w:r>
      <w:r w:rsidR="00B62085">
        <w:t>”</w:t>
      </w:r>
      <w:r>
        <w:t xml:space="preserve"> definition encompasses protected associational conduct); </w:t>
      </w:r>
      <w:r>
        <w:rPr>
          <w:i/>
          <w:iCs/>
        </w:rPr>
        <w:t>see also Ams. for Prosperity Found. v. Bonta</w:t>
      </w:r>
      <w:r>
        <w:t xml:space="preserve">, 594 U.S. 595, 606–08 (2021) (reaffirming </w:t>
      </w:r>
      <w:r w:rsidR="00B62085">
        <w:t>“</w:t>
      </w:r>
      <w:r>
        <w:t>exacting scrutiny</w:t>
      </w:r>
      <w:r w:rsidR="00B62085">
        <w:t>”</w:t>
      </w:r>
      <w:r>
        <w:t xml:space="preserve"> for government-compelled disclosure of associational ties). Appeal docketed, No. 26-50111 (5th Cir.).</w:t>
      </w:r>
    </w:p>
  </w:footnote>
  <w:footnote w:id="107">
    <w:p w14:paraId="11D89560" w14:textId="77777777" w:rsidR="005F5ACD" w:rsidRDefault="00000000">
      <w:pPr>
        <w:pStyle w:val="FootnoteText"/>
      </w:pPr>
      <w:r>
        <w:rPr>
          <w:rStyle w:val="FootnoteReference"/>
        </w:rPr>
        <w:footnoteRef/>
      </w:r>
      <w:r>
        <w:t xml:space="preserve"> Notice of Appeal, </w:t>
      </w:r>
      <w:r>
        <w:rPr>
          <w:i/>
          <w:iCs/>
        </w:rPr>
        <w:t>ASBC v. Hegar</w:t>
      </w:r>
      <w:r>
        <w:t>, No. 26-50111 (5th Cir. filed Feb. 17, 2026).</w:t>
      </w:r>
    </w:p>
  </w:footnote>
  <w:footnote w:id="108">
    <w:p w14:paraId="3CE7364D" w14:textId="77777777" w:rsidR="005F5ACD" w:rsidRDefault="00000000">
      <w:pPr>
        <w:pStyle w:val="FootnoteText"/>
      </w:pPr>
      <w:r>
        <w:rPr>
          <w:rStyle w:val="FootnoteReference"/>
        </w:rPr>
        <w:footnoteRef/>
      </w:r>
      <w:r>
        <w:t xml:space="preserve"> </w:t>
      </w:r>
      <w:r>
        <w:rPr>
          <w:i/>
          <w:iCs/>
        </w:rPr>
        <w:t>ASBC v. Hegar</w:t>
      </w:r>
      <w:r>
        <w:t xml:space="preserve">, 2026 U.S. Dist. LEXIS 22918, at </w:t>
      </w:r>
      <w:r>
        <w:rPr>
          <w:i/>
          <w:iCs/>
        </w:rPr>
        <w:t>18–28 (designation methodology and protected-expression analysis).</w:t>
      </w:r>
      <w:r>
        <w:t xml:space="preserve"> See also* </w:t>
      </w:r>
      <w:r>
        <w:rPr>
          <w:i/>
          <w:iCs/>
        </w:rPr>
        <w:t>South-Central Timber Development, Inc.</w:t>
      </w:r>
      <w:r>
        <w:t xml:space="preserve"> v. </w:t>
      </w:r>
      <w:r>
        <w:rPr>
          <w:i/>
          <w:iCs/>
        </w:rPr>
        <w:t>Wunnicke</w:t>
      </w:r>
      <w:r>
        <w:t>, 467 U.S. 82, 97–99 (1984) (market-participant limit on downstream-restriction architecture).</w:t>
      </w:r>
    </w:p>
  </w:footnote>
  <w:footnote w:id="109">
    <w:p w14:paraId="0D1B0B2E" w14:textId="1CC53512" w:rsidR="005F5ACD" w:rsidRDefault="00000000">
      <w:pPr>
        <w:pStyle w:val="FootnoteText"/>
      </w:pPr>
      <w:r>
        <w:rPr>
          <w:rStyle w:val="FootnoteReference"/>
        </w:rPr>
        <w:footnoteRef/>
      </w:r>
      <w:r>
        <w:t xml:space="preserve"> </w:t>
      </w:r>
      <w:r>
        <w:rPr>
          <w:i/>
          <w:iCs/>
        </w:rPr>
        <w:t>South-Central Timber Development, Inc. v. Wunnicke</w:t>
      </w:r>
      <w:r>
        <w:t>, 467 U.S. 82, 97–99 (1984) (plurality opinion) (</w:t>
      </w:r>
      <w:r w:rsidR="00B62085">
        <w:t>“</w:t>
      </w:r>
      <w:r>
        <w:t xml:space="preserve">[T]he market-participant doctrine . . . allows a State to impose burdens on commerce within the market in which it is a </w:t>
      </w:r>
      <w:proofErr w:type="gramStart"/>
      <w:r>
        <w:t>participant, but</w:t>
      </w:r>
      <w:proofErr w:type="gramEnd"/>
      <w:r>
        <w:t xml:space="preserve"> allows it to go no further. The State may not impose conditions, whether by statute, regulation, or contract, that have a substantial regulatory effect outside of that particular market.</w:t>
      </w:r>
      <w:r w:rsidR="00B62085">
        <w:t>”</w:t>
      </w:r>
      <w:r>
        <w:t>).</w:t>
      </w:r>
    </w:p>
  </w:footnote>
  <w:footnote w:id="110">
    <w:p w14:paraId="6188AA11" w14:textId="168A3D4C" w:rsidR="005F5ACD" w:rsidRDefault="00000000">
      <w:pPr>
        <w:pStyle w:val="FootnoteText"/>
      </w:pPr>
      <w:r>
        <w:rPr>
          <w:rStyle w:val="FootnoteReference"/>
        </w:rPr>
        <w:footnoteRef/>
      </w:r>
      <w:r>
        <w:t xml:space="preserve"> </w:t>
      </w:r>
      <w:r>
        <w:rPr>
          <w:i/>
          <w:iCs/>
        </w:rPr>
        <w:t>ASBC v. Hegar</w:t>
      </w:r>
      <w:r>
        <w:t>, 2026 U.S. Dist. LEXIS 22918, at *18–22 (holding that SB 13</w:t>
      </w:r>
      <w:r w:rsidR="00B62085">
        <w:t>’</w:t>
      </w:r>
      <w:r>
        <w:t>s firmwide-reach designation methodology extends beyond Texas</w:t>
      </w:r>
      <w:r w:rsidR="00B62085">
        <w:t>’</w:t>
      </w:r>
      <w:r>
        <w:t>s market-participant position).</w:t>
      </w:r>
    </w:p>
  </w:footnote>
  <w:footnote w:id="111">
    <w:p w14:paraId="52F13D85" w14:textId="2CF7F784" w:rsidR="005F5ACD" w:rsidRDefault="00000000">
      <w:pPr>
        <w:pStyle w:val="FootnoteText"/>
      </w:pPr>
      <w:r>
        <w:rPr>
          <w:rStyle w:val="FootnoteReference"/>
        </w:rPr>
        <w:footnoteRef/>
      </w:r>
      <w:r>
        <w:t xml:space="preserve"> </w:t>
      </w:r>
      <w:r>
        <w:rPr>
          <w:i/>
          <w:iCs/>
        </w:rPr>
        <w:t>ASBC</w:t>
      </w:r>
      <w:r>
        <w:t>, 2026 U.S. Dist. LEXIS 22918 (Albright, J.) (granting partial summary judgment on Counts I–III; declaring TX SB 13 unconstitutional under the First and Fourteenth Amendments and enjoining enforcement of both Tex. Gov</w:t>
      </w:r>
      <w:r w:rsidR="00B62085">
        <w:t>’</w:t>
      </w:r>
      <w:r>
        <w:t xml:space="preserve">t Code §§ 809.001–809.102 (Divestment) and §§ 2276.001–2276.002 (Procurement)) (hereinafter </w:t>
      </w:r>
      <w:r>
        <w:rPr>
          <w:i/>
          <w:iCs/>
        </w:rPr>
        <w:t>ASBC</w:t>
      </w:r>
      <w:r>
        <w:t xml:space="preserve">). The overbreadth holding found the </w:t>
      </w:r>
      <w:r w:rsidR="00B62085">
        <w:t>“</w:t>
      </w:r>
      <w:r>
        <w:t>any action</w:t>
      </w:r>
      <w:r w:rsidR="00B62085">
        <w:t>”</w:t>
      </w:r>
      <w:r>
        <w:t xml:space="preserve"> language reached protected speech and association; the vagueness holding rested on discriminatory enforcement; and the court judicially confirmed the Compliance Overhang mechanism: the Comptroller publicly stated that firms are removed from the blacklist upon discontinuing membership in sustainable-investing organizations. </w:t>
      </w:r>
      <w:r>
        <w:rPr>
          <w:i/>
          <w:iCs/>
        </w:rPr>
        <w:t>ASBC</w:t>
      </w:r>
      <w:r>
        <w:t xml:space="preserve">, at </w:t>
      </w:r>
      <w:r>
        <w:rPr>
          <w:i/>
          <w:iCs/>
        </w:rPr>
        <w:t>15.</w:t>
      </w:r>
      <w:r>
        <w:t xml:space="preserve"> See also* </w:t>
      </w:r>
      <w:r>
        <w:rPr>
          <w:i/>
          <w:iCs/>
        </w:rPr>
        <w:t>NAACP v. Alabama ex rel. Patterson</w:t>
      </w:r>
      <w:r>
        <w:t>, 357 U.S. 449, 460–62 (1958) (SB 13</w:t>
      </w:r>
      <w:r w:rsidR="00B62085">
        <w:t>’</w:t>
      </w:r>
      <w:r>
        <w:t xml:space="preserve">s </w:t>
      </w:r>
      <w:r w:rsidR="00B62085">
        <w:t>“</w:t>
      </w:r>
      <w:r>
        <w:t>boycott energy companies</w:t>
      </w:r>
      <w:r w:rsidR="00B62085">
        <w:t>”</w:t>
      </w:r>
      <w:r>
        <w:t xml:space="preserve"> definition encompasses protected associational conduct); </w:t>
      </w:r>
      <w:r>
        <w:rPr>
          <w:i/>
          <w:iCs/>
        </w:rPr>
        <w:t>see also Ams. for Prosperity Found. v. Bonta</w:t>
      </w:r>
      <w:r>
        <w:t xml:space="preserve">, 594 U.S. 595, 606–08 (2021) (reaffirming </w:t>
      </w:r>
      <w:r w:rsidR="00B62085">
        <w:t>“</w:t>
      </w:r>
      <w:r>
        <w:t>exacting scrutiny</w:t>
      </w:r>
      <w:r w:rsidR="00B62085">
        <w:t>”</w:t>
      </w:r>
      <w:r>
        <w:t xml:space="preserve"> for government-compelled disclosure of associational ties). Appeal docketed, No. 26-50111 (5th Cir.).</w:t>
      </w:r>
    </w:p>
  </w:footnote>
  <w:footnote w:id="112">
    <w:p w14:paraId="0BD1EE03" w14:textId="77777777" w:rsidR="005F5ACD" w:rsidRDefault="00000000">
      <w:pPr>
        <w:pStyle w:val="FootnoteText"/>
      </w:pPr>
      <w:r>
        <w:rPr>
          <w:rStyle w:val="FootnoteReference"/>
        </w:rPr>
        <w:footnoteRef/>
      </w:r>
      <w:r>
        <w:t xml:space="preserve"> </w:t>
      </w:r>
      <w:r>
        <w:rPr>
          <w:i/>
          <w:iCs/>
        </w:rPr>
        <w:t>Healy v. Beer Institute</w:t>
      </w:r>
      <w:r>
        <w:t>, 491 U.S. 324, 335–36 (1989); cf. </w:t>
      </w:r>
      <w:r>
        <w:rPr>
          <w:i/>
          <w:iCs/>
        </w:rPr>
        <w:t>Pike v. Bruce Church, Inc.</w:t>
      </w:r>
      <w:r>
        <w:t>, 397 U.S. 137 (1970). The Dormant Commerce Clause analysis predicts vulnerability for parochial protectionist statutes; most procurement statutes in the wave are not parochially protectionist in design, even where they fail under First Amendment review. The Dormant Commerce Clause frame is therefore secondary in this channel.</w:t>
      </w:r>
    </w:p>
  </w:footnote>
  <w:footnote w:id="113">
    <w:p w14:paraId="0FA4A2A3" w14:textId="19C9229C" w:rsidR="005F5ACD" w:rsidRDefault="00000000">
      <w:pPr>
        <w:pStyle w:val="FootnoteText"/>
      </w:pPr>
      <w:r>
        <w:rPr>
          <w:rStyle w:val="FootnoteReference"/>
        </w:rPr>
        <w:footnoteRef/>
      </w:r>
      <w:r>
        <w:t xml:space="preserve"> A Pro-side procurement-eligibility condition that turns on the firm</w:t>
      </w:r>
      <w:r w:rsidR="00B62085">
        <w:t>’</w:t>
      </w:r>
      <w:r>
        <w:t>s nationwide expressive conduct</w:t>
      </w:r>
      <w:r w:rsidR="00B62085">
        <w:t>—</w:t>
      </w:r>
      <w:r>
        <w:t>rather than its state-related transactional conduct</w:t>
      </w:r>
      <w:r w:rsidR="00B62085">
        <w:t>—</w:t>
      </w:r>
      <w:r>
        <w:t xml:space="preserve">would be vulnerable on the same </w:t>
      </w:r>
      <w:r>
        <w:rPr>
          <w:i/>
          <w:iCs/>
        </w:rPr>
        <w:t>Vullo</w:t>
      </w:r>
      <w:r>
        <w:t xml:space="preserve"> / </w:t>
      </w:r>
      <w:r>
        <w:rPr>
          <w:i/>
          <w:iCs/>
        </w:rPr>
        <w:t>Wunnicke</w:t>
      </w:r>
      <w:r>
        <w:t xml:space="preserve"> analysis that </w:t>
      </w:r>
      <w:r>
        <w:rPr>
          <w:i/>
          <w:iCs/>
        </w:rPr>
        <w:t>ASBC v. Hegar</w:t>
      </w:r>
      <w:r>
        <w:t xml:space="preserve"> applied to SB 13. </w:t>
      </w:r>
      <w:r>
        <w:rPr>
          <w:i/>
          <w:iCs/>
        </w:rPr>
        <w:t>See NRA v. Vullo</w:t>
      </w:r>
      <w:r>
        <w:t xml:space="preserve">, 602 U.S. 175, 190–92 (2024); </w:t>
      </w:r>
      <w:r>
        <w:rPr>
          <w:i/>
          <w:iCs/>
        </w:rPr>
        <w:t>South-Central Timber Dev., Inc. v. Wunnicke</w:t>
      </w:r>
      <w:r>
        <w:t>, 467 U.S. 82, 97–99 (1984).</w:t>
      </w:r>
    </w:p>
  </w:footnote>
  <w:footnote w:id="114">
    <w:p w14:paraId="3A000DDF" w14:textId="68C421F1" w:rsidR="005F5ACD" w:rsidRDefault="00000000">
      <w:pPr>
        <w:pStyle w:val="FootnoteText"/>
      </w:pPr>
      <w:r>
        <w:rPr>
          <w:rStyle w:val="FootnoteReference"/>
        </w:rPr>
        <w:footnoteRef/>
      </w:r>
      <w:r>
        <w:t xml:space="preserve"> </w:t>
      </w:r>
      <w:r>
        <w:rPr>
          <w:i/>
          <w:iCs/>
        </w:rPr>
        <w:t>Glass Lewis</w:t>
      </w:r>
      <w:r>
        <w:t xml:space="preserve">, No. 1:25-cv-01153 (preliminary injunction enjoining enforcement of TX SB 2337); </w:t>
      </w:r>
      <w:r>
        <w:rPr>
          <w:i/>
          <w:iCs/>
        </w:rPr>
        <w:t>ISS v. Paxton</w:t>
      </w:r>
      <w:r>
        <w:t>, No. 1:25-cv-01160 (parallel preliminary injunction). The two cases were briefed in parallel and resolved through coordinated injunctions. The asymmetric-trigger architecture is set out at Reply ISO Pl.</w:t>
      </w:r>
      <w:r w:rsidR="00B62085">
        <w:t>’</w:t>
      </w:r>
      <w:r>
        <w:t xml:space="preserve">s Mot. for Prelim. Inj. at 6, </w:t>
      </w:r>
      <w:r>
        <w:rPr>
          <w:i/>
          <w:iCs/>
        </w:rPr>
        <w:t>Glass Lewis &amp; Co., LLC v. Paxton</w:t>
      </w:r>
      <w:r>
        <w:t>, No. 1:25-cv-01153 (W.D. Tex. Aug. 22, 2025), 2025 U.S. Dist. Ct. Motions LEXIS 205132 (</w:t>
      </w:r>
      <w:r w:rsidR="00B62085">
        <w:t>“</w:t>
      </w:r>
      <w:r>
        <w:t>Whenever Glass Lewis</w:t>
      </w:r>
      <w:r w:rsidR="00B62085">
        <w:t>’</w:t>
      </w:r>
      <w:r>
        <w:t xml:space="preserve"> advice is </w:t>
      </w:r>
      <w:r w:rsidR="00B62085">
        <w:t>‘</w:t>
      </w:r>
      <w:r>
        <w:t>inconsistent with the voting recommendation of the board of directors</w:t>
      </w:r>
      <w:r w:rsidR="00B62085">
        <w:t>’</w:t>
      </w:r>
      <w:r>
        <w:t xml:space="preserve"> or </w:t>
      </w:r>
      <w:r w:rsidR="00B62085">
        <w:t>‘</w:t>
      </w:r>
      <w:r>
        <w:t>against a company proposal to elect a governing person,</w:t>
      </w:r>
      <w:r w:rsidR="00B62085">
        <w:t>’</w:t>
      </w:r>
      <w:r>
        <w:t xml:space="preserve"> Glass Lewis must state that its advice is not </w:t>
      </w:r>
      <w:r w:rsidR="00B62085">
        <w:t>‘</w:t>
      </w:r>
      <w:r>
        <w:t>solely in the financial interest of the company</w:t>
      </w:r>
      <w:r w:rsidR="00B62085">
        <w:t>’</w:t>
      </w:r>
      <w:r>
        <w:t>s shareholders</w:t>
      </w:r>
      <w:r w:rsidR="00B62085">
        <w:t>’</w:t>
      </w:r>
      <w:r>
        <w:t xml:space="preserve"> and </w:t>
      </w:r>
      <w:r w:rsidR="00B62085">
        <w:t>‘</w:t>
      </w:r>
      <w:r>
        <w:t>subordinates the financial interests of shareholders to other objectives.</w:t>
      </w:r>
      <w:r w:rsidR="00B62085">
        <w:t>’</w:t>
      </w:r>
      <w:r>
        <w:t xml:space="preserve"> . . . No disclosure requirement attaches to advice in favor of a company</w:t>
      </w:r>
      <w:r w:rsidR="00B62085">
        <w:t>’</w:t>
      </w:r>
      <w:r>
        <w:t>s proposals.</w:t>
      </w:r>
      <w:r w:rsidR="00B62085">
        <w:t>”</w:t>
      </w:r>
      <w:r>
        <w:t>).</w:t>
      </w:r>
    </w:p>
  </w:footnote>
  <w:footnote w:id="115">
    <w:p w14:paraId="2F2108DE" w14:textId="77777777" w:rsidR="005F5ACD" w:rsidRDefault="00000000">
      <w:pPr>
        <w:pStyle w:val="FootnoteText"/>
      </w:pPr>
      <w:r>
        <w:rPr>
          <w:rStyle w:val="FootnoteReference"/>
        </w:rPr>
        <w:footnoteRef/>
      </w:r>
      <w:r>
        <w:t xml:space="preserve"> </w:t>
      </w:r>
      <w:r>
        <w:rPr>
          <w:i/>
          <w:iCs/>
        </w:rPr>
        <w:t>See</w:t>
      </w:r>
      <w:r>
        <w:t xml:space="preserve"> Wieck Decl., </w:t>
      </w:r>
      <w:r>
        <w:rPr>
          <w:i/>
          <w:iCs/>
        </w:rPr>
        <w:t>Glass Lewis &amp; Co. v. Paxton</w:t>
      </w:r>
      <w:r>
        <w:t xml:space="preserve">, No. 1:25-cv-01153 (W.D. Tex. Aug. 29, 2025) (describing firmwide operational burden from per-recommendation Texas disclosure duties); Kelly Decl., </w:t>
      </w:r>
      <w:r>
        <w:rPr>
          <w:i/>
          <w:iCs/>
        </w:rPr>
        <w:t>ISS v. Paxton</w:t>
      </w:r>
      <w:r>
        <w:t>, No. 1:25-cv-01160 (W.D. Tex. Aug. 29, 2025) (same). The point is operational rather than territorial: although the statute uses a Texas nexus, compliance may require changes to scaled recommendation systems that are not easily confined to Texas-linked advice.</w:t>
      </w:r>
    </w:p>
  </w:footnote>
  <w:footnote w:id="116">
    <w:p w14:paraId="215DF2DC" w14:textId="77777777" w:rsidR="005F5ACD" w:rsidRDefault="00000000">
      <w:pPr>
        <w:pStyle w:val="FootnoteText"/>
      </w:pPr>
      <w:r>
        <w:rPr>
          <w:rStyle w:val="FootnoteReference"/>
        </w:rPr>
        <w:footnoteRef/>
      </w:r>
      <w:r>
        <w:t xml:space="preserve"> </w:t>
      </w:r>
      <w:r>
        <w:rPr>
          <w:i/>
          <w:iCs/>
        </w:rPr>
        <w:t>Zauderer v. Office of Disciplinary Counsel</w:t>
      </w:r>
      <w:r>
        <w:t xml:space="preserve">, 471 U.S. 626, 651 (1985); </w:t>
      </w:r>
      <w:r>
        <w:rPr>
          <w:i/>
          <w:iCs/>
        </w:rPr>
        <w:t>NIFLA v. Becerra</w:t>
      </w:r>
      <w:r>
        <w:t>, 585 U.S. 755, 768–71 (2018).</w:t>
      </w:r>
    </w:p>
  </w:footnote>
  <w:footnote w:id="117">
    <w:p w14:paraId="2C3A9CF8" w14:textId="742F6B57" w:rsidR="005F5ACD" w:rsidRDefault="00000000">
      <w:pPr>
        <w:pStyle w:val="FootnoteText"/>
      </w:pPr>
      <w:r>
        <w:rPr>
          <w:rStyle w:val="FootnoteReference"/>
        </w:rPr>
        <w:footnoteRef/>
      </w:r>
      <w:r>
        <w:t xml:space="preserve"> </w:t>
      </w:r>
      <w:r>
        <w:rPr>
          <w:i/>
          <w:iCs/>
        </w:rPr>
        <w:t>ISS v. SEC</w:t>
      </w:r>
      <w:r>
        <w:t xml:space="preserve">, 142 F.4th 757 (D.C. Cir. 2025) (Henderson, J.) (holding proxy advice is not a </w:t>
      </w:r>
      <w:r w:rsidR="00B62085">
        <w:t>“</w:t>
      </w:r>
      <w:r>
        <w:t>solicitation</w:t>
      </w:r>
      <w:r w:rsidR="00B62085">
        <w:t>”</w:t>
      </w:r>
      <w:r>
        <w:t xml:space="preserve"> under Exchange Act § 14(a); federal definition forecloses treating proxy advisers as soliciting agents for purposes of federal securities regulation); see 15 U.S.C. § 78n(a).</w:t>
      </w:r>
    </w:p>
  </w:footnote>
  <w:footnote w:id="118">
    <w:p w14:paraId="5FA48EAA" w14:textId="3AA4E6B1" w:rsidR="005F5ACD" w:rsidRDefault="00000000">
      <w:pPr>
        <w:pStyle w:val="FootnoteText"/>
      </w:pPr>
      <w:r>
        <w:rPr>
          <w:rStyle w:val="FootnoteReference"/>
        </w:rPr>
        <w:footnoteRef/>
      </w:r>
      <w:r>
        <w:t xml:space="preserve"> The structural anomaly</w:t>
      </w:r>
      <w:r w:rsidR="00B62085">
        <w:t>—</w:t>
      </w:r>
      <w:r>
        <w:t>textualist federal limits against asymmetric state process burdens</w:t>
      </w:r>
      <w:r w:rsidR="00B62085">
        <w:t>—</w:t>
      </w:r>
      <w:r>
        <w:t xml:space="preserve">remains unadjudicated. See </w:t>
      </w:r>
      <w:r>
        <w:rPr>
          <w:i/>
          <w:iCs/>
        </w:rPr>
        <w:t>also</w:t>
      </w:r>
      <w:r>
        <w:t xml:space="preserve"> Department of Labor, Technical Release 2026-01 (Apr. 1, 2026), Release No. 26-609-NAT (offering supplementary ERISA / proxy-voting background relevant to fiduciary obligations of plan-asset managers in the proxy-decision context).</w:t>
      </w:r>
    </w:p>
  </w:footnote>
  <w:footnote w:id="119">
    <w:p w14:paraId="4701EEEB" w14:textId="77777777" w:rsidR="005F5ACD" w:rsidRDefault="00000000">
      <w:pPr>
        <w:pStyle w:val="FootnoteText"/>
      </w:pPr>
      <w:r>
        <w:rPr>
          <w:rStyle w:val="FootnoteReference"/>
        </w:rPr>
        <w:footnoteRef/>
      </w:r>
      <w:r>
        <w:t xml:space="preserve"> </w:t>
      </w:r>
      <w:r>
        <w:rPr>
          <w:i/>
          <w:iCs/>
        </w:rPr>
        <w:t>Sanchez</w:t>
      </w:r>
      <w:r>
        <w:t>, No. 25-5327 (9th Cir. Nov. 18, 2025) (appeal from No. 2:24-cv-00801-ODW-PVC (C.D. Cal.)).</w:t>
      </w:r>
    </w:p>
  </w:footnote>
  <w:footnote w:id="120">
    <w:p w14:paraId="30377B13" w14:textId="6DE0A111" w:rsidR="005F5ACD" w:rsidRDefault="00000000">
      <w:pPr>
        <w:pStyle w:val="FootnoteText"/>
      </w:pPr>
      <w:r>
        <w:rPr>
          <w:rStyle w:val="FootnoteReference"/>
        </w:rPr>
        <w:footnoteRef/>
      </w:r>
      <w:r>
        <w:t xml:space="preserve"> Ill. Pub. Act 103-0468 (S.B. 2152), codified in relevant part at 40 Ill. Comp. Stat. 5/15-177.5, 5/15-177.6, 5/16-188, 5/16-189, 5/22A-113.4, 5/22A-113.5 (proxy-voting management and annual proxy-guidelines / sustainability-factor reporting duties). The cited provisions impose reporting architecture rather than the Anti-side</w:t>
      </w:r>
      <w:r w:rsidR="00B62085">
        <w:t>’</w:t>
      </w:r>
      <w:r>
        <w:t>s asymmetric written-financial-analysis duty.</w:t>
      </w:r>
    </w:p>
  </w:footnote>
  <w:footnote w:id="121">
    <w:p w14:paraId="5B79493D" w14:textId="77777777" w:rsidR="005F5ACD" w:rsidRDefault="00000000">
      <w:pPr>
        <w:pStyle w:val="FootnoteText"/>
      </w:pPr>
      <w:r>
        <w:rPr>
          <w:rStyle w:val="FootnoteReference"/>
        </w:rPr>
        <w:footnoteRef/>
      </w:r>
      <w:r>
        <w:t xml:space="preserve"> 12 U.S.C. § 25b; </w:t>
      </w:r>
      <w:r>
        <w:rPr>
          <w:i/>
          <w:iCs/>
        </w:rPr>
        <w:t>Cantero v. Bank of America, N.A.</w:t>
      </w:r>
      <w:r>
        <w:t>, 602 U.S. 205, 215–18 (2024) (post-</w:t>
      </w:r>
      <w:r>
        <w:rPr>
          <w:i/>
          <w:iCs/>
        </w:rPr>
        <w:t>Barnett Bank</w:t>
      </w:r>
      <w:r>
        <w:t xml:space="preserve"> framework requires nuanced significant-interference analysis rather than categorical preemption).</w:t>
      </w:r>
    </w:p>
  </w:footnote>
  <w:footnote w:id="122">
    <w:p w14:paraId="56FB91FC" w14:textId="77777777" w:rsidR="005F5ACD" w:rsidRDefault="00000000">
      <w:pPr>
        <w:pStyle w:val="FootnoteText"/>
      </w:pPr>
      <w:r>
        <w:rPr>
          <w:rStyle w:val="FootnoteReference"/>
        </w:rPr>
        <w:footnoteRef/>
      </w:r>
      <w:r>
        <w:t xml:space="preserve"> 15 U.S.C. § 1012(b) (McCarran-Ferguson Act); see </w:t>
      </w:r>
      <w:r>
        <w:rPr>
          <w:i/>
          <w:iCs/>
        </w:rPr>
        <w:t>Department of Treasury v. Fabe</w:t>
      </w:r>
      <w:r>
        <w:t>, 508 U.S. 491 (1993).</w:t>
      </w:r>
    </w:p>
  </w:footnote>
  <w:footnote w:id="123">
    <w:p w14:paraId="0C1C4ECF" w14:textId="77777777" w:rsidR="005F5ACD" w:rsidRDefault="00000000">
      <w:pPr>
        <w:pStyle w:val="FootnoteText"/>
      </w:pPr>
      <w:r>
        <w:rPr>
          <w:rStyle w:val="FootnoteReference"/>
        </w:rPr>
        <w:footnoteRef/>
      </w:r>
      <w:r>
        <w:t xml:space="preserve"> Fla. Stat. § 655.0323(1), (2)(c), (3) (risk factors unique to each customer or member; quantitative, impartial, risk-based standards; annual attestation).</w:t>
      </w:r>
    </w:p>
  </w:footnote>
  <w:footnote w:id="124">
    <w:p w14:paraId="35082202" w14:textId="77777777" w:rsidR="005F5ACD" w:rsidRDefault="00000000">
      <w:pPr>
        <w:pStyle w:val="FootnoteText"/>
      </w:pPr>
      <w:r>
        <w:rPr>
          <w:rStyle w:val="FootnoteReference"/>
        </w:rPr>
        <w:footnoteRef/>
      </w:r>
      <w:r>
        <w:t xml:space="preserve"> Fla. Stat. § 655.0323(3) (annual senior-officer attestation under penalty of perjury).</w:t>
      </w:r>
    </w:p>
  </w:footnote>
  <w:footnote w:id="125">
    <w:p w14:paraId="140D7328" w14:textId="77777777" w:rsidR="005F5ACD" w:rsidRDefault="00000000">
      <w:pPr>
        <w:pStyle w:val="FootnoteText"/>
      </w:pPr>
      <w:r>
        <w:rPr>
          <w:rStyle w:val="FootnoteReference"/>
        </w:rPr>
        <w:footnoteRef/>
      </w:r>
      <w:r>
        <w:t xml:space="preserve"> </w:t>
      </w:r>
      <w:r>
        <w:rPr>
          <w:i/>
          <w:iCs/>
        </w:rPr>
        <w:t>Securities Industry and Financial Markets Association v. Ashcroft</w:t>
      </w:r>
      <w:r>
        <w:t>, 745 F. Supp. 3d 783, 793–94, 798–801 (W.D. Mo. 2024) (preemption at 793–94; compelled-speech at 798–801).</w:t>
      </w:r>
    </w:p>
  </w:footnote>
  <w:footnote w:id="126">
    <w:p w14:paraId="6307837F" w14:textId="77777777" w:rsidR="005F5ACD" w:rsidRDefault="00000000">
      <w:pPr>
        <w:pStyle w:val="FootnoteText"/>
      </w:pPr>
      <w:r>
        <w:rPr>
          <w:rStyle w:val="FootnoteReference"/>
        </w:rPr>
        <w:footnoteRef/>
      </w:r>
      <w:r>
        <w:t xml:space="preserve"> Me. Rev. Stat. tit. 5, § 1957(3) (LD 99) (fiduciary-duty savings clause).</w:t>
      </w:r>
    </w:p>
  </w:footnote>
  <w:footnote w:id="127">
    <w:p w14:paraId="324C814B" w14:textId="78886E35" w:rsidR="005F5ACD" w:rsidRDefault="00000000">
      <w:pPr>
        <w:pStyle w:val="FootnoteText"/>
      </w:pPr>
      <w:r>
        <w:rPr>
          <w:rStyle w:val="FootnoteReference"/>
        </w:rPr>
        <w:footnoteRef/>
      </w:r>
      <w:r>
        <w:t xml:space="preserve"> </w:t>
      </w:r>
      <w:r>
        <w:rPr>
          <w:i/>
          <w:iCs/>
        </w:rPr>
        <w:t>Kentucky Retirement System Trustees Say It Is Not Subject to State</w:t>
      </w:r>
      <w:r w:rsidR="00B62085">
        <w:rPr>
          <w:i/>
          <w:iCs/>
        </w:rPr>
        <w:t>’</w:t>
      </w:r>
      <w:r>
        <w:rPr>
          <w:i/>
          <w:iCs/>
        </w:rPr>
        <w:t>s Anti-ESG Law</w:t>
      </w:r>
      <w:r>
        <w:t xml:space="preserve">, Chief Inv. Officer (Feb. 14, 2023), https://www.ai-cio.com/news/kentucky-retirement-system-trustees-say-it-is-not-subject-to-states-anti-esg-law/ (reporting February 13, </w:t>
      </w:r>
      <w:proofErr w:type="gramStart"/>
      <w:r>
        <w:t>2023</w:t>
      </w:r>
      <w:proofErr w:type="gramEnd"/>
      <w:r>
        <w:t xml:space="preserve"> letter from CERS Board Chair Betty Pendergrass to Kentucky State Treasurer invoking the fiduciary-inconsistency self-exemption under Ky. Rev. Stat. Ann. §§ 41.470–.476 (2022)).</w:t>
      </w:r>
    </w:p>
  </w:footnote>
  <w:footnote w:id="128">
    <w:p w14:paraId="3C08F223" w14:textId="77777777" w:rsidR="005F5ACD" w:rsidRDefault="00000000">
      <w:pPr>
        <w:pStyle w:val="FootnoteText"/>
      </w:pPr>
      <w:r>
        <w:rPr>
          <w:rStyle w:val="FootnoteReference"/>
        </w:rPr>
        <w:footnoteRef/>
      </w:r>
      <w:r>
        <w:t xml:space="preserve"> BlackRock, Inc., </w:t>
      </w:r>
      <w:r>
        <w:rPr>
          <w:i/>
          <w:iCs/>
        </w:rPr>
        <w:t>2025 Investment Stewardship Annual Report</w:t>
      </w:r>
      <w:r>
        <w:t xml:space="preserve"> (2026) (covering proxy year Jan. 1–Dec. 31, 2025) (reporting BIS support for 3 of 352 climate-and-natural-capital and company-impact proposals; voted on more than 154,000 proposals; supported management recommendations on approximately 88% of proposals globally); BlackRock, Inc., </w:t>
      </w:r>
      <w:r>
        <w:rPr>
          <w:i/>
          <w:iCs/>
        </w:rPr>
        <w:t>2024 Investment Stewardship Annual Report</w:t>
      </w:r>
      <w:r>
        <w:t xml:space="preserve"> (2025).</w:t>
      </w:r>
    </w:p>
  </w:footnote>
  <w:footnote w:id="129">
    <w:p w14:paraId="3E3E0507" w14:textId="4FF098B1" w:rsidR="005F5ACD" w:rsidRDefault="00000000">
      <w:pPr>
        <w:pStyle w:val="FootnoteText"/>
      </w:pPr>
      <w:r>
        <w:rPr>
          <w:rStyle w:val="FootnoteReference"/>
        </w:rPr>
        <w:footnoteRef/>
      </w:r>
      <w:r>
        <w:t xml:space="preserve"> Climate Action 100+, </w:t>
      </w:r>
      <w:r>
        <w:rPr>
          <w:i/>
          <w:iCs/>
        </w:rPr>
        <w:t>Climate Action 100+ Reaction to Recent Departures</w:t>
      </w:r>
      <w:r>
        <w:t xml:space="preserve"> (Feb. 26, 2024); Letter from BlackRock to Clients, </w:t>
      </w:r>
      <w:r>
        <w:rPr>
          <w:i/>
          <w:iCs/>
        </w:rPr>
        <w:t>Excerpt from letter to clients on BlackRock</w:t>
      </w:r>
      <w:r w:rsidR="00B62085">
        <w:rPr>
          <w:i/>
          <w:iCs/>
        </w:rPr>
        <w:t>’</w:t>
      </w:r>
      <w:r>
        <w:rPr>
          <w:i/>
          <w:iCs/>
        </w:rPr>
        <w:t>s decision to leave NZAM</w:t>
      </w:r>
      <w:r>
        <w:t xml:space="preserve"> (Jan. 9, 2025) (</w:t>
      </w:r>
      <w:r w:rsidR="00B62085">
        <w:t>“</w:t>
      </w:r>
      <w:r>
        <w:t>our memberships in some of these organizations have caused confusion regarding BlackRock</w:t>
      </w:r>
      <w:r w:rsidR="00B62085">
        <w:t>’</w:t>
      </w:r>
      <w:r>
        <w:t>s practices and subjected us to legal inquiries from various public officials</w:t>
      </w:r>
      <w:r w:rsidR="00B62085">
        <w:t>”</w:t>
      </w:r>
      <w:r>
        <w:t>); NZAM tracking-suspension announcement (Jan. 13, 2025); NZIA discontinuation (Apr. 25, 2024); NZBA cease-vote (Oct. 2025).</w:t>
      </w:r>
    </w:p>
  </w:footnote>
  <w:footnote w:id="130">
    <w:p w14:paraId="6C53AEFD" w14:textId="77777777" w:rsidR="005F5ACD" w:rsidRDefault="00000000">
      <w:pPr>
        <w:pStyle w:val="FootnoteText"/>
      </w:pPr>
      <w:r>
        <w:rPr>
          <w:rStyle w:val="FootnoteReference"/>
        </w:rPr>
        <w:footnoteRef/>
      </w:r>
      <w:r>
        <w:t xml:space="preserve"> Conference Board, </w:t>
      </w:r>
      <w:r>
        <w:rPr>
          <w:i/>
          <w:iCs/>
        </w:rPr>
        <w:t>ESG Backlash: Defining the Pushback and Its Impact</w:t>
      </w:r>
      <w:r>
        <w:t xml:space="preserve"> (2024); Conference Board, </w:t>
      </w:r>
      <w:r>
        <w:rPr>
          <w:i/>
          <w:iCs/>
        </w:rPr>
        <w:t>Sustainability Under Scrutiny: Strategy and Disclosure in a Polarized Environment</w:t>
      </w:r>
      <w:r>
        <w:t xml:space="preserve"> (2025).</w:t>
      </w:r>
    </w:p>
  </w:footnote>
  <w:footnote w:id="131">
    <w:p w14:paraId="616D0AC2" w14:textId="77777777" w:rsidR="005F5ACD" w:rsidRDefault="00000000">
      <w:pPr>
        <w:pStyle w:val="FootnoteText"/>
      </w:pPr>
      <w:r>
        <w:rPr>
          <w:rStyle w:val="FootnoteReference"/>
        </w:rPr>
        <w:footnoteRef/>
      </w:r>
      <w:r>
        <w:t xml:space="preserve"> Isla Binnie, </w:t>
      </w:r>
      <w:r>
        <w:rPr>
          <w:i/>
          <w:iCs/>
        </w:rPr>
        <w:t>Texas Schools Fund Pulls $8.5 Billion from BlackRock over ESG Investing</w:t>
      </w:r>
      <w:r>
        <w:t xml:space="preserve">, Reuters (Mar. 19, 2024), https://www.reuters.com/business/finance/texas-schools-fund-pulls-85-billion-blackrock-over-esg-investing-2024-03-19/; </w:t>
      </w:r>
      <w:r>
        <w:rPr>
          <w:i/>
          <w:iCs/>
        </w:rPr>
        <w:t>see also</w:t>
      </w:r>
      <w:r>
        <w:t xml:space="preserve"> Press Release, Tex. Permanent Sch. Fund Corp., </w:t>
      </w:r>
      <w:r>
        <w:rPr>
          <w:i/>
          <w:iCs/>
        </w:rPr>
        <w:t>Texas PSF Corporation Announces Termination of Investment Management Services Contracts with BlackRock</w:t>
      </w:r>
      <w:r>
        <w:t xml:space="preserve"> (Mar. 19, 2024). PSF Chairman Aaron Kinsey publicly tied the termination to Texas SB 13. The $8.5 billion figure is the total mandate value; it does not represent a realized financial loss to the PSF.</w:t>
      </w:r>
    </w:p>
  </w:footnote>
  <w:footnote w:id="132">
    <w:p w14:paraId="2F428F11" w14:textId="77777777" w:rsidR="005F5ACD" w:rsidRDefault="00000000">
      <w:pPr>
        <w:pStyle w:val="FootnoteText"/>
      </w:pPr>
      <w:r>
        <w:rPr>
          <w:rStyle w:val="FootnoteReference"/>
        </w:rPr>
        <w:footnoteRef/>
      </w:r>
      <w:r>
        <w:t xml:space="preserve"> Garrett &amp; Ivanov, </w:t>
      </w:r>
      <w:r>
        <w:rPr>
          <w:i/>
          <w:iCs/>
        </w:rPr>
        <w:t>supra</w:t>
      </w:r>
      <w:r>
        <w:t xml:space="preserve"> note 5, at 1, 4, 8, 17–18.</w:t>
      </w:r>
    </w:p>
  </w:footnote>
  <w:footnote w:id="133">
    <w:p w14:paraId="277749CE" w14:textId="77777777" w:rsidR="005F5ACD" w:rsidRDefault="00000000">
      <w:pPr>
        <w:pStyle w:val="FootnoteText"/>
      </w:pPr>
      <w:r>
        <w:rPr>
          <w:rStyle w:val="FootnoteReference"/>
        </w:rPr>
        <w:footnoteRef/>
      </w:r>
      <w:r>
        <w:t xml:space="preserve"> Press Release, Jimmy Patronis, Fla. Chief Fin. Officer, </w:t>
      </w:r>
      <w:r>
        <w:rPr>
          <w:i/>
          <w:iCs/>
        </w:rPr>
        <w:t>Florida Treasury Divesting from BlackRock</w:t>
      </w:r>
      <w:r>
        <w:t xml:space="preserve"> (Dec. 1, 2022), https://www.myfloridacfo.com/news/pressreleases/prior-press-releases/2022/2023/09/20/cfo-jimmy-patronis-florida-treasury-divesting-from-blackrock.</w:t>
      </w:r>
    </w:p>
  </w:footnote>
  <w:footnote w:id="134">
    <w:p w14:paraId="26573A61" w14:textId="77777777" w:rsidR="005F5ACD" w:rsidRDefault="00000000">
      <w:pPr>
        <w:pStyle w:val="FootnoteText"/>
      </w:pPr>
      <w:r>
        <w:rPr>
          <w:rStyle w:val="FootnoteReference"/>
        </w:rPr>
        <w:footnoteRef/>
      </w:r>
      <w:r>
        <w:t xml:space="preserve"> </w:t>
      </w:r>
      <w:r>
        <w:rPr>
          <w:i/>
          <w:iCs/>
        </w:rPr>
        <w:t>Louisiana to Remove $794 Million from BlackRock Funds over ESG Drive</w:t>
      </w:r>
      <w:r>
        <w:t xml:space="preserve">, Reuters (Oct. 5, 2022); </w:t>
      </w:r>
      <w:r>
        <w:rPr>
          <w:i/>
          <w:iCs/>
        </w:rPr>
        <w:t>see also Treasurer Pulls Louisiana Investments out of BlackRock</w:t>
      </w:r>
      <w:r>
        <w:t>, La. Illuminator (Oct. 5, 2022), https://lailluminator.com/2022/10/05/treasurer-pulls-louisiana-investments-out-of-blackrock/.</w:t>
      </w:r>
    </w:p>
  </w:footnote>
  <w:footnote w:id="135">
    <w:p w14:paraId="7B676D35" w14:textId="4BBC9311" w:rsidR="005F5ACD" w:rsidRDefault="00000000">
      <w:pPr>
        <w:pStyle w:val="FootnoteText"/>
      </w:pPr>
      <w:r>
        <w:rPr>
          <w:rStyle w:val="FootnoteReference"/>
        </w:rPr>
        <w:footnoteRef/>
      </w:r>
      <w:r>
        <w:t xml:space="preserve"> Press Release, Scott Fitzpatrick, Mo. State Treasurer, </w:t>
      </w:r>
      <w:r>
        <w:rPr>
          <w:i/>
          <w:iCs/>
        </w:rPr>
        <w:t>Treasurer Fitzpatrick Announces MOSERS Has Pulled $500 Million in State Pension Funds from BlackRock</w:t>
      </w:r>
      <w:r>
        <w:t xml:space="preserve"> (Oct. 18, 2022)</w:t>
      </w:r>
      <w:r w:rsidR="00B62085">
        <w:t>.</w:t>
      </w:r>
    </w:p>
  </w:footnote>
  <w:footnote w:id="136">
    <w:p w14:paraId="49D57F84" w14:textId="094BF590" w:rsidR="005F5ACD" w:rsidRDefault="00000000">
      <w:pPr>
        <w:pStyle w:val="FootnoteText"/>
      </w:pPr>
      <w:r>
        <w:rPr>
          <w:rStyle w:val="FootnoteReference"/>
        </w:rPr>
        <w:footnoteRef/>
      </w:r>
      <w:r>
        <w:t xml:space="preserve"> S.C. Off. of the State Treasurer, Press Release, </w:t>
      </w:r>
      <w:r>
        <w:rPr>
          <w:i/>
          <w:iCs/>
        </w:rPr>
        <w:t>South Carolina Treasurer Takes Final Action Against BlackRock</w:t>
      </w:r>
      <w:r>
        <w:t xml:space="preserve"> (Oct. 10, 2022), https://treasurer.sc.gov/about-us/newsroom/south-carolina-treasurer-takes-final-action-against-blackrock/ (announcing $200M divestment from $5B portfolio and stating Treasurer rejected BlackRock bid to manage portfolio described as holding more than $40.3 billion); </w:t>
      </w:r>
      <w:r>
        <w:rPr>
          <w:i/>
          <w:iCs/>
        </w:rPr>
        <w:t>see also</w:t>
      </w:r>
      <w:r>
        <w:t xml:space="preserve"> Zach Halaschak, </w:t>
      </w:r>
      <w:r>
        <w:rPr>
          <w:i/>
          <w:iCs/>
        </w:rPr>
        <w:t>South Carolina to Divest $200 Million from BlackRock over ESG Concerns</w:t>
      </w:r>
      <w:r>
        <w:t xml:space="preserve">, Wash. Examiner (Oct. 10, 2022). The $40.3 billion bid-rejection figure </w:t>
      </w:r>
      <w:r w:rsidR="00933885">
        <w:t>c</w:t>
      </w:r>
      <w:r>
        <w:t>ited here only as the Treasurer</w:t>
      </w:r>
      <w:r w:rsidR="00B62085">
        <w:t>’</w:t>
      </w:r>
      <w:r>
        <w:t>s stated attribution.</w:t>
      </w:r>
    </w:p>
  </w:footnote>
  <w:footnote w:id="137">
    <w:p w14:paraId="1E89CF22" w14:textId="77777777" w:rsidR="005F5ACD" w:rsidRDefault="00000000">
      <w:pPr>
        <w:pStyle w:val="FootnoteText"/>
      </w:pPr>
      <w:r>
        <w:rPr>
          <w:rStyle w:val="FootnoteReference"/>
        </w:rPr>
        <w:footnoteRef/>
      </w:r>
      <w:r>
        <w:t xml:space="preserve"> </w:t>
      </w:r>
      <w:r>
        <w:rPr>
          <w:i/>
          <w:iCs/>
        </w:rPr>
        <w:t>Pension Board Votes to Remove BlackRock Due to ESG Violations</w:t>
      </w:r>
      <w:r>
        <w:t xml:space="preserve">, Ind. Cap. Chron. (Dec. 16, 2024), https://indianacapitalchronicle.com/2024/12/16/pension-board-votes-to-remove-blackrock-due-to-esg-violations/; </w:t>
      </w:r>
      <w:r>
        <w:rPr>
          <w:i/>
          <w:iCs/>
        </w:rPr>
        <w:t>Indiana to Replace BlackRock in Pension Funds Due to ESG Investing Policies</w:t>
      </w:r>
      <w:r>
        <w:t xml:space="preserve">, ESG Today (Dec. 16, 2024); </w:t>
      </w:r>
      <w:r>
        <w:rPr>
          <w:i/>
          <w:iCs/>
        </w:rPr>
        <w:t>see</w:t>
      </w:r>
      <w:r>
        <w:t xml:space="preserve"> Ind. Code § 5-10.2-14 (2023).</w:t>
      </w:r>
    </w:p>
  </w:footnote>
  <w:footnote w:id="138">
    <w:p w14:paraId="27DC1F93" w14:textId="4575AD0A" w:rsidR="005F5ACD" w:rsidRDefault="00000000">
      <w:pPr>
        <w:pStyle w:val="FootnoteText"/>
      </w:pPr>
      <w:r>
        <w:rPr>
          <w:rStyle w:val="FootnoteReference"/>
        </w:rPr>
        <w:footnoteRef/>
      </w:r>
      <w:r>
        <w:t xml:space="preserve"> </w:t>
      </w:r>
      <w:r>
        <w:rPr>
          <w:i/>
          <w:iCs/>
        </w:rPr>
        <w:t>Keenan</w:t>
      </w:r>
      <w:r>
        <w:t>, 2026 OK 20, ¶ 41 (5-3 decision). The $9.7 million is OPERS</w:t>
      </w:r>
      <w:r w:rsidR="00B62085">
        <w:t>’</w:t>
      </w:r>
      <w:r>
        <w:t>s forward-looking litigation-record estimate of one-time switching costs if compelled to comply with the EDEA, not an independent post-implementation realized loss; it featured in the court</w:t>
      </w:r>
      <w:r w:rsidR="00B62085">
        <w:t>’</w:t>
      </w:r>
      <w:r>
        <w:t>s dual-purpose analysis under Okla. Const. Art. XXIII, § 12.</w:t>
      </w:r>
    </w:p>
  </w:footnote>
  <w:footnote w:id="139">
    <w:p w14:paraId="42B4042C" w14:textId="77777777" w:rsidR="005F5ACD" w:rsidRDefault="00000000">
      <w:pPr>
        <w:pStyle w:val="FootnoteText"/>
      </w:pPr>
      <w:r>
        <w:rPr>
          <w:rStyle w:val="FootnoteReference"/>
        </w:rPr>
        <w:footnoteRef/>
      </w:r>
      <w:r>
        <w:t xml:space="preserve"> </w:t>
      </w:r>
      <w:r>
        <w:rPr>
          <w:i/>
          <w:iCs/>
        </w:rPr>
        <w:t>ASBC</w:t>
      </w:r>
      <w:r>
        <w:t>, 2026 U.S. Dist. LEXIS 22918, appeal docketed, No. 26-50111 (5th Cir.).</w:t>
      </w:r>
    </w:p>
  </w:footnote>
  <w:footnote w:id="140">
    <w:p w14:paraId="0F10E78D" w14:textId="0EF96E80" w:rsidR="005F5ACD" w:rsidRDefault="00000000">
      <w:pPr>
        <w:pStyle w:val="FootnoteText"/>
      </w:pPr>
      <w:r>
        <w:rPr>
          <w:rStyle w:val="FootnoteReference"/>
        </w:rPr>
        <w:footnoteRef/>
      </w:r>
      <w:r>
        <w:t xml:space="preserve"> Indiana Legislative Services Agency, Fiscal Impact Statement on H.B. 1008 (Feb. 14, 2023) (nonpartisan LSA analysis projecting an approximately $6.7 billion reduction in Indiana Public Retirement System (INPRS) investment returns over ten years, with annualized return falling from approximately 6.25% to 5.05%, and projected increased state contributions of $550–$600 million annually to maintain pension solvency). After legislative-record pushback from the Indiana Chamber of Commerce, the Indiana Bankers Association, and the Indiana Public Retirement System (INPRS), the bill was amended to narrow its scope; the LSA</w:t>
      </w:r>
      <w:r w:rsidR="00B62085">
        <w:t>’</w:t>
      </w:r>
      <w:r>
        <w:t>s revised analysis projected a residual cost of approximately $5.5 million over ten years.</w:t>
      </w:r>
    </w:p>
  </w:footnote>
  <w:footnote w:id="141">
    <w:p w14:paraId="168FBE5A" w14:textId="77777777" w:rsidR="005F5ACD" w:rsidRDefault="00000000">
      <w:pPr>
        <w:pStyle w:val="FootnoteText"/>
      </w:pPr>
      <w:r>
        <w:rPr>
          <w:rStyle w:val="FootnoteReference"/>
        </w:rPr>
        <w:footnoteRef/>
      </w:r>
      <w:r>
        <w:t xml:space="preserve"> David Berger, David H. Webber &amp; Beth M. Young, </w:t>
      </w:r>
      <w:r>
        <w:rPr>
          <w:i/>
          <w:iCs/>
        </w:rPr>
        <w:t>Liability Trap</w:t>
      </w:r>
      <w:r>
        <w:t>, SSRN Working Paper No. 4360119 (Feb. 15, 2023).</w:t>
      </w:r>
    </w:p>
  </w:footnote>
  <w:footnote w:id="142">
    <w:p w14:paraId="23864A07" w14:textId="77777777" w:rsidR="005F5ACD" w:rsidRDefault="00000000">
      <w:pPr>
        <w:pStyle w:val="FootnoteText"/>
      </w:pPr>
      <w:r>
        <w:rPr>
          <w:rStyle w:val="FootnoteReference"/>
        </w:rPr>
        <w:footnoteRef/>
      </w:r>
      <w:r>
        <w:t xml:space="preserve"> </w:t>
      </w:r>
      <w:r>
        <w:rPr>
          <w:i/>
          <w:iCs/>
        </w:rPr>
        <w:t>Micone</w:t>
      </w:r>
      <w:r>
        <w:t xml:space="preserve">, 766 F. Supp. 3d at 674 (upholding 2022 ESG-permissive rule on remand under </w:t>
      </w:r>
      <w:r>
        <w:rPr>
          <w:i/>
          <w:iCs/>
        </w:rPr>
        <w:t>Loper Bright Enters. v. Raimondo</w:t>
      </w:r>
      <w:r>
        <w:t>, 603 U.S. 369 (2024), de novo review).</w:t>
      </w:r>
    </w:p>
  </w:footnote>
  <w:footnote w:id="143">
    <w:p w14:paraId="71D2C562" w14:textId="2DA467B0" w:rsidR="005F5ACD" w:rsidRDefault="00000000">
      <w:pPr>
        <w:pStyle w:val="FootnoteText"/>
      </w:pPr>
      <w:r>
        <w:rPr>
          <w:rStyle w:val="FootnoteReference"/>
        </w:rPr>
        <w:footnoteRef/>
      </w:r>
      <w:r>
        <w:t xml:space="preserve"> </w:t>
      </w:r>
      <w:proofErr w:type="spellStart"/>
      <w:r>
        <w:t>Dep</w:t>
      </w:r>
      <w:r w:rsidR="00B62085">
        <w:t>’</w:t>
      </w:r>
      <w:r>
        <w:t>t</w:t>
      </w:r>
      <w:proofErr w:type="spellEnd"/>
      <w:r>
        <w:t xml:space="preserve"> of Labor, EBSA, Technical Release 2026-01 (Apr. 1, 2026), Release No. 26-609-NAT (contemporaneous federal-administrative signal; status contested; no body claim anchored to a TR 2026-01 doctrinal holding).</w:t>
      </w:r>
    </w:p>
  </w:footnote>
  <w:footnote w:id="144">
    <w:p w14:paraId="3DEB2E72" w14:textId="77777777" w:rsidR="005F5ACD" w:rsidRDefault="00000000">
      <w:pPr>
        <w:pStyle w:val="FootnoteText"/>
      </w:pPr>
      <w:r>
        <w:rPr>
          <w:rStyle w:val="FootnoteReference"/>
        </w:rPr>
        <w:footnoteRef/>
      </w:r>
      <w:r>
        <w:t xml:space="preserve"> SEC, </w:t>
      </w:r>
      <w:r>
        <w:rPr>
          <w:i/>
          <w:iCs/>
        </w:rPr>
        <w:t>Enhancement and Standardization of Climate-Related Disclosures for Investors</w:t>
      </w:r>
      <w:r>
        <w:t xml:space="preserve">, 89 Fed. Reg. 21,668 (Mar. 28, 2024) (final rule, adopted Mar. 6, 2024); </w:t>
      </w:r>
      <w:r>
        <w:rPr>
          <w:i/>
          <w:iCs/>
        </w:rPr>
        <w:t>Iowa v. SEC</w:t>
      </w:r>
      <w:r>
        <w:t xml:space="preserve">, No. 24-1522 (8th Cir.) (consolidated petitions for review). The Commission stayed effectiveness pending the consolidated litigation, and on March 27, 2025 voted to end its defense of the rules. Press Release, SEC, </w:t>
      </w:r>
      <w:r>
        <w:rPr>
          <w:i/>
          <w:iCs/>
        </w:rPr>
        <w:t>SEC Votes to End Defense of Climate Disclosure Rules</w:t>
      </w:r>
      <w:r>
        <w:t>, No. 2025-58 (Mar. 27, 2025), https://www.sec.gov/newsroom/press-releases/2025-58.</w:t>
      </w:r>
    </w:p>
  </w:footnote>
  <w:footnote w:id="145">
    <w:p w14:paraId="0261B032" w14:textId="7F68696D" w:rsidR="005F5ACD" w:rsidRDefault="00000000">
      <w:pPr>
        <w:pStyle w:val="FootnoteText"/>
      </w:pPr>
      <w:r>
        <w:rPr>
          <w:rStyle w:val="FootnoteReference"/>
        </w:rPr>
        <w:footnoteRef/>
      </w:r>
      <w:r>
        <w:t xml:space="preserve"> Climate Action 100+, </w:t>
      </w:r>
      <w:r>
        <w:rPr>
          <w:i/>
          <w:iCs/>
        </w:rPr>
        <w:t>Climate Action 100+ Reaction to Recent Departures</w:t>
      </w:r>
      <w:r>
        <w:t xml:space="preserve"> (Feb. 26, 2024); Letter from BlackRock to Clients, </w:t>
      </w:r>
      <w:r>
        <w:rPr>
          <w:i/>
          <w:iCs/>
        </w:rPr>
        <w:t>Excerpt from letter to clients on BlackRock</w:t>
      </w:r>
      <w:r w:rsidR="00B62085">
        <w:rPr>
          <w:i/>
          <w:iCs/>
        </w:rPr>
        <w:t>’</w:t>
      </w:r>
      <w:r>
        <w:rPr>
          <w:i/>
          <w:iCs/>
        </w:rPr>
        <w:t>s decision to leave NZAM</w:t>
      </w:r>
      <w:r>
        <w:t xml:space="preserve"> (Jan. 9, 2025) (</w:t>
      </w:r>
      <w:r w:rsidR="00B62085">
        <w:t>“</w:t>
      </w:r>
      <w:r>
        <w:t>our memberships in some of these organizations have caused confusion regarding BlackRock</w:t>
      </w:r>
      <w:r w:rsidR="00B62085">
        <w:t>’</w:t>
      </w:r>
      <w:r>
        <w:t>s practices and subjected us to legal inquiries from various public officials</w:t>
      </w:r>
      <w:r w:rsidR="00B62085">
        <w:t>”</w:t>
      </w:r>
      <w:r>
        <w:t>); NZAM tracking-suspension announcement (Jan. 13, 2025); NZIA discontinuation (Apr. 25, 2024); NZBA cease-vote (Oct. 2025).</w:t>
      </w:r>
    </w:p>
  </w:footnote>
  <w:footnote w:id="146">
    <w:p w14:paraId="78B12D67" w14:textId="77777777" w:rsidR="005F5ACD" w:rsidRDefault="00000000">
      <w:pPr>
        <w:pStyle w:val="FootnoteText"/>
      </w:pPr>
      <w:r>
        <w:rPr>
          <w:rStyle w:val="FootnoteReference"/>
        </w:rPr>
        <w:footnoteRef/>
      </w:r>
      <w:r>
        <w:t xml:space="preserve"> Cass R. Sunstein, </w:t>
      </w:r>
      <w:r>
        <w:rPr>
          <w:i/>
          <w:iCs/>
        </w:rPr>
        <w:t>On the Expressive Function of Law</w:t>
      </w:r>
      <w:r>
        <w:t>, 144 U. Pa. L. Rev. 2021, 2032–33 (1996).</w:t>
      </w:r>
    </w:p>
  </w:footnote>
  <w:footnote w:id="147">
    <w:p w14:paraId="4027ADF3" w14:textId="77777777" w:rsidR="005F5ACD" w:rsidRDefault="00000000">
      <w:pPr>
        <w:pStyle w:val="FootnoteText"/>
      </w:pPr>
      <w:r>
        <w:rPr>
          <w:rStyle w:val="FootnoteReference"/>
        </w:rPr>
        <w:footnoteRef/>
      </w:r>
      <w:r>
        <w:t xml:space="preserve"> Timur Kuran &amp; Cass R. Sunstein, </w:t>
      </w:r>
      <w:r>
        <w:rPr>
          <w:i/>
          <w:iCs/>
        </w:rPr>
        <w:t>Availability Cascades and Risk Regulation</w:t>
      </w:r>
      <w:r>
        <w:t>, 51 Stan. L. Rev. 683, 685–87 (1999).</w:t>
      </w:r>
    </w:p>
  </w:footnote>
  <w:footnote w:id="148">
    <w:p w14:paraId="4D49127A" w14:textId="18C8EC63" w:rsidR="005F5ACD" w:rsidRDefault="00000000">
      <w:pPr>
        <w:pStyle w:val="FootnoteText"/>
      </w:pPr>
      <w:r>
        <w:rPr>
          <w:rStyle w:val="FootnoteReference"/>
        </w:rPr>
        <w:footnoteRef/>
      </w:r>
      <w:r>
        <w:t xml:space="preserve"> </w:t>
      </w:r>
      <w:r>
        <w:rPr>
          <w:i/>
          <w:iCs/>
        </w:rPr>
        <w:t>See</w:t>
      </w:r>
      <w:r>
        <w:t xml:space="preserve"> Dan M. Kahan, </w:t>
      </w:r>
      <w:r>
        <w:rPr>
          <w:i/>
          <w:iCs/>
        </w:rPr>
        <w:t>The Secret Ambition of Deterrence</w:t>
      </w:r>
      <w:r>
        <w:t>, 113 Harv. L. Rev. 413, 424–25, 487 (1999)(</w:t>
      </w:r>
      <w:r w:rsidR="00B62085">
        <w:t>“</w:t>
      </w:r>
      <w:r>
        <w:t>[I]f even a small minority of cultural zealots remain committed to using the law to project the ascendancy of their norms, the less culturally ambitious majority will be goaded into expressive competition by way of self-defense</w:t>
      </w:r>
      <w:r w:rsidR="00B62085">
        <w:t>”</w:t>
      </w:r>
      <w:r>
        <w:t xml:space="preserve">; </w:t>
      </w:r>
      <w:r w:rsidR="00B62085">
        <w:t>“</w:t>
      </w:r>
      <w:r>
        <w:t>Law is an important source of the information that determines the vitality of a nascent norm.</w:t>
      </w:r>
      <w:r w:rsidR="00B62085">
        <w:t>”</w:t>
      </w:r>
      <w:r>
        <w:t>).</w:t>
      </w:r>
    </w:p>
  </w:footnote>
  <w:footnote w:id="149">
    <w:p w14:paraId="0756ABF0" w14:textId="77777777" w:rsidR="005F5ACD" w:rsidRDefault="00000000">
      <w:pPr>
        <w:pStyle w:val="FootnoteText"/>
      </w:pPr>
      <w:r>
        <w:rPr>
          <w:rStyle w:val="FootnoteReference"/>
        </w:rPr>
        <w:footnoteRef/>
      </w:r>
      <w:r>
        <w:t xml:space="preserve"> Dan M. Kahan, </w:t>
      </w:r>
      <w:r>
        <w:rPr>
          <w:i/>
          <w:iCs/>
        </w:rPr>
        <w:t>The Secret Ambition of Deterrence</w:t>
      </w:r>
      <w:r>
        <w:t>, 113 Harv. L. Rev. 413, 424-25 (1999).</w:t>
      </w:r>
    </w:p>
  </w:footnote>
  <w:footnote w:id="150">
    <w:p w14:paraId="230ED2F5" w14:textId="77777777" w:rsidR="005F5ACD" w:rsidRDefault="00000000">
      <w:pPr>
        <w:pStyle w:val="FootnoteText"/>
      </w:pPr>
      <w:r>
        <w:rPr>
          <w:rStyle w:val="FootnoteReference"/>
        </w:rPr>
        <w:footnoteRef/>
      </w:r>
      <w:r>
        <w:t xml:space="preserve"> </w:t>
      </w:r>
      <w:r>
        <w:rPr>
          <w:i/>
          <w:iCs/>
        </w:rPr>
        <w:t>Bantam Books, Inc. v. Sullivan</w:t>
      </w:r>
      <w:r>
        <w:t xml:space="preserve">, 372 U.S. 58, 67 (1963); </w:t>
      </w:r>
      <w:r>
        <w:rPr>
          <w:i/>
          <w:iCs/>
        </w:rPr>
        <w:t>NRA v. Vullo</w:t>
      </w:r>
      <w:r>
        <w:t>, 602 U.S. 175, 188–94 (2024).</w:t>
      </w:r>
    </w:p>
  </w:footnote>
  <w:footnote w:id="151">
    <w:p w14:paraId="0ABFC066" w14:textId="77777777" w:rsidR="005F5ACD" w:rsidRDefault="00000000">
      <w:pPr>
        <w:pStyle w:val="FootnoteText"/>
      </w:pPr>
      <w:r>
        <w:rPr>
          <w:rStyle w:val="FootnoteReference"/>
        </w:rPr>
        <w:footnoteRef/>
      </w:r>
      <w:r>
        <w:t xml:space="preserve"> Tex. Bus. Orgs. Code §§ 6A.101(a)(2), (b)(1)(A)–(B), (b)(3), 6A.201, 6A.202.</w:t>
      </w:r>
    </w:p>
  </w:footnote>
  <w:footnote w:id="152">
    <w:p w14:paraId="7944AFCA" w14:textId="77777777" w:rsidR="005F5ACD" w:rsidRDefault="00000000">
      <w:pPr>
        <w:pStyle w:val="FootnoteText"/>
      </w:pPr>
      <w:r>
        <w:rPr>
          <w:rStyle w:val="FootnoteReference"/>
        </w:rPr>
        <w:footnoteRef/>
      </w:r>
      <w:r>
        <w:t xml:space="preserve"> Fla. Stat. § 655.0323 (firm-level supervisory and perjury attestation regarding compliance with State ESG-discrimination prohibitions).</w:t>
      </w:r>
    </w:p>
  </w:footnote>
  <w:footnote w:id="153">
    <w:p w14:paraId="5B18D510" w14:textId="19224562" w:rsidR="005F5ACD" w:rsidRDefault="00000000">
      <w:pPr>
        <w:pStyle w:val="FootnoteText"/>
      </w:pPr>
      <w:r>
        <w:rPr>
          <w:rStyle w:val="FootnoteReference"/>
        </w:rPr>
        <w:footnoteRef/>
      </w:r>
      <w:r>
        <w:t xml:space="preserve"> Tex. Gov</w:t>
      </w:r>
      <w:r w:rsidR="00B62085">
        <w:t>’</w:t>
      </w:r>
      <w:r>
        <w:t xml:space="preserve">t Code §§ 809.001 et seq.; § 809.005 (ordinary-business-purpose carveout). Press Release, Tex. Comptroller of Pub. Accts., </w:t>
      </w:r>
      <w:r>
        <w:rPr>
          <w:i/>
          <w:iCs/>
        </w:rPr>
        <w:t>Texas Comptroller Glenn Hegar Announces List of Financial Companies that Boycott Energy Companies</w:t>
      </w:r>
      <w:r>
        <w:t xml:space="preserve"> (Aug. 24, 2022), https://comptroller.texas.gov/about/media-center/news/20220824-texas-comptroller-glenn-hegar-announces-list-of-financial-companies-that-boycott-energy-companies-1661267815099 (initial list: BlackRock, BNP Paribas, Credit Suisse, Danske Bank, Jupiter Fund Management, Nordea Bank, Schroders, Svenska Handelsbanken, Swedbank, and UBS); </w:t>
      </w:r>
      <w:r>
        <w:rPr>
          <w:i/>
          <w:iCs/>
        </w:rPr>
        <w:t>see also</w:t>
      </w:r>
      <w:r>
        <w:t xml:space="preserve"> Press Release, Tex. Comptroller of Pub. Accts., </w:t>
      </w:r>
      <w:r>
        <w:rPr>
          <w:i/>
          <w:iCs/>
        </w:rPr>
        <w:t>Texas Comptroller Announces Update to List of Financial Companies that Boycott Energy Companies</w:t>
      </w:r>
      <w:r>
        <w:t xml:space="preserve"> (June 3, 2025) (removing BlackRock, citing exit from NZAM and CA100+).</w:t>
      </w:r>
    </w:p>
  </w:footnote>
  <w:footnote w:id="154">
    <w:p w14:paraId="62B2AA3E" w14:textId="145B03B3" w:rsidR="005F5ACD" w:rsidRDefault="00000000">
      <w:pPr>
        <w:pStyle w:val="FootnoteText"/>
      </w:pPr>
      <w:r>
        <w:rPr>
          <w:rStyle w:val="FootnoteReference"/>
        </w:rPr>
        <w:footnoteRef/>
      </w:r>
      <w:r>
        <w:t xml:space="preserve"> For the August 8, 2022 AG-letter event, see Press Release, Tex. </w:t>
      </w:r>
      <w:proofErr w:type="spellStart"/>
      <w:r>
        <w:t>Att</w:t>
      </w:r>
      <w:r w:rsidR="00B62085">
        <w:t>’</w:t>
      </w:r>
      <w:r>
        <w:t>y</w:t>
      </w:r>
      <w:proofErr w:type="spellEnd"/>
      <w:r>
        <w:t xml:space="preserve"> Gen., </w:t>
      </w:r>
      <w:r>
        <w:rPr>
          <w:i/>
          <w:iCs/>
        </w:rPr>
        <w:t>AG Paxton Demands BlackRock Account for Its Underperforming, Potentially Illegal ESG Investments in State Pension Funds</w:t>
      </w:r>
      <w:r>
        <w:t xml:space="preserve"> (Aug. 8, 2022), https://www.texasattorneygeneral.gov/news/releases/ag-paxton-demands-blackrock-account-its-underperforming-potentially-illegal-esg-state-pension-fund (accompanying 19-state Attorneys General letter to BlackRock); Letter from 21 State Attorneys General to Laurence D. Fink and other asset-manager executives (Mar. 30, 2023) (publicly available through the Texas Attorney General</w:t>
      </w:r>
      <w:r w:rsidR="00B62085">
        <w:t>’</w:t>
      </w:r>
      <w:r>
        <w:t>s office).</w:t>
      </w:r>
    </w:p>
  </w:footnote>
  <w:footnote w:id="155">
    <w:p w14:paraId="7B39E7C8" w14:textId="60C7D917" w:rsidR="005F5ACD" w:rsidRDefault="00000000">
      <w:pPr>
        <w:pStyle w:val="FootnoteText"/>
      </w:pPr>
      <w:r>
        <w:rPr>
          <w:rStyle w:val="FootnoteReference"/>
        </w:rPr>
        <w:footnoteRef/>
      </w:r>
      <w:r>
        <w:t xml:space="preserve"> The pressure-apparatus instruments are discrete and named: (i) Letter from 23 State Attorneys General to Net-Zero Insurance Alliance Members (May 15, 2023), https://attorneygeneral.utah.gov/wp-content/uploads/2023/05/2023-05-15-NZIA-Letter.pdf (Utah-led 23-state letter to NZIA members); (ii) Subpoena and Civil Investigative Demand, </w:t>
      </w:r>
      <w:r>
        <w:rPr>
          <w:i/>
          <w:iCs/>
        </w:rPr>
        <w:t>In re ESG Investment Practices</w:t>
      </w:r>
      <w:r>
        <w:t xml:space="preserve">, Office of the Ky. </w:t>
      </w:r>
      <w:proofErr w:type="spellStart"/>
      <w:r>
        <w:t>Att</w:t>
      </w:r>
      <w:r w:rsidR="00B62085">
        <w:t>’</w:t>
      </w:r>
      <w:r>
        <w:t>y</w:t>
      </w:r>
      <w:proofErr w:type="spellEnd"/>
      <w:r>
        <w:t xml:space="preserve"> Gen. to State Street Corp. (Nov. 10, 2022), https://www.ag.ky.gov/Press%20Release%20Attachments/11.10.22%20-%20CID%20to%20State%20Street.pdf (defining </w:t>
      </w:r>
      <w:r w:rsidR="00B62085">
        <w:t>“</w:t>
      </w:r>
      <w:r>
        <w:t>ESG Integration Practices</w:t>
      </w:r>
      <w:r w:rsidR="00B62085">
        <w:t>”</w:t>
      </w:r>
      <w:r>
        <w:t xml:space="preserve"> broadly to include investment decisions and engagement with companies on ESG factors); (iii) Press Release, Tex. </w:t>
      </w:r>
      <w:proofErr w:type="spellStart"/>
      <w:r>
        <w:t>Att</w:t>
      </w:r>
      <w:r w:rsidR="00B62085">
        <w:t>’</w:t>
      </w:r>
      <w:r>
        <w:t>y</w:t>
      </w:r>
      <w:proofErr w:type="spellEnd"/>
      <w:r>
        <w:t xml:space="preserve"> Gen., </w:t>
      </w:r>
      <w:r>
        <w:rPr>
          <w:i/>
          <w:iCs/>
        </w:rPr>
        <w:t xml:space="preserve">Paxton Launches Investigation into S&amp;P </w:t>
      </w:r>
      <w:proofErr w:type="spellStart"/>
      <w:r>
        <w:rPr>
          <w:i/>
          <w:iCs/>
        </w:rPr>
        <w:t>Global</w:t>
      </w:r>
      <w:r w:rsidR="00B62085">
        <w:rPr>
          <w:i/>
          <w:iCs/>
        </w:rPr>
        <w:t>’</w:t>
      </w:r>
      <w:r>
        <w:rPr>
          <w:i/>
          <w:iCs/>
        </w:rPr>
        <w:t>s</w:t>
      </w:r>
      <w:proofErr w:type="spellEnd"/>
      <w:r>
        <w:rPr>
          <w:i/>
          <w:iCs/>
        </w:rPr>
        <w:t xml:space="preserve"> Use of ESG Factors in Credit Ratings</w:t>
      </w:r>
      <w:r>
        <w:t xml:space="preserve"> (accompanying Civil Investigative Demand to S&amp;P Global); (iv) Civil Investigative Demands issued by the Texas Attorney General to multiple large asset managers (2022–2025); (v) Ky. State Treasurer, </w:t>
      </w:r>
      <w:r>
        <w:rPr>
          <w:i/>
          <w:iCs/>
        </w:rPr>
        <w:t>Restricted Financial Companies List</w:t>
      </w:r>
      <w:r>
        <w:t xml:space="preserve"> (statutory restricted-list architecture under Ky. Rev. Stat. §§ 41.470–41.480); (vi) Tex. </w:t>
      </w:r>
      <w:proofErr w:type="spellStart"/>
      <w:r>
        <w:t>Att</w:t>
      </w:r>
      <w:r w:rsidR="00B62085">
        <w:t>’</w:t>
      </w:r>
      <w:r>
        <w:t>y</w:t>
      </w:r>
      <w:proofErr w:type="spellEnd"/>
      <w:r>
        <w:t xml:space="preserve"> Gen., public-finance letter on NZAM suspension (Jan. 29, 2025).</w:t>
      </w:r>
    </w:p>
  </w:footnote>
  <w:footnote w:id="156">
    <w:p w14:paraId="777DECFF" w14:textId="142012AA" w:rsidR="005F5ACD" w:rsidRDefault="00000000">
      <w:pPr>
        <w:pStyle w:val="FootnoteText"/>
      </w:pPr>
      <w:r>
        <w:rPr>
          <w:rStyle w:val="FootnoteReference"/>
        </w:rPr>
        <w:footnoteRef/>
      </w:r>
      <w:r>
        <w:t xml:space="preserve"> Second Am. Compl., </w:t>
      </w:r>
      <w:r>
        <w:rPr>
          <w:i/>
          <w:iCs/>
        </w:rPr>
        <w:t>State of Texas et al. v. Blackrock, Inc., State Street Corporation, and The Vanguard Group, Inc.</w:t>
      </w:r>
      <w:r>
        <w:t>, No. 6:24-cv-00437-JDK (E.D. Tex. Jan. 5, 2026), ECF No. 145, at ¶ 4 (</w:t>
      </w:r>
      <w:r w:rsidR="00B62085">
        <w:t>“</w:t>
      </w:r>
      <w:r>
        <w:t>Defendants effectively formed a syndicate and agreed to use their collective holdings of publicly traded coal companies to induce industry-wide output reductions.</w:t>
      </w:r>
      <w:r w:rsidR="00B62085">
        <w:t>”</w:t>
      </w:r>
      <w:r>
        <w:t xml:space="preserve">); </w:t>
      </w:r>
      <w:r>
        <w:rPr>
          <w:i/>
          <w:iCs/>
        </w:rPr>
        <w:t>id.</w:t>
      </w:r>
      <w:r>
        <w:t xml:space="preserve"> at ¶ 125 (hub-and-spoke characterization); </w:t>
      </w:r>
      <w:r>
        <w:rPr>
          <w:i/>
          <w:iCs/>
        </w:rPr>
        <w:t>id.</w:t>
      </w:r>
      <w:r>
        <w:t xml:space="preserve"> at ¶ 111 (BlackRock $170B U.S. energy holdings); </w:t>
      </w:r>
      <w:r>
        <w:rPr>
          <w:i/>
          <w:iCs/>
        </w:rPr>
        <w:t>id.</w:t>
      </w:r>
      <w:r>
        <w:t xml:space="preserve"> at ¶¶ 270–272 (Count III information-exchange theory). Answer &amp; Affirmative Defenses, ECF No. 150 (E.D. Tex. Mar. 6, 2026) (defense: market-driven coal decline; no issuer control; First Amendment counter-allegations). </w:t>
      </w:r>
    </w:p>
  </w:footnote>
  <w:footnote w:id="157">
    <w:p w14:paraId="34F9F0E4" w14:textId="34123447" w:rsidR="005F5ACD" w:rsidRDefault="00000000">
      <w:pPr>
        <w:pStyle w:val="FootnoteText"/>
      </w:pPr>
      <w:r>
        <w:rPr>
          <w:rStyle w:val="FootnoteReference"/>
        </w:rPr>
        <w:footnoteRef/>
      </w:r>
      <w:r>
        <w:t xml:space="preserve"> For the Vanguard portion, see Settlement Agreement, </w:t>
      </w:r>
      <w:r>
        <w:rPr>
          <w:i/>
          <w:iCs/>
        </w:rPr>
        <w:t>State of Texas et al. v. Blackrock, Inc., State Street Corporation, and The Vanguard Group, Inc.</w:t>
      </w:r>
      <w:r>
        <w:t xml:space="preserve">, No. 6:24-cv-00437-JDK (E.D. Tex. Feb. 25, 2026) ($29.5 million Settlement Amount; settlement among The Vanguard Group, Inc. and the Attorneys General of TX, AL, AR, IN, IA, KS, MO, MT, NE, LA, OK, WV, and WY; five-year independent-stewardship and passivity commitments including quarterly proxy-vote disclosure, PRI withdrawal, nonparticipation in target-setting organizations, and prescribed engagement-meeting language; separate proxy-voting-choice commitments continuing through June 2032; Vanguard </w:t>
      </w:r>
      <w:r w:rsidR="00B62085">
        <w:t>“</w:t>
      </w:r>
      <w:r>
        <w:t>denies any wrongdoing or illegal conduct</w:t>
      </w:r>
      <w:r w:rsidR="00B62085">
        <w:t>”</w:t>
      </w:r>
      <w:r>
        <w:t xml:space="preserve"> and the Settlement Agreement </w:t>
      </w:r>
      <w:r w:rsidR="00B62085">
        <w:t>“</w:t>
      </w:r>
      <w:r>
        <w:t>does not constitute any admission by Vanguard that the law has been violated or of any issue of fact or law</w:t>
      </w:r>
      <w:r w:rsidR="00B62085">
        <w:t>”</w:t>
      </w:r>
      <w:r>
        <w:t>);</w:t>
      </w:r>
      <w:r w:rsidR="00267DE5">
        <w:t xml:space="preserve"> </w:t>
      </w:r>
      <w:r>
        <w:rPr>
          <w:i/>
          <w:iCs/>
        </w:rPr>
        <w:t>see</w:t>
      </w:r>
      <w:r>
        <w:t xml:space="preserve"> Press Release, Tex. Off. of the </w:t>
      </w:r>
      <w:proofErr w:type="spellStart"/>
      <w:r>
        <w:t>Att</w:t>
      </w:r>
      <w:r w:rsidR="00B62085">
        <w:t>’</w:t>
      </w:r>
      <w:r>
        <w:t>y</w:t>
      </w:r>
      <w:proofErr w:type="spellEnd"/>
      <w:r>
        <w:t xml:space="preserve"> Gen., </w:t>
      </w:r>
      <w:r>
        <w:rPr>
          <w:i/>
          <w:iCs/>
        </w:rPr>
        <w:t>Attorney General Paxton Secures Historic, Industry-Changing Agreement with Vanguard to Protect the Coal Industry and Empower Investors</w:t>
      </w:r>
      <w:r>
        <w:t xml:space="preserve"> (Feb. 25, 2026), </w:t>
      </w:r>
    </w:p>
  </w:footnote>
  <w:footnote w:id="158">
    <w:p w14:paraId="739B3736" w14:textId="600837D6" w:rsidR="005F5ACD" w:rsidRDefault="00000000">
      <w:pPr>
        <w:pStyle w:val="FootnoteText"/>
      </w:pPr>
      <w:r>
        <w:rPr>
          <w:rStyle w:val="FootnoteReference"/>
        </w:rPr>
        <w:footnoteRef/>
      </w:r>
      <w:r>
        <w:t xml:space="preserve"> </w:t>
      </w:r>
      <w:r w:rsidR="00267DE5">
        <w:t xml:space="preserve">TN </w:t>
      </w:r>
      <w:proofErr w:type="spellStart"/>
      <w:r w:rsidR="00267DE5">
        <w:t>Att’y</w:t>
      </w:r>
      <w:proofErr w:type="spellEnd"/>
      <w:r w:rsidR="00267DE5">
        <w:t xml:space="preserve"> Gen., press release announcing January 2025 BlackRock resolution (press-release-confirmed enhanced-transparency, compliance/oversight, investor-communication, and financial-interest voting commitments); proxy-voting-choice commitments extend to funds representing at least 50% of Vanguard’s U.S. equity assets by June 2027 pursuant to the settlement’s investor-choice provisions</w:t>
      </w:r>
      <w:r w:rsidR="00267DE5">
        <w:t>.</w:t>
      </w:r>
    </w:p>
  </w:footnote>
  <w:footnote w:id="159">
    <w:p w14:paraId="24A21166" w14:textId="189FA43C" w:rsidR="005F5ACD" w:rsidRDefault="00000000">
      <w:pPr>
        <w:pStyle w:val="FootnoteText"/>
      </w:pPr>
      <w:r>
        <w:rPr>
          <w:rStyle w:val="FootnoteReference"/>
        </w:rPr>
        <w:footnoteRef/>
      </w:r>
      <w:r>
        <w:t xml:space="preserve"> Cass R. Sunstein, </w:t>
      </w:r>
      <w:r>
        <w:rPr>
          <w:i/>
          <w:iCs/>
        </w:rPr>
        <w:t>On the Expressive Function of Law</w:t>
      </w:r>
      <w:r>
        <w:t>, 144 U. Pa. L. Rev. 2021, 2032–33 (1996) (</w:t>
      </w:r>
      <w:r w:rsidR="00B62085">
        <w:t>“</w:t>
      </w:r>
      <w:r>
        <w:t>[E]</w:t>
      </w:r>
      <w:proofErr w:type="spellStart"/>
      <w:r>
        <w:t>ventually</w:t>
      </w:r>
      <w:proofErr w:type="spellEnd"/>
      <w:r>
        <w:t xml:space="preserve"> there can be norm cascades, as reputational incentives shift behavior in new directions</w:t>
      </w:r>
      <w:r w:rsidR="00B62085">
        <w:t>”</w:t>
      </w:r>
      <w:r>
        <w:t xml:space="preserve">); Dan M. Kahan, </w:t>
      </w:r>
      <w:r>
        <w:rPr>
          <w:i/>
          <w:iCs/>
        </w:rPr>
        <w:t>The Secret Ambition of Deterrence</w:t>
      </w:r>
      <w:r>
        <w:t xml:space="preserve">, 113 Harv. L. Rev. 413, 417, 424–25 (1999) (recasting regulatory disputes as </w:t>
      </w:r>
      <w:r w:rsidR="00B62085">
        <w:t>“</w:t>
      </w:r>
      <w:r>
        <w:t xml:space="preserve">battles to control the </w:t>
      </w:r>
      <w:r>
        <w:rPr>
          <w:i/>
          <w:iCs/>
        </w:rPr>
        <w:t>expressive capital</w:t>
      </w:r>
      <w:r w:rsidR="00B62085">
        <w:t>”</w:t>
      </w:r>
      <w:r>
        <w:t xml:space="preserve"> of a legal regime; </w:t>
      </w:r>
      <w:r w:rsidR="00B62085">
        <w:t>“</w:t>
      </w:r>
      <w:r>
        <w:t>if even a small minority of cultural zealots remain committed to using the law to project the ascendancy of their norms, the less culturally ambitious majority will be goaded into expressive competition by way of self-defense</w:t>
      </w:r>
      <w:r w:rsidR="00B62085">
        <w:t>”</w:t>
      </w:r>
      <w:r>
        <w:t>).</w:t>
      </w:r>
    </w:p>
  </w:footnote>
  <w:footnote w:id="160">
    <w:p w14:paraId="7882366A" w14:textId="77777777" w:rsidR="005F5ACD" w:rsidRDefault="00000000">
      <w:pPr>
        <w:pStyle w:val="FootnoteText"/>
      </w:pPr>
      <w:r>
        <w:rPr>
          <w:rStyle w:val="FootnoteReference"/>
        </w:rPr>
        <w:footnoteRef/>
      </w:r>
      <w:r>
        <w:t xml:space="preserve"> David Berger, David H. Webber &amp; Beth M. Young, </w:t>
      </w:r>
      <w:r>
        <w:rPr>
          <w:i/>
          <w:iCs/>
        </w:rPr>
        <w:t>Liability Trap</w:t>
      </w:r>
      <w:r>
        <w:t>, SSRN Working Paper No. 4360119 (Feb. 15, 2023) (documenting multi-state compliance inconsistency for ERISA fiduciaries).</w:t>
      </w:r>
    </w:p>
  </w:footnote>
  <w:footnote w:id="161">
    <w:p w14:paraId="366E81D6" w14:textId="0F1D053C" w:rsidR="005F5ACD" w:rsidRDefault="00000000">
      <w:pPr>
        <w:pStyle w:val="FootnoteText"/>
      </w:pPr>
      <w:r>
        <w:rPr>
          <w:rStyle w:val="FootnoteReference"/>
        </w:rPr>
        <w:footnoteRef/>
      </w:r>
      <w:r>
        <w:t xml:space="preserve"> </w:t>
      </w:r>
      <w:r>
        <w:rPr>
          <w:i/>
          <w:iCs/>
        </w:rPr>
        <w:t>Wooley v. Maynard</w:t>
      </w:r>
      <w:r>
        <w:t xml:space="preserve">, 430 U.S. 705 (1977) (compelled-speech invalidation); </w:t>
      </w:r>
      <w:proofErr w:type="spellStart"/>
      <w:r>
        <w:rPr>
          <w:i/>
          <w:iCs/>
        </w:rPr>
        <w:t>Nat</w:t>
      </w:r>
      <w:r w:rsidR="00B62085">
        <w:rPr>
          <w:i/>
          <w:iCs/>
        </w:rPr>
        <w:t>’</w:t>
      </w:r>
      <w:r>
        <w:rPr>
          <w:i/>
          <w:iCs/>
        </w:rPr>
        <w:t>l</w:t>
      </w:r>
      <w:proofErr w:type="spellEnd"/>
      <w:r>
        <w:rPr>
          <w:i/>
          <w:iCs/>
        </w:rPr>
        <w:t xml:space="preserve"> Inst. of Family &amp; Life Advocates v. Becerra</w:t>
      </w:r>
      <w:r>
        <w:t xml:space="preserve">, 585 U.S. 755, 768–71 (2018) (ideological compelled speech triggers heightened scrutiny, not </w:t>
      </w:r>
      <w:r>
        <w:rPr>
          <w:i/>
          <w:iCs/>
        </w:rPr>
        <w:t>Zauderer</w:t>
      </w:r>
      <w:r>
        <w:t xml:space="preserve"> review); </w:t>
      </w:r>
      <w:r>
        <w:rPr>
          <w:i/>
          <w:iCs/>
        </w:rPr>
        <w:t>W. Va. State Bd. of Educ. v. Barnette</w:t>
      </w:r>
      <w:r>
        <w:t>, 319 U.S. 624, 642 (1943) (</w:t>
      </w:r>
      <w:r w:rsidR="00B62085">
        <w:t>“</w:t>
      </w:r>
      <w:r>
        <w:t>no official can prescribe what shall be orthodox</w:t>
      </w:r>
      <w:r w:rsidR="00B62085">
        <w:t>”</w:t>
      </w:r>
      <w:r>
        <w:t>).</w:t>
      </w:r>
    </w:p>
  </w:footnote>
  <w:footnote w:id="162">
    <w:p w14:paraId="4877B5D9" w14:textId="77777777" w:rsidR="005F5ACD" w:rsidRDefault="00000000">
      <w:pPr>
        <w:pStyle w:val="FootnoteText"/>
      </w:pPr>
      <w:r>
        <w:rPr>
          <w:rStyle w:val="FootnoteReference"/>
        </w:rPr>
        <w:footnoteRef/>
      </w:r>
      <w:r>
        <w:t xml:space="preserve"> Cass R. Sunstein, </w:t>
      </w:r>
      <w:r>
        <w:rPr>
          <w:i/>
          <w:iCs/>
        </w:rPr>
        <w:t>On the Expressive Function of Law</w:t>
      </w:r>
      <w:r>
        <w:t>, 144 U. Pa. L. Rev. 2021 (1996) (expressive function of law; norm cascades through reputational signaling).</w:t>
      </w:r>
    </w:p>
  </w:footnote>
  <w:footnote w:id="163">
    <w:p w14:paraId="33882E22" w14:textId="77777777" w:rsidR="005F5ACD" w:rsidRDefault="00000000">
      <w:pPr>
        <w:pStyle w:val="FootnoteText"/>
      </w:pPr>
      <w:r>
        <w:rPr>
          <w:rStyle w:val="FootnoteReference"/>
        </w:rPr>
        <w:footnoteRef/>
      </w:r>
      <w:r>
        <w:t xml:space="preserve"> </w:t>
      </w:r>
      <w:r>
        <w:rPr>
          <w:i/>
          <w:iCs/>
        </w:rPr>
        <w:t>Sanchez</w:t>
      </w:r>
      <w:r>
        <w:t>, No. 25-5327 (9th Cir. Nov. 18, 2025)(enjoining California SB 261 in part while leaving SB 253 emissions-disclosure mandate in effect).</w:t>
      </w:r>
    </w:p>
  </w:footnote>
  <w:footnote w:id="164">
    <w:p w14:paraId="0A5EA233" w14:textId="77777777" w:rsidR="005F5ACD" w:rsidRDefault="00000000">
      <w:pPr>
        <w:pStyle w:val="FootnoteText"/>
      </w:pPr>
      <w:r>
        <w:rPr>
          <w:rStyle w:val="FootnoteReference"/>
        </w:rPr>
        <w:footnoteRef/>
      </w:r>
      <w:r>
        <w:t xml:space="preserve"> NGFS, </w:t>
      </w:r>
      <w:r>
        <w:rPr>
          <w:i/>
          <w:iCs/>
        </w:rPr>
        <w:t>A Call for Action: Climate Change as a Source of Financial Risk</w:t>
      </w:r>
      <w:r>
        <w:t xml:space="preserve"> (2019) (and subsequent NGFS materials); </w:t>
      </w:r>
      <w:r>
        <w:rPr>
          <w:i/>
          <w:iCs/>
        </w:rPr>
        <w:t>see also sources cited supra</w:t>
      </w:r>
      <w:r>
        <w:t xml:space="preserve"> note 9 (EBA, APRA, Basel, IAIS/SIF establishing prudential climate-risk management expectations for global banks and insurance supervisors).</w:t>
      </w:r>
    </w:p>
  </w:footnote>
  <w:footnote w:id="165">
    <w:p w14:paraId="6B813BD1" w14:textId="77777777" w:rsidR="005F5ACD" w:rsidRDefault="00000000">
      <w:pPr>
        <w:pStyle w:val="FootnoteText"/>
      </w:pPr>
      <w:r>
        <w:rPr>
          <w:rStyle w:val="FootnoteReference"/>
        </w:rPr>
        <w:footnoteRef/>
      </w:r>
      <w:r>
        <w:t xml:space="preserve"> </w:t>
      </w:r>
      <w:r>
        <w:rPr>
          <w:i/>
          <w:iCs/>
        </w:rPr>
        <w:t>Vullo</w:t>
      </w:r>
      <w:r>
        <w:t xml:space="preserve">, 602 U.S. 175, 190–92 (four-factor government-coercion test); </w:t>
      </w:r>
      <w:r>
        <w:rPr>
          <w:i/>
          <w:iCs/>
        </w:rPr>
        <w:t>Bantam Books</w:t>
      </w:r>
      <w:r>
        <w:t xml:space="preserve">, 372 U.S. 58, 67 (coercion through informal pressure on private intermediaries); </w:t>
      </w:r>
      <w:r>
        <w:rPr>
          <w:i/>
          <w:iCs/>
        </w:rPr>
        <w:t>Speiser</w:t>
      </w:r>
      <w:r>
        <w:t>, 357 U.S. 513, 518–19, 526 (conditioning tax exemption on loyalty oath impermissibly burdens protected expression).</w:t>
      </w:r>
    </w:p>
  </w:footnote>
  <w:footnote w:id="166">
    <w:p w14:paraId="57E0B118" w14:textId="4B7B5334" w:rsidR="005F5ACD" w:rsidRDefault="00000000">
      <w:pPr>
        <w:pStyle w:val="FootnoteText"/>
      </w:pPr>
      <w:r>
        <w:rPr>
          <w:rStyle w:val="FootnoteReference"/>
        </w:rPr>
        <w:footnoteRef/>
      </w:r>
      <w:r>
        <w:t xml:space="preserve"> David H. Webber, </w:t>
      </w:r>
      <w:r>
        <w:rPr>
          <w:i/>
          <w:iCs/>
        </w:rPr>
        <w:t>The Rise of the Working-Class Shareholder: Labor</w:t>
      </w:r>
      <w:r w:rsidR="00B62085">
        <w:rPr>
          <w:i/>
          <w:iCs/>
        </w:rPr>
        <w:t>’</w:t>
      </w:r>
      <w:r>
        <w:rPr>
          <w:i/>
          <w:iCs/>
        </w:rPr>
        <w:t>s Last Best Weapon</w:t>
      </w:r>
      <w:r>
        <w:t xml:space="preserve"> (Harvard Univ. Press 2018) (documenting public-pension funds</w:t>
      </w:r>
      <w:r w:rsidR="00B62085">
        <w:t>’</w:t>
      </w:r>
      <w:r>
        <w:t xml:space="preserve"> historically labor-aligned stewardship role as a tool for working-class economic interests); Cass R. Sunstein, </w:t>
      </w:r>
      <w:r>
        <w:rPr>
          <w:i/>
          <w:iCs/>
        </w:rPr>
        <w:t>On the Expressive Function of Law</w:t>
      </w:r>
      <w:r>
        <w:t>, 144 U. Pa. L. Rev. 2021 (1996) (norm-cascade mechanism).</w:t>
      </w:r>
    </w:p>
  </w:footnote>
  <w:footnote w:id="167">
    <w:p w14:paraId="61F6BC69" w14:textId="3FC80ED9" w:rsidR="005F5ACD" w:rsidRDefault="00000000">
      <w:pPr>
        <w:pStyle w:val="FootnoteText"/>
      </w:pPr>
      <w:r>
        <w:rPr>
          <w:rStyle w:val="FootnoteReference"/>
        </w:rPr>
        <w:footnoteRef/>
      </w:r>
      <w:r>
        <w:t xml:space="preserve"> For asset-manager-side voting scale, see BlackRock, Inc., </w:t>
      </w:r>
      <w:r>
        <w:rPr>
          <w:i/>
          <w:iCs/>
        </w:rPr>
        <w:t>2025 Investment Stewardship Annual Report</w:t>
      </w:r>
      <w:r>
        <w:t xml:space="preserve"> (2026), https://www.blackrock.com/corporate/literature/publication/blackrock-investment-stewardship-annual-report-2025.pdf (BIS voted on more than 154,000 proposals in 2025). The two principal independent proxy advisers, Institutional Shareholder Services Inc. and Glass, Lewis &amp; Co., produce annual voting research at comparable industry scale across their global client bases. </w:t>
      </w:r>
      <w:r>
        <w:rPr>
          <w:i/>
          <w:iCs/>
        </w:rPr>
        <w:t>See</w:t>
      </w:r>
      <w:r>
        <w:t xml:space="preserve"> Inst. </w:t>
      </w:r>
      <w:proofErr w:type="spellStart"/>
      <w:r>
        <w:t>S</w:t>
      </w:r>
      <w:r w:rsidR="00B62085">
        <w:t>’</w:t>
      </w:r>
      <w:r>
        <w:t>holder</w:t>
      </w:r>
      <w:proofErr w:type="spellEnd"/>
      <w:r>
        <w:t xml:space="preserve"> Servs. Inc., </w:t>
      </w:r>
      <w:r>
        <w:rPr>
          <w:i/>
          <w:iCs/>
        </w:rPr>
        <w:t>Annual Voting Statistics</w:t>
      </w:r>
      <w:r>
        <w:t xml:space="preserve">; Glass, Lewis &amp; Co., </w:t>
      </w:r>
      <w:r>
        <w:rPr>
          <w:i/>
          <w:iCs/>
        </w:rPr>
        <w:t>Annual Stewardship Insights</w:t>
      </w:r>
      <w:r>
        <w:t>.</w:t>
      </w:r>
    </w:p>
  </w:footnote>
  <w:footnote w:id="168">
    <w:p w14:paraId="51A6E80D" w14:textId="4B4D3628" w:rsidR="005F5ACD" w:rsidRDefault="00000000">
      <w:pPr>
        <w:pStyle w:val="FootnoteText"/>
      </w:pPr>
      <w:r>
        <w:rPr>
          <w:rStyle w:val="FootnoteReference"/>
        </w:rPr>
        <w:footnoteRef/>
      </w:r>
      <w:r>
        <w:t xml:space="preserve"> 2026 Kan. Sess. Laws ch. 146, § 1(f) (S.B. 375) (legislative findings regarding proxy-adviser written-financial-analysis practices). The underlying record in Texas litigation is the sworn declaration of Glass Lewis</w:t>
      </w:r>
      <w:r w:rsidR="00B62085">
        <w:t>’</w:t>
      </w:r>
      <w:r>
        <w:t xml:space="preserve">s Chief Operating Officer John Wieck, executed under 28 U.S.C. § 1746 in support of preliminary-injunction motion practice in </w:t>
      </w:r>
      <w:r>
        <w:rPr>
          <w:i/>
          <w:iCs/>
        </w:rPr>
        <w:t>Glass Lewis &amp; Co., LLC v. Paxton</w:t>
      </w:r>
      <w:r>
        <w:t xml:space="preserve">, No. 1:25-cv-01153 (W.D. Tex.) (ECF No. 5). Counterpart declaration of Lorraine Kelly, Global Head of Investment Stewardship at Institutional Shareholder Services, was filed in </w:t>
      </w:r>
      <w:r>
        <w:rPr>
          <w:i/>
          <w:iCs/>
        </w:rPr>
        <w:t xml:space="preserve">Institutional </w:t>
      </w:r>
      <w:proofErr w:type="spellStart"/>
      <w:r>
        <w:rPr>
          <w:i/>
          <w:iCs/>
        </w:rPr>
        <w:t>S</w:t>
      </w:r>
      <w:r w:rsidR="00B62085">
        <w:rPr>
          <w:i/>
          <w:iCs/>
        </w:rPr>
        <w:t>’</w:t>
      </w:r>
      <w:r>
        <w:rPr>
          <w:i/>
          <w:iCs/>
        </w:rPr>
        <w:t>holder</w:t>
      </w:r>
      <w:proofErr w:type="spellEnd"/>
      <w:r>
        <w:rPr>
          <w:i/>
          <w:iCs/>
        </w:rPr>
        <w:t xml:space="preserve"> Servs. Inc. v. Paxton</w:t>
      </w:r>
      <w:r>
        <w:t xml:space="preserve">, No. 1:25-cv-01160 (W.D. Tex.) (ECF No. 14-1). The </w:t>
      </w:r>
      <w:r w:rsidR="00B62085">
        <w:t>“</w:t>
      </w:r>
      <w:r>
        <w:t>under penalty of perjury</w:t>
      </w:r>
      <w:r w:rsidR="00B62085">
        <w:t>”</w:t>
      </w:r>
      <w:r>
        <w:t xml:space="preserve"> phrasing in the Kansas legislative findings tracks 28 U.S.C. § 1746</w:t>
      </w:r>
      <w:r w:rsidR="00B62085">
        <w:t>’</w:t>
      </w:r>
      <w:r>
        <w:t>s unsworn-declaration form rather than a courtroom perjury proceeding.</w:t>
      </w:r>
    </w:p>
  </w:footnote>
  <w:footnote w:id="169">
    <w:p w14:paraId="0B2127BF" w14:textId="2BA5C375" w:rsidR="005F5ACD" w:rsidRDefault="00000000">
      <w:pPr>
        <w:pStyle w:val="FootnoteText"/>
      </w:pPr>
      <w:r>
        <w:rPr>
          <w:rStyle w:val="FootnoteReference"/>
        </w:rPr>
        <w:footnoteRef/>
      </w:r>
      <w:r>
        <w:t xml:space="preserve"> Reply in Support of Plaintiff</w:t>
      </w:r>
      <w:r w:rsidR="00B62085">
        <w:t>’</w:t>
      </w:r>
      <w:r>
        <w:t xml:space="preserve">s Motion for Preliminary Injunction at 3 &amp; n.1, </w:t>
      </w:r>
      <w:r>
        <w:rPr>
          <w:i/>
          <w:iCs/>
        </w:rPr>
        <w:t>Glass Lewis &amp; Co., LLC v. Paxton</w:t>
      </w:r>
      <w:r>
        <w:t xml:space="preserve">, No. 1:25-cv-01153 (W.D. Tex. Aug. 22, 2025), 2025 U.S. Dist. Ct. Motions LEXIS 205132 ($130 million minimum DTPA exposure for September 2025 peak-season proxy reports at $10,000 per violation). ISS similarly estimated 40+ employees and </w:t>
      </w:r>
      <w:r w:rsidR="00B62085">
        <w:t>“</w:t>
      </w:r>
      <w:r>
        <w:t>hundreds of reports</w:t>
      </w:r>
      <w:r w:rsidR="00B62085">
        <w:t>”</w:t>
      </w:r>
      <w:r>
        <w:t xml:space="preserve"> during peak season. Reply in Support of Plaintiff</w:t>
      </w:r>
      <w:r w:rsidR="00B62085">
        <w:t>’</w:t>
      </w:r>
      <w:r>
        <w:t xml:space="preserve">s Motion for Preliminary Injunction at 1, </w:t>
      </w:r>
      <w:r>
        <w:rPr>
          <w:i/>
          <w:iCs/>
        </w:rPr>
        <w:t xml:space="preserve">Inst. </w:t>
      </w:r>
      <w:proofErr w:type="spellStart"/>
      <w:r>
        <w:rPr>
          <w:i/>
          <w:iCs/>
        </w:rPr>
        <w:t>S</w:t>
      </w:r>
      <w:r w:rsidR="00B62085">
        <w:rPr>
          <w:i/>
          <w:iCs/>
        </w:rPr>
        <w:t>’</w:t>
      </w:r>
      <w:r>
        <w:rPr>
          <w:i/>
          <w:iCs/>
        </w:rPr>
        <w:t>holder</w:t>
      </w:r>
      <w:proofErr w:type="spellEnd"/>
      <w:r>
        <w:rPr>
          <w:i/>
          <w:iCs/>
        </w:rPr>
        <w:t xml:space="preserve"> Servs. Inc. v. Paxton</w:t>
      </w:r>
      <w:r>
        <w:t xml:space="preserve">, No. 1:25-cv-01160 (W.D. Tex. Aug. 22, 2025), 2025 U.S. Dist. Ct. Motions LEXIS 207063. The Aug. 29, </w:t>
      </w:r>
      <w:proofErr w:type="gramStart"/>
      <w:r>
        <w:t>2025</w:t>
      </w:r>
      <w:proofErr w:type="gramEnd"/>
      <w:r>
        <w:t xml:space="preserve"> preliminary injunction enjoining enforcement of TX SB 2337 as to Glass Lewis and ISS removed the immediate exposure; the Article cites the figures to illustrate the statutory architecture</w:t>
      </w:r>
      <w:r w:rsidR="00B62085">
        <w:t>’</w:t>
      </w:r>
      <w:r>
        <w:t>s exposure structure before injunctive relief.</w:t>
      </w:r>
    </w:p>
  </w:footnote>
  <w:footnote w:id="170">
    <w:p w14:paraId="6CD5E5F2" w14:textId="10E03434" w:rsidR="005F5ACD" w:rsidRDefault="00000000">
      <w:pPr>
        <w:pStyle w:val="FootnoteText"/>
      </w:pPr>
      <w:r>
        <w:rPr>
          <w:rStyle w:val="FootnoteReference"/>
        </w:rPr>
        <w:footnoteRef/>
      </w:r>
      <w:r>
        <w:t xml:space="preserve"> </w:t>
      </w:r>
      <w:r>
        <w:rPr>
          <w:i/>
          <w:iCs/>
        </w:rPr>
        <w:t>Glass, Lewis &amp; Co. v. Paxton</w:t>
      </w:r>
      <w:r>
        <w:t xml:space="preserve">, prelim. inj. order (W.D. Tex. Aug. 29, 2025); </w:t>
      </w:r>
      <w:r>
        <w:rPr>
          <w:i/>
          <w:iCs/>
        </w:rPr>
        <w:t xml:space="preserve">Institutional </w:t>
      </w:r>
      <w:proofErr w:type="spellStart"/>
      <w:r>
        <w:rPr>
          <w:i/>
          <w:iCs/>
        </w:rPr>
        <w:t>S</w:t>
      </w:r>
      <w:r w:rsidR="00B62085">
        <w:rPr>
          <w:i/>
          <w:iCs/>
        </w:rPr>
        <w:t>’</w:t>
      </w:r>
      <w:r>
        <w:rPr>
          <w:i/>
          <w:iCs/>
        </w:rPr>
        <w:t>holder</w:t>
      </w:r>
      <w:proofErr w:type="spellEnd"/>
      <w:r>
        <w:rPr>
          <w:i/>
          <w:iCs/>
        </w:rPr>
        <w:t xml:space="preserve"> Servs., Inc. v. Paxton</w:t>
      </w:r>
      <w:r>
        <w:t xml:space="preserve">, prelim. inj. order (W.D. Tex. Aug. 29, 2025); </w:t>
      </w:r>
      <w:r>
        <w:rPr>
          <w:i/>
          <w:iCs/>
        </w:rPr>
        <w:t xml:space="preserve">Inst. </w:t>
      </w:r>
      <w:proofErr w:type="spellStart"/>
      <w:r>
        <w:rPr>
          <w:i/>
          <w:iCs/>
        </w:rPr>
        <w:t>S</w:t>
      </w:r>
      <w:r w:rsidR="00B62085">
        <w:rPr>
          <w:i/>
          <w:iCs/>
        </w:rPr>
        <w:t>’</w:t>
      </w:r>
      <w:r>
        <w:rPr>
          <w:i/>
          <w:iCs/>
        </w:rPr>
        <w:t>holder</w:t>
      </w:r>
      <w:proofErr w:type="spellEnd"/>
      <w:r>
        <w:rPr>
          <w:i/>
          <w:iCs/>
        </w:rPr>
        <w:t xml:space="preserve"> Servs. Inc. v. SEC</w:t>
      </w:r>
      <w:r>
        <w:t xml:space="preserve">, 142 F.4th 757 (D.C. Cir. 2025) (Henderson, J.) (proxy advice does not constitute </w:t>
      </w:r>
      <w:r w:rsidR="00B62085">
        <w:t>“</w:t>
      </w:r>
      <w:r>
        <w:t>solicitation</w:t>
      </w:r>
      <w:r w:rsidR="00B62085">
        <w:t>”</w:t>
      </w:r>
      <w:r>
        <w:t xml:space="preserve"> within § 14(a)).</w:t>
      </w:r>
    </w:p>
  </w:footnote>
  <w:footnote w:id="171">
    <w:p w14:paraId="64E35652" w14:textId="71644636" w:rsidR="005F5ACD" w:rsidRDefault="00000000">
      <w:pPr>
        <w:pStyle w:val="FootnoteText"/>
      </w:pPr>
      <w:r>
        <w:rPr>
          <w:rStyle w:val="FootnoteReference"/>
        </w:rPr>
        <w:footnoteRef/>
      </w:r>
      <w:r>
        <w:t xml:space="preserve"> </w:t>
      </w:r>
      <w:r w:rsidR="00676FC6" w:rsidRPr="00676FC6">
        <w:rPr>
          <w:i/>
          <w:iCs/>
        </w:rPr>
        <w:t>See also</w:t>
      </w:r>
      <w:r w:rsidR="00676FC6">
        <w:t xml:space="preserve"> </w:t>
      </w:r>
      <w:r>
        <w:t xml:space="preserve">Lucian A. Bebchuk &amp; Scott Hirst, </w:t>
      </w:r>
      <w:r>
        <w:rPr>
          <w:i/>
          <w:iCs/>
        </w:rPr>
        <w:t>The Specter of the Giant Three</w:t>
      </w:r>
      <w:r>
        <w:t xml:space="preserve">, 99 B.U. L. Rev. 721 (2019); Lucian A. Bebchuk &amp; Scott Hirst, </w:t>
      </w:r>
      <w:r>
        <w:rPr>
          <w:i/>
          <w:iCs/>
        </w:rPr>
        <w:t>Index Funds and the Future of Corporate Governance: Theory, Evidence, and Policy</w:t>
      </w:r>
      <w:r>
        <w:t xml:space="preserve">, 119 Colum. L. Rev. 2029 (2019); Roberto Tallarita, </w:t>
      </w:r>
      <w:r>
        <w:rPr>
          <w:i/>
          <w:iCs/>
        </w:rPr>
        <w:t>The Limits of Portfolio Primacy</w:t>
      </w:r>
      <w:r>
        <w:t xml:space="preserve">, 76 Vand. L. Rev. 511 (2023). On agents-watching-agents foundational work, </w:t>
      </w:r>
      <w:r>
        <w:rPr>
          <w:i/>
          <w:iCs/>
        </w:rPr>
        <w:t>see</w:t>
      </w:r>
      <w:r>
        <w:t xml:space="preserve"> Bernard S. Black, </w:t>
      </w:r>
      <w:r>
        <w:rPr>
          <w:i/>
          <w:iCs/>
        </w:rPr>
        <w:t>Agents Watching Agents: The Promise of Institutional Investor Voice</w:t>
      </w:r>
      <w:r>
        <w:t>, 39 UCLA L. Rev. 811 (1992).</w:t>
      </w:r>
    </w:p>
  </w:footnote>
  <w:footnote w:id="172">
    <w:p w14:paraId="007366BA" w14:textId="77777777" w:rsidR="005F5ACD" w:rsidRDefault="00000000">
      <w:pPr>
        <w:pStyle w:val="FootnoteText"/>
      </w:pPr>
      <w:r>
        <w:rPr>
          <w:rStyle w:val="FootnoteReference"/>
        </w:rPr>
        <w:footnoteRef/>
      </w:r>
      <w:r>
        <w:t xml:space="preserve"> Adolf A. Berle &amp; Gardiner C. Means, </w:t>
      </w:r>
      <w:r>
        <w:rPr>
          <w:i/>
          <w:iCs/>
        </w:rPr>
        <w:t>The Modern Corporation and Private Property</w:t>
      </w:r>
      <w:r>
        <w:t xml:space="preserve"> (Macmillan 1932); Paul G. Mahoney &amp; Julia D. Mahoney, </w:t>
      </w:r>
      <w:r>
        <w:rPr>
          <w:i/>
          <w:iCs/>
        </w:rPr>
        <w:t>The New Separation of Ownership and Control: Institutional Investors and ESG</w:t>
      </w:r>
      <w:r>
        <w:t>, 2021 Colum. Bus. L. Rev. 840.</w:t>
      </w:r>
    </w:p>
  </w:footnote>
  <w:footnote w:id="173">
    <w:p w14:paraId="6638A65D" w14:textId="77777777" w:rsidR="005F5ACD" w:rsidRDefault="00000000">
      <w:pPr>
        <w:pStyle w:val="FootnoteText"/>
      </w:pPr>
      <w:r>
        <w:rPr>
          <w:rStyle w:val="FootnoteReference"/>
        </w:rPr>
        <w:footnoteRef/>
      </w:r>
      <w:r>
        <w:t xml:space="preserve"> Dorothy S. Lund &amp; Elizabeth Pollman, </w:t>
      </w:r>
      <w:r>
        <w:rPr>
          <w:i/>
          <w:iCs/>
        </w:rPr>
        <w:t>The Corporate Governance Machine</w:t>
      </w:r>
      <w:r>
        <w:t xml:space="preserve">, 121 Colum. L. Rev. 2563 (2021); Lucian A. Bebchuk &amp; Scott Hirst, </w:t>
      </w:r>
      <w:r>
        <w:rPr>
          <w:i/>
          <w:iCs/>
        </w:rPr>
        <w:t>Index Funds and the Future of Corporate Governance: Theory, Evidence, and Policy</w:t>
      </w:r>
      <w:r>
        <w:t xml:space="preserve">, 119 Colum. L. Rev. 2029 (2019); Lucian A. Bebchuk &amp; Scott Hirst, </w:t>
      </w:r>
      <w:r>
        <w:rPr>
          <w:i/>
          <w:iCs/>
        </w:rPr>
        <w:t>The Specter of the Giant Three</w:t>
      </w:r>
      <w:r>
        <w:t xml:space="preserve">, 99 B.U. L. Rev. 721 (2019); Lucian A. Bebchuk &amp; Roberto Tallarita, </w:t>
      </w:r>
      <w:r>
        <w:rPr>
          <w:i/>
          <w:iCs/>
        </w:rPr>
        <w:t>The Illusory Promise of Stakeholder Governance</w:t>
      </w:r>
      <w:r>
        <w:t xml:space="preserve">, 106 Cornell L. Rev. 91 (2020); Lucian A. Bebchuk &amp; Roberto Tallarita, </w:t>
      </w:r>
      <w:r>
        <w:rPr>
          <w:i/>
          <w:iCs/>
        </w:rPr>
        <w:t>Will Corporations Deliver Value to All Stakeholders?</w:t>
      </w:r>
      <w:r>
        <w:t xml:space="preserve">, 75 Vand. L. Rev. 1031 (2022); Roberto Tallarita, </w:t>
      </w:r>
      <w:r>
        <w:rPr>
          <w:i/>
          <w:iCs/>
        </w:rPr>
        <w:t>The Limits of Portfolio Primacy</w:t>
      </w:r>
      <w:r>
        <w:t xml:space="preserve">, 76 Vand. L. Rev. 511 (2023); Jeffrey N. Gordon, </w:t>
      </w:r>
      <w:r>
        <w:rPr>
          <w:i/>
          <w:iCs/>
        </w:rPr>
        <w:t>Unbundling Climate Change Risk from ESG</w:t>
      </w:r>
      <w:r>
        <w:t xml:space="preserve">, Colum. L. &amp; Econ. Working Paper No. 667 (Aug. 19, 2023) (on file with author); Marcel Kahan &amp; Edward B. Rock, </w:t>
      </w:r>
      <w:r>
        <w:rPr>
          <w:i/>
          <w:iCs/>
        </w:rPr>
        <w:t>Systemic Stewardship with Tradeoffs</w:t>
      </w:r>
      <w:r>
        <w:t>, 48 J. Corp. L. 497, 497–98, 507–08 (2023) (skeptical account of systemic stewardship under cross-portfolio tradeoffs).</w:t>
      </w:r>
    </w:p>
  </w:footnote>
  <w:footnote w:id="174">
    <w:p w14:paraId="265331DA" w14:textId="77777777" w:rsidR="005F5ACD" w:rsidRDefault="00000000">
      <w:pPr>
        <w:pStyle w:val="FootnoteText"/>
      </w:pPr>
      <w:r>
        <w:rPr>
          <w:rStyle w:val="FootnoteReference"/>
        </w:rPr>
        <w:footnoteRef/>
      </w:r>
      <w:r>
        <w:t xml:space="preserve"> Bebchuk &amp; Tallarita, </w:t>
      </w:r>
      <w:r>
        <w:rPr>
          <w:i/>
          <w:iCs/>
        </w:rPr>
        <w:t>Will Corporations Deliver</w:t>
      </w:r>
      <w:r>
        <w:t xml:space="preserve">, </w:t>
      </w:r>
      <w:r>
        <w:rPr>
          <w:i/>
          <w:iCs/>
        </w:rPr>
        <w:t>supra</w:t>
      </w:r>
      <w:r>
        <w:t xml:space="preserve"> note 174, at 1031.</w:t>
      </w:r>
    </w:p>
  </w:footnote>
  <w:footnote w:id="175">
    <w:p w14:paraId="60AC44FF" w14:textId="77777777" w:rsidR="005F5ACD" w:rsidRDefault="00000000">
      <w:pPr>
        <w:pStyle w:val="FootnoteText"/>
      </w:pPr>
      <w:r>
        <w:rPr>
          <w:rStyle w:val="FootnoteReference"/>
        </w:rPr>
        <w:footnoteRef/>
      </w:r>
      <w:r>
        <w:t xml:space="preserve"> </w:t>
      </w:r>
      <w:r>
        <w:rPr>
          <w:i/>
          <w:iCs/>
        </w:rPr>
        <w:t>See</w:t>
      </w:r>
      <w:r>
        <w:t xml:space="preserve"> Garrett &amp; Ivanov, </w:t>
      </w:r>
      <w:r>
        <w:rPr>
          <w:i/>
          <w:iCs/>
        </w:rPr>
        <w:t>supra</w:t>
      </w:r>
      <w:r>
        <w:t xml:space="preserve"> note 5, at 4, 17–18 (documenting Texas issuer/bondholder cost incidence); </w:t>
      </w:r>
      <w:r>
        <w:rPr>
          <w:i/>
          <w:iCs/>
        </w:rPr>
        <w:t>cf.</w:t>
      </w:r>
      <w:r>
        <w:t xml:space="preserve"> John Hund, Christian T. Lundblad, Christos Makridis &amp; Giang Nguyen, </w:t>
      </w:r>
      <w:r>
        <w:rPr>
          <w:i/>
          <w:iCs/>
        </w:rPr>
        <w:t>Do Anti-ESG Policies Hurt Local Governments? Evidence from the Municipal Bond Market</w:t>
      </w:r>
      <w:r>
        <w:t xml:space="preserve"> 1–4, 18–20 (June 9, 2025) (SSRN Working Paper No. 5287090), https://ssrn.com/abstract=5287090 (aggregate study finding null result on whether anti-ESG policies hurt local governments overall; included here as comparator).</w:t>
      </w:r>
    </w:p>
  </w:footnote>
  <w:footnote w:id="176">
    <w:p w14:paraId="4BDFCB72" w14:textId="77777777" w:rsidR="005F5ACD" w:rsidRDefault="00000000">
      <w:pPr>
        <w:pStyle w:val="FootnoteText"/>
      </w:pPr>
      <w:r>
        <w:rPr>
          <w:rStyle w:val="FootnoteReference"/>
        </w:rPr>
        <w:footnoteRef/>
      </w:r>
      <w:r>
        <w:t xml:space="preserve"> Bebchuk &amp; Tallarita, </w:t>
      </w:r>
      <w:r>
        <w:rPr>
          <w:i/>
          <w:iCs/>
        </w:rPr>
        <w:t>Illusory Promise</w:t>
      </w:r>
      <w:r>
        <w:t xml:space="preserve">, </w:t>
      </w:r>
      <w:r>
        <w:rPr>
          <w:i/>
          <w:iCs/>
        </w:rPr>
        <w:t>supra</w:t>
      </w:r>
      <w:r>
        <w:t xml:space="preserve"> note 174.</w:t>
      </w:r>
    </w:p>
  </w:footnote>
  <w:footnote w:id="177">
    <w:p w14:paraId="638CA1F7" w14:textId="77777777" w:rsidR="005F5ACD" w:rsidRDefault="00000000">
      <w:pPr>
        <w:pStyle w:val="FootnoteText"/>
      </w:pPr>
      <w:r>
        <w:rPr>
          <w:rStyle w:val="FootnoteReference"/>
        </w:rPr>
        <w:footnoteRef/>
      </w:r>
      <w:r>
        <w:t xml:space="preserve"> Ian R. Appel, Todd A. Gormley &amp; Donald B. Keim, </w:t>
      </w:r>
      <w:r>
        <w:rPr>
          <w:i/>
          <w:iCs/>
        </w:rPr>
        <w:t>Passive Investors, Not Passive Owners</w:t>
      </w:r>
      <w:r>
        <w:t>, 121 J. Fin. Econ. 111, 111–12 (2016) (exploiting Russell 1000/2000 index reconstitution as a quasi-instrument to show that higher passive mutual-fund ownership causally increases board independence, removes takeover defenses, equalizes voting rights, and improves long-run operating performance; finding that these effects run through voting-bloc concentration).</w:t>
      </w:r>
    </w:p>
  </w:footnote>
  <w:footnote w:id="178">
    <w:p w14:paraId="252E5A7F" w14:textId="25005131" w:rsidR="005F5ACD" w:rsidRDefault="00000000">
      <w:pPr>
        <w:pStyle w:val="FootnoteText"/>
      </w:pPr>
      <w:r>
        <w:rPr>
          <w:rStyle w:val="FootnoteReference"/>
        </w:rPr>
        <w:footnoteRef/>
      </w:r>
      <w:r>
        <w:t xml:space="preserve"> Elroy Dimson, Oğuzhan Karakaş &amp; Xi Li, </w:t>
      </w:r>
      <w:r>
        <w:rPr>
          <w:i/>
          <w:iCs/>
        </w:rPr>
        <w:t>Active Ownership</w:t>
      </w:r>
      <w:r>
        <w:t>, 28 Rev. Fin. Stud. 3225, 3226 (2015) (analyzing a primarily private institutional engagement program covering 1999–2009 and documenting a dose-response pattern: successful engagements are followed by positive abnormal returns and improved accounting performance and governance, while unsuccessful engagements show no such effect</w:t>
      </w:r>
      <w:r w:rsidR="00B62085">
        <w:t>—</w:t>
      </w:r>
      <w:r>
        <w:t>a signature inconsistent with pure window-dressing; collaboration among investors increases success rates).</w:t>
      </w:r>
    </w:p>
  </w:footnote>
  <w:footnote w:id="179">
    <w:p w14:paraId="7E5284D6" w14:textId="77777777" w:rsidR="005F5ACD" w:rsidRDefault="00000000">
      <w:pPr>
        <w:pStyle w:val="FootnoteText"/>
      </w:pPr>
      <w:r>
        <w:rPr>
          <w:rStyle w:val="FootnoteReference"/>
        </w:rPr>
        <w:footnoteRef/>
      </w:r>
      <w:r>
        <w:t xml:space="preserve"> Caleb N. Griffin, </w:t>
      </w:r>
      <w:r>
        <w:rPr>
          <w:i/>
          <w:iCs/>
        </w:rPr>
        <w:t>Margins: Estimating the Influence of the Big Three on Shareholder Proposals</w:t>
      </w:r>
      <w:r>
        <w:t>, 73 SMU L. Rev. 409, 409–10, 435–36 (2020) (finding that the Big Three combined are the largest shareholder in 96 percent of Fortune 250 firms and that their voting blocs are frequently outcome-determinative or outcome-deterrent on shareholder proposals, concluding that the voting-power concentration is a structural feature of the current governance architecture independent of any particular stewardship commitment).</w:t>
      </w:r>
    </w:p>
  </w:footnote>
  <w:footnote w:id="180">
    <w:p w14:paraId="3EBF099E" w14:textId="14106D6D" w:rsidR="005F5ACD" w:rsidRDefault="00000000">
      <w:pPr>
        <w:pStyle w:val="FootnoteText"/>
      </w:pPr>
      <w:r>
        <w:rPr>
          <w:rStyle w:val="FootnoteReference"/>
        </w:rPr>
        <w:footnoteRef/>
      </w:r>
      <w:r>
        <w:t xml:space="preserve"> Lucian A. Bebchuk &amp; Scott Hirst, </w:t>
      </w:r>
      <w:r>
        <w:rPr>
          <w:i/>
          <w:iCs/>
        </w:rPr>
        <w:t>Big Three Power, and Why It Matters</w:t>
      </w:r>
      <w:r>
        <w:t xml:space="preserve">, 102 B.U. L. Rev. 1547, 1547–48 (2022) (acknowledging the </w:t>
      </w:r>
      <w:r w:rsidR="00B62085">
        <w:t>“</w:t>
      </w:r>
      <w:r>
        <w:t>substantial voting power of the Big Three</w:t>
      </w:r>
      <w:r w:rsidR="00B62085">
        <w:t>”</w:t>
      </w:r>
      <w:r>
        <w:t xml:space="preserve"> and their </w:t>
      </w:r>
      <w:r w:rsidR="00B62085">
        <w:t>“</w:t>
      </w:r>
      <w:r>
        <w:t>considerable influence on corporate outcomes through both what they do and what they fail to do,</w:t>
      </w:r>
      <w:r w:rsidR="00B62085">
        <w:t>”</w:t>
      </w:r>
      <w:r>
        <w:t xml:space="preserve"> while arguing that their stewardship is systematically underinvested).</w:t>
      </w:r>
    </w:p>
  </w:footnote>
  <w:footnote w:id="181">
    <w:p w14:paraId="41E0C040" w14:textId="32371C95" w:rsidR="005F5ACD" w:rsidRDefault="00000000">
      <w:pPr>
        <w:pStyle w:val="FootnoteText"/>
      </w:pPr>
      <w:r>
        <w:rPr>
          <w:rStyle w:val="FootnoteReference"/>
        </w:rPr>
        <w:footnoteRef/>
      </w:r>
      <w:r>
        <w:t xml:space="preserve"> Joseph A. McCahery, Zacharias Sautner &amp; Laura T. Starks, </w:t>
      </w:r>
      <w:r>
        <w:rPr>
          <w:i/>
          <w:iCs/>
        </w:rPr>
        <w:t>Behind the Scenes: The Corporate Governance Preferences of Institutional Investors</w:t>
      </w:r>
      <w:r>
        <w:t xml:space="preserve">, 71 J. Fin. 2905, 2905–06 (2016) (surveying large institutional investors and documenting </w:t>
      </w:r>
      <w:r w:rsidR="00B62085">
        <w:t>“</w:t>
      </w:r>
      <w:r>
        <w:t>widespread behind-the-scenes intervention as well as governance-motivated exit,</w:t>
      </w:r>
      <w:r w:rsidR="00B62085">
        <w:t>”</w:t>
      </w:r>
      <w:r>
        <w:t xml:space="preserve"> with </w:t>
      </w:r>
      <w:r w:rsidR="00B62085">
        <w:t>“</w:t>
      </w:r>
      <w:r>
        <w:t>intervention typically occurring prior to a potential exit</w:t>
      </w:r>
      <w:r w:rsidR="00B62085">
        <w:t>”</w:t>
      </w:r>
      <w:r>
        <w:t xml:space="preserve">; finding that 63% of respondents engaged in direct discussions with management and 45% in private board discussions in the prior five years, and that </w:t>
      </w:r>
      <w:r w:rsidR="00B62085">
        <w:t>“</w:t>
      </w:r>
      <w:r>
        <w:t>voice, especially when conducted behind the scenes, is highly important</w:t>
      </w:r>
      <w:r w:rsidR="00B62085">
        <w:t>”</w:t>
      </w:r>
      <w:r>
        <w:t>).</w:t>
      </w:r>
    </w:p>
  </w:footnote>
  <w:footnote w:id="182">
    <w:p w14:paraId="663C2686" w14:textId="260BCBC6" w:rsidR="005F5ACD" w:rsidRDefault="00000000">
      <w:pPr>
        <w:pStyle w:val="FootnoteText"/>
      </w:pPr>
      <w:r>
        <w:rPr>
          <w:rStyle w:val="FootnoteReference"/>
        </w:rPr>
        <w:footnoteRef/>
      </w:r>
      <w:r>
        <w:t xml:space="preserve"> Alex Edmans, </w:t>
      </w:r>
      <w:r>
        <w:rPr>
          <w:i/>
          <w:iCs/>
        </w:rPr>
        <w:t>Blockholders: A Survey of Theory and Evidence</w:t>
      </w:r>
      <w:r>
        <w:t xml:space="preserve">, in </w:t>
      </w:r>
      <w:r>
        <w:rPr>
          <w:i/>
          <w:iCs/>
        </w:rPr>
        <w:t>The Handbook of the Economics of Corporate Governance</w:t>
      </w:r>
      <w:r>
        <w:t xml:space="preserve"> (Benjamin E. Hermalin &amp; Michael S. Weisbach eds., forthcoming 2024) (synthesizing blockholder theory and empirics to conclude that large shareholders </w:t>
      </w:r>
      <w:r w:rsidR="00B62085">
        <w:t>“</w:t>
      </w:r>
      <w:r>
        <w:t xml:space="preserve">can exert governance through the </w:t>
      </w:r>
      <w:r>
        <w:rPr>
          <w:i/>
          <w:iCs/>
        </w:rPr>
        <w:t>threat</w:t>
      </w:r>
      <w:r>
        <w:t xml:space="preserve"> of exit and voice, rather than only through actual exit and voice,</w:t>
      </w:r>
      <w:r w:rsidR="00B62085">
        <w:t>”</w:t>
      </w:r>
      <w:r>
        <w:t xml:space="preserve"> and that </w:t>
      </w:r>
      <w:r w:rsidR="00B62085">
        <w:t>“</w:t>
      </w:r>
      <w:r>
        <w:t xml:space="preserve">the absence of these actions … does not imply the absence of </w:t>
      </w:r>
      <w:proofErr w:type="spellStart"/>
      <w:r>
        <w:t>blockholder</w:t>
      </w:r>
      <w:proofErr w:type="spellEnd"/>
      <w:r>
        <w:t xml:space="preserve"> governance</w:t>
      </w:r>
      <w:r w:rsidR="00B62085">
        <w:t>”—</w:t>
      </w:r>
      <w:r>
        <w:t xml:space="preserve">the precise logical point that forecloses any inference from a zero-escalation-event count to a zero-governance-effect conclusion); </w:t>
      </w:r>
      <w:r>
        <w:rPr>
          <w:i/>
          <w:iCs/>
        </w:rPr>
        <w:t>see also</w:t>
      </w:r>
      <w:r>
        <w:t xml:space="preserve"> Alex Edmans, </w:t>
      </w:r>
      <w:r>
        <w:rPr>
          <w:i/>
          <w:iCs/>
        </w:rPr>
        <w:t>Blockholder Trading, Market Efficiency, and Managerial Myopia</w:t>
      </w:r>
      <w:r>
        <w:t>, 64 J. Fin. 2481 (2009).</w:t>
      </w:r>
    </w:p>
  </w:footnote>
  <w:footnote w:id="183">
    <w:p w14:paraId="2C9EC344" w14:textId="77777777" w:rsidR="005F5ACD" w:rsidRDefault="00000000">
      <w:pPr>
        <w:pStyle w:val="FootnoteText"/>
      </w:pPr>
      <w:r>
        <w:rPr>
          <w:rStyle w:val="FootnoteReference"/>
        </w:rPr>
        <w:footnoteRef/>
      </w:r>
      <w:r>
        <w:t xml:space="preserve"> Lund &amp; Pollman, </w:t>
      </w:r>
      <w:r>
        <w:rPr>
          <w:i/>
          <w:iCs/>
        </w:rPr>
        <w:t>supra</w:t>
      </w:r>
      <w:r>
        <w:t xml:space="preserve"> note 174; Bebchuk &amp; Hirst, </w:t>
      </w:r>
      <w:r>
        <w:rPr>
          <w:i/>
          <w:iCs/>
        </w:rPr>
        <w:t>Index Funds</w:t>
      </w:r>
      <w:r>
        <w:t xml:space="preserve">, </w:t>
      </w:r>
      <w:r>
        <w:rPr>
          <w:i/>
          <w:iCs/>
        </w:rPr>
        <w:t>supra</w:t>
      </w:r>
      <w:r>
        <w:t xml:space="preserve"> note 172; Bebchuk &amp; Hirst, </w:t>
      </w:r>
      <w:r>
        <w:rPr>
          <w:i/>
          <w:iCs/>
        </w:rPr>
        <w:t>Specter of the Giant Three</w:t>
      </w:r>
      <w:r>
        <w:t xml:space="preserve">, </w:t>
      </w:r>
      <w:r>
        <w:rPr>
          <w:i/>
          <w:iCs/>
        </w:rPr>
        <w:t>supra</w:t>
      </w:r>
      <w:r>
        <w:t xml:space="preserve"> note 172; Bebchuk &amp; Tallarita, </w:t>
      </w:r>
      <w:r>
        <w:rPr>
          <w:i/>
          <w:iCs/>
        </w:rPr>
        <w:t>Illusory Promise</w:t>
      </w:r>
      <w:r>
        <w:t xml:space="preserve">, </w:t>
      </w:r>
      <w:r>
        <w:rPr>
          <w:i/>
          <w:iCs/>
        </w:rPr>
        <w:t>supra</w:t>
      </w:r>
      <w:r>
        <w:t xml:space="preserve"> note 174; Bebchuk &amp; Tallarita, </w:t>
      </w:r>
      <w:r>
        <w:rPr>
          <w:i/>
          <w:iCs/>
        </w:rPr>
        <w:t>Will Corporations Deliver</w:t>
      </w:r>
      <w:r>
        <w:t xml:space="preserve">, </w:t>
      </w:r>
      <w:r>
        <w:rPr>
          <w:i/>
          <w:iCs/>
        </w:rPr>
        <w:t>supra</w:t>
      </w:r>
      <w:r>
        <w:t xml:space="preserve"> note 174; Tallarita, </w:t>
      </w:r>
      <w:r>
        <w:rPr>
          <w:i/>
          <w:iCs/>
        </w:rPr>
        <w:t>Limits of Portfolio Primacy</w:t>
      </w:r>
      <w:r>
        <w:t xml:space="preserve">, </w:t>
      </w:r>
      <w:r>
        <w:rPr>
          <w:i/>
          <w:iCs/>
        </w:rPr>
        <w:t>supra</w:t>
      </w:r>
      <w:r>
        <w:t xml:space="preserve"> note 172; Gordon, </w:t>
      </w:r>
      <w:r>
        <w:rPr>
          <w:i/>
          <w:iCs/>
        </w:rPr>
        <w:t>Unbundling Climate Change Risk</w:t>
      </w:r>
      <w:r>
        <w:t xml:space="preserve">, </w:t>
      </w:r>
      <w:r>
        <w:rPr>
          <w:i/>
          <w:iCs/>
        </w:rPr>
        <w:t>supra</w:t>
      </w:r>
      <w:r>
        <w:t xml:space="preserve"> note 10; Kahan &amp; Rock, </w:t>
      </w:r>
      <w:r>
        <w:rPr>
          <w:i/>
          <w:iCs/>
        </w:rPr>
        <w:t>supra</w:t>
      </w:r>
      <w:r>
        <w:t xml:space="preserve"> note 174, at 497–98, 507–08.</w:t>
      </w:r>
    </w:p>
  </w:footnote>
  <w:footnote w:id="184">
    <w:p w14:paraId="61B5C059" w14:textId="67072827" w:rsidR="005F5ACD" w:rsidRDefault="00000000">
      <w:pPr>
        <w:pStyle w:val="FootnoteText"/>
      </w:pPr>
      <w:r>
        <w:rPr>
          <w:rStyle w:val="FootnoteReference"/>
        </w:rPr>
        <w:footnoteRef/>
      </w:r>
      <w:r>
        <w:t xml:space="preserve"> Alex Edmans, </w:t>
      </w:r>
      <w:r>
        <w:rPr>
          <w:i/>
          <w:iCs/>
        </w:rPr>
        <w:t>Blockholders: A Survey of Theory and Evidence</w:t>
      </w:r>
      <w:r>
        <w:t xml:space="preserve">, in </w:t>
      </w:r>
      <w:r>
        <w:rPr>
          <w:i/>
          <w:iCs/>
        </w:rPr>
        <w:t>The Handbook of the Economics of Corporate Governance</w:t>
      </w:r>
      <w:r>
        <w:t xml:space="preserve"> (Benjamin E. Hermalin &amp; Michael S. Weisbach eds., forthcoming 2024) (synthesizing blockholder theory and empirics to conclude that large shareholders </w:t>
      </w:r>
      <w:r w:rsidR="00B62085">
        <w:t>“</w:t>
      </w:r>
      <w:r>
        <w:t xml:space="preserve">can exert governance through the </w:t>
      </w:r>
      <w:r>
        <w:rPr>
          <w:i/>
          <w:iCs/>
        </w:rPr>
        <w:t>threat</w:t>
      </w:r>
      <w:r>
        <w:t xml:space="preserve"> of exit and voice, rather than only through actual exit and voice,</w:t>
      </w:r>
      <w:r w:rsidR="00B62085">
        <w:t>”</w:t>
      </w:r>
      <w:r>
        <w:t xml:space="preserve"> and that </w:t>
      </w:r>
      <w:r w:rsidR="00B62085">
        <w:t>“</w:t>
      </w:r>
      <w:r>
        <w:t xml:space="preserve">the absence of these actions … does not imply the absence of </w:t>
      </w:r>
      <w:proofErr w:type="spellStart"/>
      <w:r>
        <w:t>blockholder</w:t>
      </w:r>
      <w:proofErr w:type="spellEnd"/>
      <w:r>
        <w:t xml:space="preserve"> governance</w:t>
      </w:r>
      <w:r w:rsidR="00B62085">
        <w:t>”—</w:t>
      </w:r>
      <w:r>
        <w:t xml:space="preserve">the precise logical point that forecloses any inference from a zero-escalation-event count to a zero-governance-effect conclusion); </w:t>
      </w:r>
      <w:r>
        <w:rPr>
          <w:i/>
          <w:iCs/>
        </w:rPr>
        <w:t>see also</w:t>
      </w:r>
      <w:r>
        <w:t xml:space="preserve"> Alex Edmans, </w:t>
      </w:r>
      <w:r>
        <w:rPr>
          <w:i/>
          <w:iCs/>
        </w:rPr>
        <w:t>Blockholder Trading, Market Efficiency, and Managerial Myopia</w:t>
      </w:r>
      <w:r>
        <w:t>, 64 J. Fin. 2481 (2009).</w:t>
      </w:r>
    </w:p>
  </w:footnote>
  <w:footnote w:id="185">
    <w:p w14:paraId="14A0FC76" w14:textId="77777777" w:rsidR="005F5ACD" w:rsidRDefault="00000000">
      <w:pPr>
        <w:pStyle w:val="FootnoteText"/>
      </w:pPr>
      <w:r>
        <w:rPr>
          <w:rStyle w:val="FootnoteReference"/>
        </w:rPr>
        <w:footnoteRef/>
      </w:r>
      <w:r>
        <w:t xml:space="preserve"> </w:t>
      </w:r>
      <w:r>
        <w:rPr>
          <w:i/>
          <w:iCs/>
        </w:rPr>
        <w:t>See</w:t>
      </w:r>
      <w:r>
        <w:t xml:space="preserve"> Yonca Ertimur, Fabrizio Ferri &amp; Volkan Muslu, </w:t>
      </w:r>
      <w:r>
        <w:rPr>
          <w:i/>
          <w:iCs/>
        </w:rPr>
        <w:t>Shareholder Activism and CEO Pay</w:t>
      </w:r>
      <w:r>
        <w:t>, 24 Rev. Fin. Stud. 535, 535–37 (2011) (documenting pre-conflict adjustments in CEO compensation, capital structure, and operational policy at firms facing increased likelihood of activist attention, including at firms never actually targeted).</w:t>
      </w:r>
    </w:p>
  </w:footnote>
  <w:footnote w:id="186">
    <w:p w14:paraId="7F020471" w14:textId="3CE174F6" w:rsidR="005F5ACD" w:rsidRDefault="00000000">
      <w:pPr>
        <w:pStyle w:val="FootnoteText"/>
      </w:pPr>
      <w:r>
        <w:rPr>
          <w:rStyle w:val="FootnoteReference"/>
        </w:rPr>
        <w:footnoteRef/>
      </w:r>
      <w:r>
        <w:t xml:space="preserve"> Yonca Ertimur, Fabrizio Ferri &amp; David Oesch, </w:t>
      </w:r>
      <w:r>
        <w:rPr>
          <w:i/>
          <w:iCs/>
        </w:rPr>
        <w:t>Shareholder Votes and Proxy Advisors: Evidence from Say on Pay</w:t>
      </w:r>
      <w:r>
        <w:t xml:space="preserve">, 51 J. Acct. Res. 951, 951–52 (2013) (finding that proxy-advisor recommendations are </w:t>
      </w:r>
      <w:r w:rsidR="00B62085">
        <w:t>“</w:t>
      </w:r>
      <w:r>
        <w:t>the key determinant of voting outcome</w:t>
      </w:r>
      <w:r w:rsidR="00B62085">
        <w:t>”</w:t>
      </w:r>
      <w:r>
        <w:t xml:space="preserve"> on say-on-pay votes, that more than half of firms subjected to adverse votes respond by engaging with investors and altering compensation plans); Aiyesha Dey, Austin Starkweather &amp; Joshua T. White, </w:t>
      </w:r>
      <w:r>
        <w:rPr>
          <w:i/>
          <w:iCs/>
        </w:rPr>
        <w:t>Proxy Advisory Firms and Corporate Shareholder Engagement</w:t>
      </w:r>
      <w:r>
        <w:t xml:space="preserve">, 37 Rev. Fin. Stud. 3877, 3877–78 (2024) (exploiting a say-on-pay threshold that triggers ISS engagement review to show that ISS treatment produces </w:t>
      </w:r>
      <w:r w:rsidR="00B62085">
        <w:t>“</w:t>
      </w:r>
      <w:r>
        <w:t>swift and substantive increases in extensive and intensive margins of engagement</w:t>
      </w:r>
      <w:r w:rsidR="00B62085">
        <w:t>”</w:t>
      </w:r>
      <w:r>
        <w:t xml:space="preserve"> that persist over time and are valued by shareholders).</w:t>
      </w:r>
    </w:p>
  </w:footnote>
  <w:footnote w:id="187">
    <w:p w14:paraId="0B71717E" w14:textId="77777777" w:rsidR="005F5ACD" w:rsidRDefault="00000000">
      <w:pPr>
        <w:pStyle w:val="FootnoteText"/>
      </w:pPr>
      <w:r>
        <w:rPr>
          <w:rStyle w:val="FootnoteReference"/>
        </w:rPr>
        <w:footnoteRef/>
      </w:r>
      <w:r>
        <w:t xml:space="preserve"> ERISA § 514(a), 29 U.S.C. § 1144(a); National Securities Markets Improvement Act of 1996, Pub. L. No. 104-290, 110 Stat. 3416; Dodd-Frank Wall Street Reform and Consumer Protection Act § 1044, 12 U.S.C. § 25b. </w:t>
      </w:r>
      <w:r>
        <w:rPr>
          <w:i/>
          <w:iCs/>
        </w:rPr>
        <w:t>See generally</w:t>
      </w:r>
      <w:r>
        <w:t xml:space="preserve"> David J. Berger, David H. Webber &amp; Beth M. Young, </w:t>
      </w:r>
      <w:r>
        <w:rPr>
          <w:i/>
          <w:iCs/>
        </w:rPr>
        <w:t>The Liability Trap: Why the ALEC Anti-ESG Bills Create a Legal Quagmire for Fiduciaries Connected with Public Pensions</w:t>
      </w:r>
      <w:r>
        <w:t xml:space="preserve"> (SSRN Working Paper No. 4360119, Feb. 15, 2023) (developing the federal-preemption-vs-state-fragmentation framework in the fiduciary channel).</w:t>
      </w:r>
    </w:p>
  </w:footnote>
  <w:footnote w:id="188">
    <w:p w14:paraId="1A1BADCA" w14:textId="6130379D" w:rsidR="005F5ACD" w:rsidRDefault="00000000">
      <w:pPr>
        <w:pStyle w:val="FootnoteText"/>
      </w:pPr>
      <w:r>
        <w:rPr>
          <w:rStyle w:val="FootnoteReference"/>
        </w:rPr>
        <w:footnoteRef/>
      </w:r>
      <w:r>
        <w:t xml:space="preserve"> </w:t>
      </w:r>
      <w:r>
        <w:rPr>
          <w:i/>
          <w:iCs/>
        </w:rPr>
        <w:t>Iowa v. SEC</w:t>
      </w:r>
      <w:r>
        <w:t>, No. 24-1522 (8th Cir.), and SEC</w:t>
      </w:r>
      <w:r w:rsidR="00B62085">
        <w:t>’</w:t>
      </w:r>
      <w:r>
        <w:t xml:space="preserve">s March 27, 2025 abandonment of its climate-disclosure rule defense; Financial Factors in Selecting Plan Investments (Final Rule), 85 Fed. Reg. 72,846 (Nov. 13, 2020) (DOL 2020 rule); 87 Fed. Reg. 73,822 (Dec. 1, 2022) (DOL 2022 revision); </w:t>
      </w:r>
      <w:r>
        <w:rPr>
          <w:i/>
          <w:iCs/>
        </w:rPr>
        <w:t>Utah v. Micone</w:t>
      </w:r>
      <w:r>
        <w:t>, 766 F. Supp. 3d 669 (N.D. Tex. 2025) (upholding 2022 rule under post-</w:t>
      </w:r>
      <w:r>
        <w:rPr>
          <w:i/>
          <w:iCs/>
        </w:rPr>
        <w:t>Loper Bright</w:t>
      </w:r>
      <w:r>
        <w:t xml:space="preserve"> de novo review). For the Federal Reserve withdrawal from international climate-finance coordination, see Press Release, Bd. of Governors of the Fed. Reserve Sys. (Jan. 17, 2025) (announcing NGFS withdrawal).</w:t>
      </w:r>
    </w:p>
  </w:footnote>
  <w:footnote w:id="189">
    <w:p w14:paraId="32E6EF02" w14:textId="77777777" w:rsidR="005F5ACD" w:rsidRDefault="00000000">
      <w:pPr>
        <w:pStyle w:val="FootnoteText"/>
      </w:pPr>
      <w:r>
        <w:rPr>
          <w:rStyle w:val="FootnoteReference"/>
        </w:rPr>
        <w:footnoteRef/>
      </w:r>
      <w:r>
        <w:t xml:space="preserve"> W. Scott Simon, </w:t>
      </w:r>
      <w:r>
        <w:rPr>
          <w:i/>
          <w:iCs/>
        </w:rPr>
        <w:t>Standards of Care and Supplemental Fiduciary Duties Governing the Conduct of Trustees Investing and Managing Assets of Public Employee Retirement Systems in the 50 States and the District of Columbia</w:t>
      </w:r>
      <w:r>
        <w:t xml:space="preserve"> 10–11, 27–30 (Nov. 27, 2022), SSRN, http://dx.doi.org/10.2139/ssrn.4287238 (documenting that the ERISA standard of care has effectively been adopted across thirty-six states—twenty-six states in whole, four in near-identical form, and four partially); </w:t>
      </w:r>
      <w:r>
        <w:rPr>
          <w:i/>
          <w:iCs/>
        </w:rPr>
        <w:t>see also</w:t>
      </w:r>
      <w:r>
        <w:t xml:space="preserve"> The Pew Charitable Trs., </w:t>
      </w:r>
      <w:r>
        <w:rPr>
          <w:i/>
          <w:iCs/>
        </w:rPr>
        <w:t>Basic Legal Protections Vary Widely for Participants in Public Retirement Plans</w:t>
      </w:r>
      <w:r>
        <w:t xml:space="preserve"> 4–5 (Nov. 21, 2017) (finding exclusive-purpose rules in all fifty states, prudence rules in forty-seven states, and diversification rules in thirty-nine states). ERISA does not preempt governmental plans. </w:t>
      </w:r>
      <w:r>
        <w:rPr>
          <w:i/>
          <w:iCs/>
        </w:rPr>
        <w:t>See</w:t>
      </w:r>
      <w:r>
        <w:t xml:space="preserve"> 29 U.S.C. § 1003(b).</w:t>
      </w:r>
    </w:p>
  </w:footnote>
  <w:footnote w:id="190">
    <w:p w14:paraId="606BE449" w14:textId="77777777" w:rsidR="005F5ACD" w:rsidRDefault="00000000">
      <w:pPr>
        <w:pStyle w:val="FootnoteText"/>
      </w:pPr>
      <w:r>
        <w:rPr>
          <w:rStyle w:val="FootnoteReference"/>
        </w:rPr>
        <w:footnoteRef/>
      </w:r>
      <w:r>
        <w:t xml:space="preserve"> Elizabeth S. Goldberg &amp; Rachel Mann, </w:t>
      </w:r>
      <w:r>
        <w:rPr>
          <w:i/>
          <w:iCs/>
        </w:rPr>
        <w:t>State Anti-ESG Bills May Complicate Public Retirement Plan Investing</w:t>
      </w:r>
      <w:r>
        <w:t>, ML BeneBits (Aug. 17, 2022), https://www.morganlewis.com/blogs/mlbenebits/2022/08/state-antiesg-bills-may-complicate-public-retirement-plan-investing. The quoted language appears at pages 1–2 of the PDF.</w:t>
      </w:r>
    </w:p>
  </w:footnote>
  <w:footnote w:id="191">
    <w:p w14:paraId="2621A614" w14:textId="58B84601" w:rsidR="005F5ACD" w:rsidRDefault="00000000">
      <w:pPr>
        <w:pStyle w:val="FootnoteText"/>
      </w:pPr>
      <w:r>
        <w:rPr>
          <w:rStyle w:val="FootnoteReference"/>
        </w:rPr>
        <w:footnoteRef/>
      </w:r>
      <w:r>
        <w:t xml:space="preserve"> Charles Donefer, </w:t>
      </w:r>
      <w:r>
        <w:rPr>
          <w:i/>
          <w:iCs/>
        </w:rPr>
        <w:t>State ESG Laws in 2023: The Landscape Fractures</w:t>
      </w:r>
      <w:r>
        <w:t>, Thomson Reuters Inst. (May 31, 2023), https://www.thomsonreuters.com/en-us/posts/esg/state-laws/ (</w:t>
      </w:r>
      <w:r w:rsidR="00B62085">
        <w:t>“</w:t>
      </w:r>
      <w:r>
        <w:t>State anti-ESG laws are expanding in scope and reach, creating a bind for companies</w:t>
      </w:r>
      <w:r w:rsidR="00B62085">
        <w:t>”</w:t>
      </w:r>
      <w:r>
        <w:t xml:space="preserve">; </w:t>
      </w:r>
      <w:r w:rsidR="00B62085">
        <w:t>“</w:t>
      </w:r>
      <w:r>
        <w:t>[t]</w:t>
      </w:r>
      <w:proofErr w:type="spellStart"/>
      <w:r>
        <w:t>ogether</w:t>
      </w:r>
      <w:proofErr w:type="spellEnd"/>
      <w:r>
        <w:t>, these new laws create an uneven regulatory patchwork</w:t>
      </w:r>
      <w:r w:rsidR="00B62085">
        <w:t>”</w:t>
      </w:r>
      <w:r>
        <w:t xml:space="preserve">; </w:t>
      </w:r>
      <w:r w:rsidR="00B62085">
        <w:t>“</w:t>
      </w:r>
      <w:r>
        <w:t>[a] lack of uniformity means businesses operating in more than one state may have to make difficult choices</w:t>
      </w:r>
      <w:r w:rsidR="00B62085">
        <w:t>”</w:t>
      </w:r>
      <w:r>
        <w:t xml:space="preserve">). </w:t>
      </w:r>
      <w:r>
        <w:rPr>
          <w:i/>
          <w:iCs/>
        </w:rPr>
        <w:t>See also</w:t>
      </w:r>
      <w:r>
        <w:t xml:space="preserve"> Morgan Donoian MacBride &amp; Tiffany C. Kim, </w:t>
      </w:r>
      <w:r>
        <w:rPr>
          <w:i/>
          <w:iCs/>
        </w:rPr>
        <w:t>Risks and Pitfalls from Increasing Balkanization of State-Level ESG Regulation</w:t>
      </w:r>
      <w:r>
        <w:t xml:space="preserve"> 2–5 (Am. Bar </w:t>
      </w:r>
      <w:proofErr w:type="spellStart"/>
      <w:r>
        <w:t>Ass</w:t>
      </w:r>
      <w:r w:rsidR="00B62085">
        <w:t>’</w:t>
      </w:r>
      <w:r>
        <w:t>n</w:t>
      </w:r>
      <w:proofErr w:type="spellEnd"/>
      <w:r>
        <w:t xml:space="preserve"> Feb. 20, 2026) (describing an </w:t>
      </w:r>
      <w:r w:rsidR="00B62085">
        <w:t>“</w:t>
      </w:r>
      <w:r>
        <w:t>unprecedented compliance paradox</w:t>
      </w:r>
      <w:r w:rsidR="00B62085">
        <w:t>”</w:t>
      </w:r>
      <w:r>
        <w:t xml:space="preserve"> in which </w:t>
      </w:r>
      <w:r w:rsidR="00B62085">
        <w:t>“</w:t>
      </w:r>
      <w:r>
        <w:t>meeting regulatory requirements in one jurisdiction may trigger financial penalties in another</w:t>
      </w:r>
      <w:r w:rsidR="00B62085">
        <w:t>”</w:t>
      </w:r>
      <w:r>
        <w:t xml:space="preserve"> and documenting the resulting </w:t>
      </w:r>
      <w:r w:rsidR="00B62085">
        <w:t>“</w:t>
      </w:r>
      <w:r>
        <w:t>disclosure traps born of conflicting state-level approaches</w:t>
      </w:r>
      <w:r w:rsidR="00B62085">
        <w:t>”</w:t>
      </w:r>
      <w:r>
        <w:t xml:space="preserve">); Hogan Lovells, </w:t>
      </w:r>
      <w:r>
        <w:rPr>
          <w:i/>
          <w:iCs/>
        </w:rPr>
        <w:t>Navigating Conflicting ESG Regimes: A Playbook for Cutting Through Cross-Border Complexity</w:t>
      </w:r>
      <w:r>
        <w:t xml:space="preserve"> 4, 6, 24–25, 28 (2025) (</w:t>
      </w:r>
      <w:r w:rsidR="00B62085">
        <w:t>“</w:t>
      </w:r>
      <w:r>
        <w:t>Multistate compliance is increasingly complex</w:t>
      </w:r>
      <w:r w:rsidR="00B62085">
        <w:t>—</w:t>
      </w:r>
      <w:r>
        <w:t>companies must navigate conflicting ESG obligations</w:t>
      </w:r>
      <w:r w:rsidR="00B62085">
        <w:t>”</w:t>
      </w:r>
      <w:r>
        <w:t>).</w:t>
      </w:r>
    </w:p>
  </w:footnote>
  <w:footnote w:id="192">
    <w:p w14:paraId="73ED13C5" w14:textId="77777777" w:rsidR="005F5ACD" w:rsidRDefault="00000000">
      <w:pPr>
        <w:pStyle w:val="FootnoteText"/>
      </w:pPr>
      <w:r>
        <w:rPr>
          <w:rStyle w:val="FootnoteReference"/>
        </w:rPr>
        <w:footnoteRef/>
      </w:r>
      <w:r>
        <w:t xml:space="preserve"> </w:t>
      </w:r>
      <w:r>
        <w:rPr>
          <w:i/>
          <w:iCs/>
        </w:rPr>
        <w:t>See supra</w:t>
      </w:r>
      <w:r>
        <w:t xml:space="preserve"> §IV.A and accompanying citations; Garrett &amp; Ivanov, </w:t>
      </w:r>
      <w:r>
        <w:rPr>
          <w:i/>
          <w:iCs/>
        </w:rPr>
        <w:t>supra</w:t>
      </w:r>
      <w:r>
        <w:t xml:space="preserve"> note 5, at 1, 4, 17–18; </w:t>
      </w:r>
      <w:r>
        <w:rPr>
          <w:i/>
          <w:iCs/>
        </w:rPr>
        <w:t>Keenan</w:t>
      </w:r>
      <w:r>
        <w:t>, 2026 OK 20, ¶ 41; Indiana Legislative Services Agency, Fiscal Impact Statement on HB 1008 (Feb. 2023), and revised analysis post-amendment.</w:t>
      </w:r>
    </w:p>
  </w:footnote>
  <w:footnote w:id="193">
    <w:p w14:paraId="691C69D8" w14:textId="672D4BDD" w:rsidR="005F5ACD" w:rsidRDefault="00000000">
      <w:pPr>
        <w:pStyle w:val="FootnoteText"/>
      </w:pPr>
      <w:r>
        <w:rPr>
          <w:rStyle w:val="FootnoteReference"/>
        </w:rPr>
        <w:footnoteRef/>
      </w:r>
      <w:r>
        <w:t xml:space="preserve"> Travis Roach &amp; Mariya Burdina, </w:t>
      </w:r>
      <w:r>
        <w:rPr>
          <w:i/>
          <w:iCs/>
        </w:rPr>
        <w:t>Cutting Off the Fiscal Nose: The Impact of Anti-ESG Policies on Municipal Borrowing Costs in Oklahoma</w:t>
      </w:r>
      <w:r>
        <w:t>, 51 Loc. Gov</w:t>
      </w:r>
      <w:r w:rsidR="00B62085">
        <w:t>’</w:t>
      </w:r>
      <w:r>
        <w:t xml:space="preserve">t Stud. 1318, 1318–22 (2025). The earlier SSRN preprint estimated $180 million, narrowed to $164 million in the published version. Travis Roach &amp; Mariya Burdina, </w:t>
      </w:r>
      <w:r>
        <w:rPr>
          <w:i/>
          <w:iCs/>
        </w:rPr>
        <w:t>Cutting Off the Fiscal Nose: The Spiteful Impact of Anti-ESG Policies on Municipal Borrowing Costs</w:t>
      </w:r>
      <w:r>
        <w:t xml:space="preserve"> (May 24, 2024) (SSRN Working Paper No. 4840856), https://ssrn.com/abstract=4840856. </w:t>
      </w:r>
      <w:r>
        <w:rPr>
          <w:i/>
          <w:iCs/>
        </w:rPr>
        <w:t>But see</w:t>
      </w:r>
      <w:r>
        <w:t xml:space="preserve"> Am. Energy Inst., </w:t>
      </w:r>
      <w:r>
        <w:rPr>
          <w:i/>
          <w:iCs/>
        </w:rPr>
        <w:t>Examining Oklahoma</w:t>
      </w:r>
      <w:r w:rsidR="00B62085">
        <w:rPr>
          <w:i/>
          <w:iCs/>
        </w:rPr>
        <w:t>’</w:t>
      </w:r>
      <w:r>
        <w:rPr>
          <w:i/>
          <w:iCs/>
        </w:rPr>
        <w:t>s Energy Discrimination Elimination Act</w:t>
      </w:r>
      <w:r>
        <w:t xml:space="preserve"> 3–8 (2024) (contesting causal attribution).</w:t>
      </w:r>
    </w:p>
  </w:footnote>
  <w:footnote w:id="194">
    <w:p w14:paraId="02157849" w14:textId="77777777" w:rsidR="005F5ACD" w:rsidRDefault="00000000">
      <w:pPr>
        <w:pStyle w:val="FootnoteText"/>
      </w:pPr>
      <w:r>
        <w:rPr>
          <w:rStyle w:val="FootnoteReference"/>
        </w:rPr>
        <w:footnoteRef/>
      </w:r>
      <w:r>
        <w:t xml:space="preserve"> Kan. Div. of the Budget, Revised Fiscal Note, S.B. 291, at 1–3 (Mar. 10, 2023); </w:t>
      </w:r>
      <w:r>
        <w:rPr>
          <w:i/>
          <w:iCs/>
        </w:rPr>
        <w:t>see</w:t>
      </w:r>
      <w:r>
        <w:t xml:space="preserve"> Ross Kerber, </w:t>
      </w:r>
      <w:r>
        <w:rPr>
          <w:i/>
          <w:iCs/>
        </w:rPr>
        <w:t>Kansas Anti-ESG Bill Could Cut Pension Returns $3.6 Billion—Analysis</w:t>
      </w:r>
      <w:r>
        <w:t>, Reuters (Mar. 7, 2023), https://www.reuters.com/business/sustainable-business/kansas-anti-esg-bill-could-cut-pension-returns-36-bln-analysis-2023-03-07/.</w:t>
      </w:r>
    </w:p>
  </w:footnote>
  <w:footnote w:id="195">
    <w:p w14:paraId="0CB442D1" w14:textId="77777777" w:rsidR="005F5ACD" w:rsidRDefault="00000000">
      <w:pPr>
        <w:pStyle w:val="FootnoteText"/>
      </w:pPr>
      <w:r>
        <w:rPr>
          <w:rStyle w:val="FootnoteReference"/>
        </w:rPr>
        <w:footnoteRef/>
      </w:r>
      <w:r>
        <w:t xml:space="preserve"> La. Legis. Auditor, Actuarial Note, S.B. 5 (2024) (projecting investment-return reduction for Louisiana public-pension funds from proposed Anti-ESG fiduciary restrictions).</w:t>
      </w:r>
    </w:p>
  </w:footnote>
  <w:footnote w:id="196">
    <w:p w14:paraId="7A740B8A" w14:textId="77777777" w:rsidR="005F5ACD" w:rsidRDefault="00000000">
      <w:pPr>
        <w:pStyle w:val="FootnoteText"/>
      </w:pPr>
      <w:r>
        <w:rPr>
          <w:rStyle w:val="FootnoteReference"/>
        </w:rPr>
        <w:footnoteRef/>
      </w:r>
      <w:r>
        <w:t xml:space="preserve"> Wyo. Legis. Serv. Office, Fiscal Note, H.B. 0080 (2024) (estimating pension-return and compliance costs of proposed Wyoming anti-ESG investment restrictions).</w:t>
      </w:r>
    </w:p>
  </w:footnote>
  <w:footnote w:id="197">
    <w:p w14:paraId="50EBA622" w14:textId="77777777" w:rsidR="005F5ACD" w:rsidRDefault="00000000">
      <w:pPr>
        <w:pStyle w:val="FootnoteText"/>
      </w:pPr>
      <w:r>
        <w:rPr>
          <w:rStyle w:val="FootnoteReference"/>
        </w:rPr>
        <w:footnoteRef/>
      </w:r>
      <w:r>
        <w:t xml:space="preserve"> </w:t>
      </w:r>
      <w:r>
        <w:rPr>
          <w:i/>
          <w:iCs/>
        </w:rPr>
        <w:t>See</w:t>
      </w:r>
      <w:r>
        <w:t xml:space="preserve"> Garrett &amp; Ivanov, </w:t>
      </w:r>
      <w:r>
        <w:rPr>
          <w:i/>
          <w:iCs/>
        </w:rPr>
        <w:t>supra</w:t>
      </w:r>
      <w:r>
        <w:t xml:space="preserve"> note 5, at 4, 17–18 (documenting Texas issuer/bondholder cost incidence); </w:t>
      </w:r>
      <w:r>
        <w:rPr>
          <w:i/>
          <w:iCs/>
        </w:rPr>
        <w:t>cf.</w:t>
      </w:r>
      <w:r>
        <w:t xml:space="preserve"> John Hund, Christian T. Lundblad, Christos Makridis &amp; Giang Nguyen, </w:t>
      </w:r>
      <w:r>
        <w:rPr>
          <w:i/>
          <w:iCs/>
        </w:rPr>
        <w:t>Do Anti-ESG Policies Hurt Local Governments? Evidence from the Municipal Bond Market</w:t>
      </w:r>
      <w:r>
        <w:t xml:space="preserve"> 1–4, 18–20 (June 9, 2025) (SSRN Working Paper No. 5287090), https://ssrn.com/abstract=5287090 (aggregate study finding null result on whether anti-ESG policies hurt local governments overall; included here as comparator).</w:t>
      </w:r>
    </w:p>
  </w:footnote>
  <w:footnote w:id="198">
    <w:p w14:paraId="7B513E64" w14:textId="6C4A298B" w:rsidR="005F5ACD" w:rsidRDefault="00000000">
      <w:pPr>
        <w:pStyle w:val="FootnoteText"/>
      </w:pPr>
      <w:r>
        <w:rPr>
          <w:rStyle w:val="FootnoteReference"/>
        </w:rPr>
        <w:footnoteRef/>
      </w:r>
      <w:r>
        <w:t xml:space="preserve"> TX SB 13, codified at Tex. Gov</w:t>
      </w:r>
      <w:r w:rsidR="00B62085">
        <w:t>’</w:t>
      </w:r>
      <w:r>
        <w:t xml:space="preserve">t Code §§ 809.001–809.058; OK HB 2034 (Energy Discrimination Elimination Act), codified at Okla. Stat. tit. 74, §§ 12001–12005; KY SB 205, codified at Ky. Rev. Stat. Ann. § 41.470; WV SB 262, codified at W. Va. Code § 12-1F-3; Fla. Stat. § 655.0323; Tenn. Code Ann. § 9-4-107 (2022) (enacted by 2022 Tenn. Pub. Acts ch. 1039); </w:t>
      </w:r>
      <w:r>
        <w:rPr>
          <w:i/>
          <w:iCs/>
        </w:rPr>
        <w:t>cf.</w:t>
      </w:r>
      <w:r>
        <w:t xml:space="preserve"> 2024 Tenn. Pub. Acts ch. 746 (HB 2100) (adding </w:t>
      </w:r>
      <w:r w:rsidR="00B62085">
        <w:t>“</w:t>
      </w:r>
      <w:r>
        <w:t>ordinary business purpose</w:t>
      </w:r>
      <w:r w:rsidR="00B62085">
        <w:t>”</w:t>
      </w:r>
      <w:r>
        <w:t xml:space="preserve"> exception in a separate banking-designation context, implicitly confirming § 9-4-107 contains no equivalent). The absence of an ordinary-business-purpose exception in § 9-4-107 distinguishes Tennessee</w:t>
      </w:r>
      <w:r w:rsidR="00B62085">
        <w:t>’</w:t>
      </w:r>
      <w:r>
        <w:t xml:space="preserve">s banking-channel statute from the Texas (§ 809.001(1)), Oklahoma (tit. 74, § 12001(2)), and West Virginia (§ 12-1F-3) variants, which each include such a formulation. </w:t>
      </w:r>
      <w:r>
        <w:rPr>
          <w:i/>
          <w:iCs/>
        </w:rPr>
        <w:t>See</w:t>
      </w:r>
      <w:r>
        <w:t xml:space="preserve"> David J. Berger, David H. Webber &amp; Beth M. Young, </w:t>
      </w:r>
      <w:r>
        <w:rPr>
          <w:i/>
          <w:iCs/>
        </w:rPr>
        <w:t>The Liability Trap: Why the ALEC Anti-ESG Bills Create a Legal Quagmire for Fiduciaries Connected with Public Pensions</w:t>
      </w:r>
      <w:r>
        <w:t xml:space="preserve"> (SSRN Working Paper No. 4360119, Feb. 15, 2023) (developing the multi-state-inconsistency analysis).</w:t>
      </w:r>
    </w:p>
  </w:footnote>
  <w:footnote w:id="199">
    <w:p w14:paraId="76D36C93" w14:textId="77777777" w:rsidR="005F5ACD" w:rsidRDefault="00000000">
      <w:pPr>
        <w:pStyle w:val="FootnoteText"/>
      </w:pPr>
      <w:r>
        <w:rPr>
          <w:rStyle w:val="FootnoteReference"/>
        </w:rPr>
        <w:footnoteRef/>
      </w:r>
      <w:r>
        <w:t xml:space="preserve"> </w:t>
      </w:r>
      <w:r>
        <w:rPr>
          <w:i/>
          <w:iCs/>
        </w:rPr>
        <w:t>Keenan v. Russ</w:t>
      </w:r>
      <w:r>
        <w:t>, 2026 OK 20, ¶ 60 (Okla. Sup. Ct. Apr. 7, 2026) (dual-purpose holding under Okla. Const. art. XXIII, § 12).</w:t>
      </w:r>
    </w:p>
  </w:footnote>
  <w:footnote w:id="200">
    <w:p w14:paraId="27F932F9" w14:textId="2E786299" w:rsidR="005F5ACD" w:rsidRDefault="00000000">
      <w:pPr>
        <w:pStyle w:val="FootnoteText"/>
      </w:pPr>
      <w:r>
        <w:rPr>
          <w:rStyle w:val="FootnoteReference"/>
        </w:rPr>
        <w:footnoteRef/>
      </w:r>
      <w:r>
        <w:t xml:space="preserve"> </w:t>
      </w:r>
      <w:r>
        <w:rPr>
          <w:i/>
          <w:iCs/>
        </w:rPr>
        <w:t>See</w:t>
      </w:r>
      <w:r>
        <w:t xml:space="preserve"> Fla. Stat. § 655.0323; Tex. Gov</w:t>
      </w:r>
      <w:r w:rsidR="00B62085">
        <w:t>’</w:t>
      </w:r>
      <w:r>
        <w:t xml:space="preserve">t Code §§ 809.001–809.058; </w:t>
      </w:r>
      <w:r>
        <w:rPr>
          <w:i/>
          <w:iCs/>
        </w:rPr>
        <w:t>cf.</w:t>
      </w:r>
      <w:r>
        <w:t xml:space="preserve"> Garrett &amp; Ivanov, </w:t>
      </w:r>
      <w:r>
        <w:rPr>
          <w:i/>
          <w:iCs/>
        </w:rPr>
        <w:t>supra</w:t>
      </w:r>
      <w:r>
        <w:t xml:space="preserve"> note 5, at 12.</w:t>
      </w:r>
    </w:p>
  </w:footnote>
  <w:footnote w:id="201">
    <w:p w14:paraId="1E253FC5" w14:textId="77777777" w:rsidR="005F5ACD" w:rsidRDefault="00000000">
      <w:pPr>
        <w:pStyle w:val="FootnoteText"/>
      </w:pPr>
      <w:r>
        <w:rPr>
          <w:rStyle w:val="FootnoteReference"/>
        </w:rPr>
        <w:footnoteRef/>
      </w:r>
      <w:r>
        <w:t xml:space="preserve"> Ind. Legis. Servs. Agency, Fiscal Impact Statement, H.B. 1008, at 1–2 (Feb. 4, 2023); </w:t>
      </w:r>
      <w:r>
        <w:rPr>
          <w:i/>
          <w:iCs/>
        </w:rPr>
        <w:t>see also</w:t>
      </w:r>
      <w:r>
        <w:t xml:space="preserve"> Dawn Lim, </w:t>
      </w:r>
      <w:r>
        <w:rPr>
          <w:i/>
          <w:iCs/>
        </w:rPr>
        <w:t>States Dilute Anti-ESG Investing Efforts to Avoid Pension Losses</w:t>
      </w:r>
      <w:r>
        <w:t>, Bloomberg L. (Apr. 30, 2023), https://news.bloomberglaw.com/in-house-counsel/pension-concerns-dilute-anti-esg-measures-in-indiana-and-kansas.</w:t>
      </w:r>
    </w:p>
  </w:footnote>
  <w:footnote w:id="202">
    <w:p w14:paraId="160C1CB8" w14:textId="71EFF41C" w:rsidR="005F5ACD" w:rsidRDefault="00000000">
      <w:pPr>
        <w:pStyle w:val="FootnoteText"/>
      </w:pPr>
      <w:r>
        <w:rPr>
          <w:rStyle w:val="FootnoteReference"/>
        </w:rPr>
        <w:footnoteRef/>
      </w:r>
      <w:r>
        <w:t xml:space="preserve"> </w:t>
      </w:r>
      <w:r>
        <w:rPr>
          <w:i/>
          <w:iCs/>
        </w:rPr>
        <w:t>See</w:t>
      </w:r>
      <w:r>
        <w:t xml:space="preserve"> Dawn Lim, </w:t>
      </w:r>
      <w:r>
        <w:rPr>
          <w:i/>
          <w:iCs/>
        </w:rPr>
        <w:t>States Dilute Anti-ESG Investing Efforts to Avoid Pension Losses</w:t>
      </w:r>
      <w:r>
        <w:t>, Bloomberg L. (Apr. 30, 2023), https://news.bloomberglaw.com/in-house-counsel/pension-concerns-dilute-anti-esg-measures-in-indiana-and-kansas (reporting Kansas</w:t>
      </w:r>
      <w:r w:rsidR="00B62085">
        <w:t>’</w:t>
      </w:r>
      <w:r>
        <w:t>s amendment of SB 291 and KPERS Executive Director Alan Conroy</w:t>
      </w:r>
      <w:r w:rsidR="00B62085">
        <w:t>’</w:t>
      </w:r>
      <w:r>
        <w:t>s testimony).</w:t>
      </w:r>
    </w:p>
  </w:footnote>
  <w:footnote w:id="203">
    <w:p w14:paraId="69B68280" w14:textId="77777777" w:rsidR="005F5ACD" w:rsidRDefault="00000000">
      <w:pPr>
        <w:pStyle w:val="FootnoteText"/>
      </w:pPr>
      <w:r>
        <w:rPr>
          <w:rStyle w:val="FootnoteReference"/>
        </w:rPr>
        <w:footnoteRef/>
      </w:r>
      <w:r>
        <w:t xml:space="preserve"> </w:t>
      </w:r>
      <w:r>
        <w:rPr>
          <w:i/>
          <w:iCs/>
        </w:rPr>
        <w:t>See</w:t>
      </w:r>
      <w:r>
        <w:t xml:space="preserve"> Pleiades Strategy, 2023 Statehouse Anti-ESG Report 18–22 (2023), https://corpgov.law.harvard.edu/wp-content/uploads/2023/07/2023-Anti-ESG-Statehouse-Report-on-legislative-attacks-on-the-freedom-to-invest-responsibly-and-their-opposition-1.pdf.</w:t>
      </w:r>
    </w:p>
  </w:footnote>
  <w:footnote w:id="204">
    <w:p w14:paraId="19B96987" w14:textId="77777777" w:rsidR="005F5ACD" w:rsidRDefault="00000000">
      <w:pPr>
        <w:pStyle w:val="FootnoteText"/>
      </w:pPr>
      <w:r>
        <w:rPr>
          <w:rStyle w:val="FootnoteReference"/>
        </w:rPr>
        <w:footnoteRef/>
      </w:r>
      <w:r>
        <w:t xml:space="preserve"> </w:t>
      </w:r>
      <w:r>
        <w:rPr>
          <w:i/>
          <w:iCs/>
        </w:rPr>
        <w:t>See</w:t>
      </w:r>
      <w:r>
        <w:t xml:space="preserve"> Pleiades Strategy, 2024 Statehouse Anti-ESG Report (2024), https://www.pleiadesstrategy.com/state-house-report-bill-tracker-republican-anti-esg-state-legislative-attacks-on-responsible-investing-continue-weakened-and-reshaped-by-their-costly-reality-and-a-year-of-continued-opposition.</w:t>
      </w:r>
    </w:p>
  </w:footnote>
  <w:footnote w:id="205">
    <w:p w14:paraId="791231A3" w14:textId="77777777" w:rsidR="005F5ACD" w:rsidRDefault="00000000">
      <w:pPr>
        <w:pStyle w:val="FootnoteText"/>
      </w:pPr>
      <w:r>
        <w:rPr>
          <w:rStyle w:val="FootnoteReference"/>
        </w:rPr>
        <w:footnoteRef/>
      </w:r>
      <w:r>
        <w:t xml:space="preserve"> Adolf A. Berle &amp; Gardiner C. Means, </w:t>
      </w:r>
      <w:r>
        <w:rPr>
          <w:i/>
          <w:iCs/>
        </w:rPr>
        <w:t>The Modern Corporation and Private Property</w:t>
      </w:r>
      <w:r>
        <w:t xml:space="preserve"> (Macmillan 1932); </w:t>
      </w:r>
      <w:r>
        <w:rPr>
          <w:i/>
          <w:iCs/>
        </w:rPr>
        <w:t>see also</w:t>
      </w:r>
      <w:r>
        <w:t xml:space="preserve"> Paul G. Mahoney &amp; Julia D. Mahoney, </w:t>
      </w:r>
      <w:r>
        <w:rPr>
          <w:i/>
          <w:iCs/>
        </w:rPr>
        <w:t>The New Separation of Ownership and Control: Institutional Investors and ESG</w:t>
      </w:r>
      <w:r>
        <w:t>, 2021 Colum. Bus. L. Rev. 840, 840–42 (2021) (analyzing institutional ownership as post-1980 Berle-Means recovery; stewardship restrictions operate against that background).</w:t>
      </w:r>
    </w:p>
  </w:footnote>
  <w:footnote w:id="206">
    <w:p w14:paraId="4A073300" w14:textId="21F5A4CD" w:rsidR="005F5ACD" w:rsidRDefault="00000000">
      <w:pPr>
        <w:pStyle w:val="FootnoteText"/>
      </w:pPr>
      <w:r>
        <w:rPr>
          <w:rStyle w:val="FootnoteReference"/>
        </w:rPr>
        <w:footnoteRef/>
      </w:r>
      <w:r>
        <w:t xml:space="preserve"> Author</w:t>
      </w:r>
      <w:r w:rsidR="00B62085">
        <w:t>’</w:t>
      </w:r>
      <w:r>
        <w:t xml:space="preserve">s dataset (Methodology Appendix Table C confirming no Pro-side statute reaches banking, insurance, or public-fund fiduciary mandates). For the Anti-side enforcement-stacking architecture, </w:t>
      </w:r>
      <w:r>
        <w:rPr>
          <w:i/>
          <w:iCs/>
        </w:rPr>
        <w:t>see supra</w:t>
      </w:r>
      <w:r>
        <w:t xml:space="preserve"> §§IV.B–IV.C; for federal supervisory guidance on climate-risk management to which Pro-side statutes might in principle correspond but do not in this corpus, </w:t>
      </w:r>
      <w:r>
        <w:rPr>
          <w:i/>
          <w:iCs/>
        </w:rPr>
        <w:t>see Joint Principles for Climate-Related Financial Risk Management for Large Financial Institutions</w:t>
      </w:r>
      <w:r>
        <w:t>, 88 Fed. Reg. 74,183 (Oct. 30, 2023).</w:t>
      </w:r>
    </w:p>
  </w:footnote>
  <w:footnote w:id="207">
    <w:p w14:paraId="113C5959" w14:textId="66CF5CD7" w:rsidR="005F5ACD" w:rsidRDefault="00000000">
      <w:pPr>
        <w:pStyle w:val="FootnoteText"/>
      </w:pPr>
      <w:r>
        <w:rPr>
          <w:rStyle w:val="FootnoteReference"/>
        </w:rPr>
        <w:footnoteRef/>
      </w:r>
      <w:r>
        <w:t xml:space="preserve"> Reply Br. in Supp. of Mot. for Prelim. Inj., </w:t>
      </w:r>
      <w:r>
        <w:rPr>
          <w:i/>
          <w:iCs/>
        </w:rPr>
        <w:t>Glass, Lewis &amp; Co. v. Paxton</w:t>
      </w:r>
      <w:r>
        <w:t xml:space="preserve">, No. 1:25-cv-01153 (W.D. Tex. Aug. 2025) (distinguishing </w:t>
      </w:r>
      <w:r w:rsidR="00B62085">
        <w:t>“</w:t>
      </w:r>
      <w:r>
        <w:t>pro-ESG relevance</w:t>
      </w:r>
      <w:r w:rsidR="00B62085">
        <w:t>”</w:t>
      </w:r>
      <w:r>
        <w:t xml:space="preserve"> recommendations from </w:t>
      </w:r>
      <w:r w:rsidR="00B62085">
        <w:t>“</w:t>
      </w:r>
      <w:r>
        <w:t>anti-ESG relevance</w:t>
      </w:r>
      <w:r w:rsidR="00B62085">
        <w:t>”</w:t>
      </w:r>
      <w:r>
        <w:t xml:space="preserve"> recommendations and arguing that Texas SB 2337</w:t>
      </w:r>
      <w:r w:rsidR="00B62085">
        <w:t>’</w:t>
      </w:r>
      <w:r>
        <w:t>s asymmetric written-financial-analysis duty discriminates based on the analytical conclusion</w:t>
      </w:r>
      <w:r w:rsidR="00B62085">
        <w:t>’</w:t>
      </w:r>
      <w:r>
        <w:t>s content rather than on its accuracy or financial-materiality basis).</w:t>
      </w:r>
    </w:p>
  </w:footnote>
  <w:footnote w:id="208">
    <w:p w14:paraId="533C76B6" w14:textId="56040921" w:rsidR="005F5ACD" w:rsidRDefault="00000000">
      <w:pPr>
        <w:pStyle w:val="FootnoteText"/>
      </w:pPr>
      <w:r>
        <w:rPr>
          <w:rStyle w:val="FootnoteReference"/>
        </w:rPr>
        <w:footnoteRef/>
      </w:r>
      <w:r>
        <w:t xml:space="preserve"> Wilshire Advisors, </w:t>
      </w:r>
      <w:r>
        <w:rPr>
          <w:i/>
          <w:iCs/>
        </w:rPr>
        <w:t>Five-Year Divestment Review</w:t>
      </w:r>
      <w:r>
        <w:t xml:space="preserve">, CalPERS Bd. of Admin., Inv. Comm. Agenda Item 9f, Attachment 1 (Oct. 17, 2022) (estimating cumulative positive impact of approximately $598 million from thermal-coal divestment mandate); </w:t>
      </w:r>
      <w:r>
        <w:rPr>
          <w:i/>
          <w:iCs/>
        </w:rPr>
        <w:t>see also</w:t>
      </w:r>
      <w:r>
        <w:t xml:space="preserve"> Cal. Gov</w:t>
      </w:r>
      <w:r w:rsidR="00B62085">
        <w:t>’</w:t>
      </w:r>
      <w:r>
        <w:t>t Code §§ 7513.1, 22346.1 (West Supp. 2024) (codifying SB 185). The estimate is a consultant</w:t>
      </w:r>
      <w:r w:rsidR="00B62085">
        <w:t>’</w:t>
      </w:r>
      <w:r>
        <w:t>s retrospective attribution model and has not been independently audited; the figure illustrates the savings-clause mechanism</w:t>
      </w:r>
      <w:r w:rsidR="00B62085">
        <w:t>’</w:t>
      </w:r>
      <w:r>
        <w:t>s directional neutrality, not an investment conclusion.</w:t>
      </w:r>
    </w:p>
  </w:footnote>
  <w:footnote w:id="209">
    <w:p w14:paraId="51A2F39E" w14:textId="72862DF8" w:rsidR="005F5ACD" w:rsidRDefault="00000000">
      <w:pPr>
        <w:pStyle w:val="FootnoteText"/>
      </w:pPr>
      <w:r>
        <w:rPr>
          <w:rStyle w:val="FootnoteReference"/>
        </w:rPr>
        <w:footnoteRef/>
      </w:r>
      <w:r>
        <w:t xml:space="preserve"> Me. Pub. Emps. Ret. Sys., </w:t>
      </w:r>
      <w:r>
        <w:rPr>
          <w:i/>
          <w:iCs/>
        </w:rPr>
        <w:t>2026 Divestment Report</w:t>
      </w:r>
      <w:r>
        <w:t xml:space="preserve"> 3–4, 18–19 (2026), https://www.mainepers.org/wp-content/uploads/pdfs/Reports/2026/FINAL-2026-Divestment-Report-v3.pdf (describing Attorney General fiduciary interpretation; reporting 5.4% fossil-fuel exposure as of June 30, 2025, representing approximately $1.148 billion; projecting decline from 8.1% in 2020 to 3.9% by 2028); </w:t>
      </w:r>
      <w:r>
        <w:rPr>
          <w:i/>
          <w:iCs/>
        </w:rPr>
        <w:t>see</w:t>
      </w:r>
      <w:r>
        <w:t xml:space="preserve"> Me. Rev. Stat. tit. 5, § 1957(2)–(3) (2021) (requiring fossil-fuel divestment by January 1, 2026, </w:t>
      </w:r>
      <w:r w:rsidR="00B62085">
        <w:t>“</w:t>
      </w:r>
      <w:r>
        <w:t>in accordance with sound investment criteria and consistent with fiduciary obligations</w:t>
      </w:r>
      <w:r w:rsidR="00B62085">
        <w:t>”</w:t>
      </w:r>
      <w:r>
        <w:t xml:space="preserve">); Nora Doyle-Burr, </w:t>
      </w:r>
      <w:proofErr w:type="spellStart"/>
      <w:r>
        <w:rPr>
          <w:i/>
          <w:iCs/>
        </w:rPr>
        <w:t>MainePERS</w:t>
      </w:r>
      <w:proofErr w:type="spellEnd"/>
      <w:r>
        <w:rPr>
          <w:i/>
          <w:iCs/>
        </w:rPr>
        <w:t xml:space="preserve"> Misses 2026 Fossil Fuel Divestment Deadline</w:t>
      </w:r>
      <w:r>
        <w:t>, Me. Pub. Radio (Jan. 5, 2026), https://www.mainepublic.org/climate/2026-01-05/mainepers-misses-2026-fossil-fuel-divestment-deadline.</w:t>
      </w:r>
    </w:p>
  </w:footnote>
  <w:footnote w:id="210">
    <w:p w14:paraId="7368C385" w14:textId="77777777" w:rsidR="005F5ACD" w:rsidRDefault="00000000">
      <w:pPr>
        <w:pStyle w:val="FootnoteText"/>
      </w:pPr>
      <w:r>
        <w:rPr>
          <w:rStyle w:val="FootnoteReference"/>
        </w:rPr>
        <w:footnoteRef/>
      </w:r>
      <w:r>
        <w:t xml:space="preserve"> Oregon Treasury and Oregon Investment Council documents attribute the underperformance to private equity overweighting relative to OIC benchmark allocations; Treasurer Elizabeth Steiner stated that single-year performance does not capture long-term portfolio dynamics. The fossil-fuel-specific underperformance attribution made by advocacy organizations is not corroborated by Oregon Treasury or OIC documents. </w:t>
      </w:r>
      <w:r>
        <w:rPr>
          <w:i/>
          <w:iCs/>
        </w:rPr>
        <w:t>See</w:t>
      </w:r>
      <w:r>
        <w:t xml:space="preserve"> DivestOregon, </w:t>
      </w:r>
      <w:r>
        <w:rPr>
          <w:i/>
          <w:iCs/>
        </w:rPr>
        <w:t>Oregon Treasury Investment Practices and $3.7 Billion in PERS Retirement Fund Underperformance</w:t>
      </w:r>
      <w:r>
        <w:t xml:space="preserve"> (2025), https://www.divestoregon.org/oregon-treasury-investment-practices-and-3-7-billion-in-pers-retirement-fund-underperformance-a-review-of-2020-2025-private-equity-policy-noncompliance (advocacy source). The $3.7B figure is cited to flag the attribution dispute, not as affirmative evidence of divestment underperformance.</w:t>
      </w:r>
    </w:p>
  </w:footnote>
  <w:footnote w:id="211">
    <w:p w14:paraId="1521BE54" w14:textId="15A0EF16" w:rsidR="005F5ACD" w:rsidRDefault="00000000">
      <w:pPr>
        <w:pStyle w:val="FootnoteText"/>
      </w:pPr>
      <w:r>
        <w:rPr>
          <w:rStyle w:val="FootnoteReference"/>
        </w:rPr>
        <w:footnoteRef/>
      </w:r>
      <w:r>
        <w:t xml:space="preserve"> For the anti-superfluity canon, </w:t>
      </w:r>
      <w:r>
        <w:rPr>
          <w:i/>
          <w:iCs/>
        </w:rPr>
        <w:t>see</w:t>
      </w:r>
      <w:r>
        <w:t xml:space="preserve"> Antonin Scalia &amp; Bryan A. Garner, </w:t>
      </w:r>
      <w:r>
        <w:rPr>
          <w:i/>
          <w:iCs/>
        </w:rPr>
        <w:t>Reading Law: The Interpretation of Legal Texts</w:t>
      </w:r>
      <w:r>
        <w:t xml:space="preserve"> 174–79 (2012) (surplusage canon); </w:t>
      </w:r>
      <w:r>
        <w:rPr>
          <w:i/>
          <w:iCs/>
        </w:rPr>
        <w:t>Marx v. Gen. Revenue Corp.</w:t>
      </w:r>
      <w:r>
        <w:t xml:space="preserve">, 568 U.S. 371, 386 (2013) (canon </w:t>
      </w:r>
      <w:r w:rsidR="00B62085">
        <w:t>“</w:t>
      </w:r>
      <w:r>
        <w:t>assists only where a competing interpretation gives effect to every clause and word of a statute</w:t>
      </w:r>
      <w:r w:rsidR="00B62085">
        <w:t>”</w:t>
      </w:r>
      <w:r>
        <w:t>) (internal quotation omitted).</w:t>
      </w:r>
    </w:p>
  </w:footnote>
  <w:footnote w:id="212">
    <w:p w14:paraId="7901FDAA" w14:textId="6484D9F4" w:rsidR="005F5ACD" w:rsidRDefault="00000000">
      <w:pPr>
        <w:pStyle w:val="FootnoteText"/>
      </w:pPr>
      <w:r>
        <w:rPr>
          <w:rStyle w:val="FootnoteReference"/>
        </w:rPr>
        <w:footnoteRef/>
      </w:r>
      <w:r>
        <w:t xml:space="preserve"> 2020 Cal. Stat. ch. 316 (A.B. 979), codified at Cal. Corp. Code §§ 301.4, 2115.6; </w:t>
      </w:r>
      <w:r>
        <w:rPr>
          <w:i/>
          <w:iCs/>
        </w:rPr>
        <w:t>see also</w:t>
      </w:r>
      <w:r>
        <w:t xml:space="preserve"> Cal. Sec</w:t>
      </w:r>
      <w:r w:rsidR="00B62085">
        <w:t>’</w:t>
      </w:r>
      <w:r>
        <w:t xml:space="preserve">y of State, </w:t>
      </w:r>
      <w:r>
        <w:rPr>
          <w:i/>
          <w:iCs/>
        </w:rPr>
        <w:t>AB 979 Implementation</w:t>
      </w:r>
      <w:r>
        <w:t>. The statute required California-headquartered public corporations to seat at least one director from a designated underrepresented community on penalty of civil fines of $100,000 for the first violation and $300,000 for subsequent violations; it preserved no fiduciary-discretion savings clause.</w:t>
      </w:r>
    </w:p>
  </w:footnote>
  <w:footnote w:id="213">
    <w:p w14:paraId="5C6D559F" w14:textId="77777777" w:rsidR="005F5ACD" w:rsidRDefault="00000000">
      <w:pPr>
        <w:pStyle w:val="FootnoteText"/>
      </w:pPr>
      <w:r>
        <w:rPr>
          <w:rStyle w:val="FootnoteReference"/>
        </w:rPr>
        <w:footnoteRef/>
      </w:r>
      <w:r>
        <w:t xml:space="preserve"> </w:t>
      </w:r>
      <w:r>
        <w:rPr>
          <w:i/>
          <w:iCs/>
        </w:rPr>
        <w:t>Crest v. Padilla</w:t>
      </w:r>
      <w:r>
        <w:t>, No. 20STCV37513 (Cal. Super. Ct., L.A. Cnty. May 13, 2022) (invalidating AB 979 on California-state-equal-protection grounds; reporting infrastructure remained in effect post-judgment).</w:t>
      </w:r>
    </w:p>
  </w:footnote>
  <w:footnote w:id="214">
    <w:p w14:paraId="697AA022" w14:textId="77777777" w:rsidR="005F5ACD" w:rsidRDefault="00000000">
      <w:pPr>
        <w:pStyle w:val="FootnoteText"/>
      </w:pPr>
      <w:r>
        <w:rPr>
          <w:rStyle w:val="FootnoteReference"/>
        </w:rPr>
        <w:footnoteRef/>
      </w:r>
      <w:r>
        <w:t xml:space="preserve"> 805 Ill. Comp. Stat. 5/8.12 (HB 3394, 2019) (annual board demographic and DEI-policy reporting for Illinois public corporations); 805 Ill. Comp. Stat. 5/8.12, as amended by Ill. Pub. Act 102-0223 (SB 1730, 2021) (extending reporting to sexual-orientation and gender-identity self-identification). The Illinois architecture is compelled-disclosure rather than composition-mandate; it is noted here to mark the state-parallel architecture rather than as an additional categorical-mandate exemplar.</w:t>
      </w:r>
    </w:p>
  </w:footnote>
  <w:footnote w:id="215">
    <w:p w14:paraId="205E1D5B" w14:textId="77777777" w:rsidR="005F5ACD" w:rsidRDefault="00000000">
      <w:pPr>
        <w:pStyle w:val="FootnoteText"/>
      </w:pPr>
      <w:r>
        <w:rPr>
          <w:rStyle w:val="FootnoteReference"/>
        </w:rPr>
        <w:footnoteRef/>
      </w:r>
      <w:r>
        <w:t xml:space="preserve"> 2023 Cal. Stat. ch. 382 (S.B. 253), codified at Cal. Health &amp; Safety Code § 38532. The statute requires audited Scope 1, Scope 2, and Scope 3 disclosure under standardized frameworks.</w:t>
      </w:r>
    </w:p>
  </w:footnote>
  <w:footnote w:id="216">
    <w:p w14:paraId="55990034" w14:textId="77777777" w:rsidR="005F5ACD" w:rsidRDefault="00000000">
      <w:pPr>
        <w:pStyle w:val="FootnoteText"/>
      </w:pPr>
      <w:r>
        <w:rPr>
          <w:rStyle w:val="FootnoteReference"/>
        </w:rPr>
        <w:footnoteRef/>
      </w:r>
      <w:r>
        <w:t xml:space="preserve"> 2023 Cal. Stat. ch. 383 (S.B. 261), codified at Cal. Health &amp; Safety Code § 38533. The statute requires narrative disclosure of climate-related financial risk under TCFD-style frameworks.</w:t>
      </w:r>
    </w:p>
  </w:footnote>
  <w:footnote w:id="217">
    <w:p w14:paraId="69A9A40E" w14:textId="77777777" w:rsidR="005F5ACD" w:rsidRDefault="00000000">
      <w:pPr>
        <w:pStyle w:val="FootnoteText"/>
      </w:pPr>
      <w:r>
        <w:rPr>
          <w:rStyle w:val="FootnoteReference"/>
        </w:rPr>
        <w:footnoteRef/>
      </w:r>
      <w:r>
        <w:t xml:space="preserve"> </w:t>
      </w:r>
      <w:r>
        <w:rPr>
          <w:i/>
          <w:iCs/>
        </w:rPr>
        <w:t>Chamber of Commerce of the United States v. Sanchez</w:t>
      </w:r>
      <w:r>
        <w:t xml:space="preserve">, No. 25-5327 (9th Cir. 2025) (appeal from No. 2:24-cv-00801-ODW-PVC (C.D. Cal.)); Order Granting in Part and Denying in Part Motion for Injunction Pending Appeal, </w:t>
      </w:r>
      <w:r>
        <w:rPr>
          <w:i/>
          <w:iCs/>
        </w:rPr>
        <w:t>Chamber of Commerce of the United States v. Sanchez</w:t>
      </w:r>
      <w:r>
        <w:t xml:space="preserve">, No. 25-5327 (9th Cir. Nov. 18, 2025). For current enforcement posture, see Cal. Air Res. Bd., </w:t>
      </w:r>
      <w:r>
        <w:rPr>
          <w:i/>
          <w:iCs/>
        </w:rPr>
        <w:t>SB 261 Enforcement Advisory</w:t>
      </w:r>
      <w:r>
        <w:t xml:space="preserve"> (Dec. 1, 2025), https://ww2.arb.ca.gov/sites/default/files/2025-12/Dec%201%20SB%20261%20Enforcement%20Advisory.pdf (suspending CARB enforcement of Health &amp; Safety Code § 38533 during pendency of the Ninth Circuit injunction).</w:t>
      </w:r>
    </w:p>
  </w:footnote>
  <w:footnote w:id="218">
    <w:p w14:paraId="2C078CC5" w14:textId="77777777" w:rsidR="005F5ACD" w:rsidRDefault="00000000">
      <w:pPr>
        <w:pStyle w:val="FootnoteText"/>
      </w:pPr>
      <w:r>
        <w:rPr>
          <w:rStyle w:val="FootnoteReference"/>
        </w:rPr>
        <w:footnoteRef/>
      </w:r>
      <w:r>
        <w:t xml:space="preserve"> Me. Rev. Stat. tit. 5, § 1957(1) (defining fossil-fuel company); </w:t>
      </w:r>
      <w:r>
        <w:rPr>
          <w:i/>
          <w:iCs/>
        </w:rPr>
        <w:t>id.</w:t>
      </w:r>
      <w:r>
        <w:t xml:space="preserve"> § 1957(2) (divestment requirement); </w:t>
      </w:r>
      <w:r>
        <w:rPr>
          <w:i/>
          <w:iCs/>
        </w:rPr>
        <w:t>id.</w:t>
      </w:r>
      <w:r>
        <w:t xml:space="preserve"> § 1957(3) (sound-investment and fiduciary carveout); </w:t>
      </w:r>
      <w:r>
        <w:rPr>
          <w:i/>
          <w:iCs/>
        </w:rPr>
        <w:t>id.</w:t>
      </w:r>
      <w:r>
        <w:t xml:space="preserve"> § 1957(4) (de minimis exposure permitted).</w:t>
      </w:r>
    </w:p>
  </w:footnote>
  <w:footnote w:id="219">
    <w:p w14:paraId="38B039AF" w14:textId="3985E107" w:rsidR="005F5ACD" w:rsidRDefault="00000000">
      <w:pPr>
        <w:pStyle w:val="FootnoteText"/>
      </w:pPr>
      <w:r>
        <w:rPr>
          <w:rStyle w:val="FootnoteReference"/>
        </w:rPr>
        <w:footnoteRef/>
      </w:r>
      <w:r>
        <w:t xml:space="preserve"> Memorandum from Me. Off. of the </w:t>
      </w:r>
      <w:proofErr w:type="spellStart"/>
      <w:r>
        <w:t>Att</w:t>
      </w:r>
      <w:r w:rsidR="00B62085">
        <w:t>’</w:t>
      </w:r>
      <w:r>
        <w:t>y</w:t>
      </w:r>
      <w:proofErr w:type="spellEnd"/>
      <w:r>
        <w:t xml:space="preserve"> Gen. to MainePERS (Dec. 8, 2022) (cited and quoted in Me. Pub. Emps. Ret. Sys., </w:t>
      </w:r>
      <w:r>
        <w:rPr>
          <w:i/>
          <w:iCs/>
        </w:rPr>
        <w:t>P.L. 2021, c. 231 Divestment Report</w:t>
      </w:r>
      <w:r>
        <w:t xml:space="preserve"> 3–4 (Jan. 2026)).</w:t>
      </w:r>
    </w:p>
  </w:footnote>
  <w:footnote w:id="220">
    <w:p w14:paraId="5BA1B96D" w14:textId="77777777" w:rsidR="005F5ACD" w:rsidRDefault="00000000">
      <w:pPr>
        <w:pStyle w:val="FootnoteText"/>
      </w:pPr>
      <w:r>
        <w:rPr>
          <w:rStyle w:val="FootnoteReference"/>
        </w:rPr>
        <w:footnoteRef/>
      </w:r>
      <w:r>
        <w:t xml:space="preserve"> Me. Pub. Emps. Ret. Sys., </w:t>
      </w:r>
      <w:r>
        <w:rPr>
          <w:i/>
          <w:iCs/>
        </w:rPr>
        <w:t>P.L. 2021, c. 231 Divestment Report</w:t>
      </w:r>
      <w:r>
        <w:t xml:space="preserve"> 3–4, 18–19 (Jan. 2026); </w:t>
      </w:r>
      <w:r>
        <w:rPr>
          <w:i/>
          <w:iCs/>
        </w:rPr>
        <w:t>MainePERS Misses 2026 Fossil Fuel Divestment Deadline</w:t>
      </w:r>
      <w:r>
        <w:t>, Me. Pub. Radio (Jan. 5, 2026), https://www.mainepublic.org/climate/2026-01-05/mainepers-misses-2026-fossil-fuel-divestment-deadline.</w:t>
      </w:r>
    </w:p>
  </w:footnote>
  <w:footnote w:id="221">
    <w:p w14:paraId="6653760B" w14:textId="77777777" w:rsidR="005F5ACD" w:rsidRDefault="00000000">
      <w:pPr>
        <w:pStyle w:val="FootnoteText"/>
      </w:pPr>
      <w:r>
        <w:rPr>
          <w:rStyle w:val="FootnoteReference"/>
        </w:rPr>
        <w:footnoteRef/>
      </w:r>
      <w:r>
        <w:t xml:space="preserve"> Me. Pub. Emps. Ret. Sys., </w:t>
      </w:r>
      <w:r>
        <w:rPr>
          <w:i/>
          <w:iCs/>
        </w:rPr>
        <w:t>P.L. 2021, c. 231 Divestment Report</w:t>
      </w:r>
      <w:r>
        <w:t xml:space="preserve"> 18–19 (Jan. 2026).</w:t>
      </w:r>
    </w:p>
  </w:footnote>
  <w:footnote w:id="222">
    <w:p w14:paraId="2AE46FF8" w14:textId="5FD734A7" w:rsidR="005F5ACD" w:rsidRDefault="00000000">
      <w:pPr>
        <w:pStyle w:val="FootnoteText"/>
      </w:pPr>
      <w:r>
        <w:rPr>
          <w:rStyle w:val="FootnoteReference"/>
        </w:rPr>
        <w:footnoteRef/>
      </w:r>
      <w:r>
        <w:t xml:space="preserve"> For the Vanguard portion, see Settlement Agreement, </w:t>
      </w:r>
      <w:r>
        <w:rPr>
          <w:i/>
          <w:iCs/>
        </w:rPr>
        <w:t>State of Texas et al. v. Blackrock, Inc., State Street Corporation, and The Vanguard Group, Inc.</w:t>
      </w:r>
      <w:r>
        <w:t xml:space="preserve">, No. 6:24-cv-00437-JDK (E.D. Tex. Feb. 25, 2026) ($29.5 million settlement; five-year passivity and stewardship commitments; Vanguard denies wrongdoing); TN </w:t>
      </w:r>
      <w:proofErr w:type="spellStart"/>
      <w:r>
        <w:t>Att</w:t>
      </w:r>
      <w:r w:rsidR="00B62085">
        <w:t>’</w:t>
      </w:r>
      <w:r>
        <w:t>y</w:t>
      </w:r>
      <w:proofErr w:type="spellEnd"/>
      <w:r>
        <w:t xml:space="preserve"> Gen., press release announcing January 2025 BlackRock resolution (enhanced-transparency and financial-interest voting commitments).</w:t>
      </w:r>
    </w:p>
  </w:footnote>
  <w:footnote w:id="223">
    <w:p w14:paraId="18A84D1F" w14:textId="77777777" w:rsidR="005F5ACD" w:rsidRDefault="00000000">
      <w:pPr>
        <w:pStyle w:val="FootnoteText"/>
      </w:pPr>
      <w:r>
        <w:rPr>
          <w:rStyle w:val="FootnoteReference"/>
        </w:rPr>
        <w:footnoteRef/>
      </w:r>
      <w:r>
        <w:t xml:space="preserve"> Cnty. Emps. Ret. Sys. (Ky.), </w:t>
      </w:r>
      <w:r>
        <w:rPr>
          <w:i/>
          <w:iCs/>
        </w:rPr>
        <w:t>Special Called Board Meeting Materials</w:t>
      </w:r>
      <w:r>
        <w:t xml:space="preserve"> 48 (Feb. 8, 2023); Davis Polk &amp; Wardwell LLP, </w:t>
      </w:r>
      <w:r>
        <w:rPr>
          <w:i/>
          <w:iCs/>
        </w:rPr>
        <w:t>State ESG Legislation Tracker</w:t>
      </w:r>
      <w:r>
        <w:t xml:space="preserve"> (updated Feb. 9, 2026) (Kentucky entry, summarizing CERS determination); Ky. Rev. Stat. § 41.474(3) (statutory fiduciary-inconsistency exception).</w:t>
      </w:r>
    </w:p>
  </w:footnote>
  <w:footnote w:id="224">
    <w:p w14:paraId="0BA35171" w14:textId="0461C232" w:rsidR="005F5ACD" w:rsidRDefault="00000000">
      <w:pPr>
        <w:pStyle w:val="FootnoteText"/>
      </w:pPr>
      <w:r>
        <w:rPr>
          <w:rStyle w:val="FootnoteReference"/>
        </w:rPr>
        <w:footnoteRef/>
      </w:r>
      <w:r>
        <w:t xml:space="preserve"> Ill. Pub. Act 103-0468 (S.B. 2152), codified in relevant part at 40 Ill. Comp. Stat. 5/15-177.5, 5/15-177.6, 5/16-188, 5/16-189, 5/22A-113.4, 5/22A-113.5 (proxy-voting management and annual proxy-guidelines / sustainability-factor reporting duties). The cited provisions impose reporting architecture rather than the Anti-side</w:t>
      </w:r>
      <w:r w:rsidR="00B62085">
        <w:t>’</w:t>
      </w:r>
      <w:r>
        <w:t>s asymmetric written-financial-analysis duty.</w:t>
      </w:r>
    </w:p>
  </w:footnote>
  <w:footnote w:id="225">
    <w:p w14:paraId="137811DA" w14:textId="46752F69" w:rsidR="005F5ACD" w:rsidRDefault="00000000">
      <w:pPr>
        <w:pStyle w:val="FootnoteText"/>
      </w:pPr>
      <w:r>
        <w:rPr>
          <w:rStyle w:val="FootnoteReference"/>
        </w:rPr>
        <w:footnoteRef/>
      </w:r>
      <w:r>
        <w:t xml:space="preserve"> </w:t>
      </w:r>
      <w:r>
        <w:rPr>
          <w:i/>
          <w:iCs/>
        </w:rPr>
        <w:t>W. Va. State Bd. of Educ. v. Barnette</w:t>
      </w:r>
      <w:r>
        <w:t>, 319 U.S. 624, 642 (1943) (</w:t>
      </w:r>
      <w:r w:rsidR="00B62085">
        <w:t>“</w:t>
      </w:r>
      <w:r>
        <w:t>no official can prescribe what shall be orthodox in politics, nationalism, religion, or other matters of opinion</w:t>
      </w:r>
      <w:r w:rsidR="00B62085">
        <w:t>”</w:t>
      </w:r>
      <w:r>
        <w:t>).</w:t>
      </w:r>
    </w:p>
  </w:footnote>
  <w:footnote w:id="226">
    <w:p w14:paraId="00519BB6" w14:textId="77777777" w:rsidR="005F5ACD" w:rsidRDefault="00000000">
      <w:pPr>
        <w:pStyle w:val="FootnoteText"/>
      </w:pPr>
      <w:r>
        <w:rPr>
          <w:rStyle w:val="FootnoteReference"/>
        </w:rPr>
        <w:footnoteRef/>
      </w:r>
      <w:r>
        <w:t xml:space="preserve"> </w:t>
      </w:r>
      <w:r>
        <w:rPr>
          <w:i/>
          <w:iCs/>
        </w:rPr>
        <w:t>SIFMA</w:t>
      </w:r>
      <w:r>
        <w:t xml:space="preserve">, 745 F. Supp. 3d at 793–94, 798–801 (First Amendment, NSMIA preemption, vagueness; appeal abandoned Oct. 7, 2024); </w:t>
      </w:r>
      <w:r>
        <w:rPr>
          <w:i/>
          <w:iCs/>
        </w:rPr>
        <w:t>Chamber of Com. v. Cal. Air Res. Bd.</w:t>
      </w:r>
      <w:r>
        <w:t xml:space="preserve">, No. 2:24-cv-00801 (C.D. Cal.) (SB 261 Ninth Circuit-enjoined as of Nov. 18, 2025); </w:t>
      </w:r>
      <w:r>
        <w:rPr>
          <w:i/>
          <w:iCs/>
        </w:rPr>
        <w:t>ASBC</w:t>
      </w:r>
      <w:r>
        <w:t xml:space="preserve">, 2026 U.S. Dist. LEXIS 22918 (SB 13 facially overbroad and unconstitutionally vague); </w:t>
      </w:r>
      <w:r>
        <w:rPr>
          <w:i/>
          <w:iCs/>
        </w:rPr>
        <w:t>Keenan</w:t>
      </w:r>
      <w:r>
        <w:t xml:space="preserve">, 2026 OK 20, ¶ 60 (EDEA unconstitutional under Art. XXIII, § 12); </w:t>
      </w:r>
      <w:r>
        <w:rPr>
          <w:i/>
          <w:iCs/>
        </w:rPr>
        <w:t>Bantam Books, Inc. v. Sullivan</w:t>
      </w:r>
      <w:r>
        <w:t xml:space="preserve">, 372 U.S. 58, 67 (1963); </w:t>
      </w:r>
      <w:r>
        <w:rPr>
          <w:i/>
          <w:iCs/>
        </w:rPr>
        <w:t>NRA v. Vullo</w:t>
      </w:r>
      <w:r>
        <w:t>, 602 U.S. 175, 187–90 (2024) (state officials may not coerce regulated intermediaries to suppress disfavored views).</w:t>
      </w:r>
    </w:p>
  </w:footnote>
  <w:footnote w:id="227">
    <w:p w14:paraId="55CF3B7B" w14:textId="6C6905D2" w:rsidR="005F5ACD" w:rsidRDefault="00000000">
      <w:pPr>
        <w:pStyle w:val="FootnoteText"/>
      </w:pPr>
      <w:r>
        <w:rPr>
          <w:rStyle w:val="FootnoteReference"/>
        </w:rPr>
        <w:footnoteRef/>
      </w:r>
      <w:r>
        <w:t xml:space="preserve"> Tex. Gov</w:t>
      </w:r>
      <w:r w:rsidR="00B62085">
        <w:t>’</w:t>
      </w:r>
      <w:r>
        <w:t xml:space="preserve">t Code § 809.001(1) (defining </w:t>
      </w:r>
      <w:r w:rsidR="00B62085">
        <w:t>“</w:t>
      </w:r>
      <w:r>
        <w:t>boycott energy company</w:t>
      </w:r>
      <w:r w:rsidR="00B62085">
        <w:t>”</w:t>
      </w:r>
      <w:r>
        <w:t xml:space="preserve"> to exclude actions taken </w:t>
      </w:r>
      <w:r w:rsidR="00B62085">
        <w:t>“</w:t>
      </w:r>
      <w:r>
        <w:t>for ordinary business purposes</w:t>
      </w:r>
      <w:r w:rsidR="00B62085">
        <w:t>”</w:t>
      </w:r>
      <w:r>
        <w:t xml:space="preserve">); W. Va. Code § 12-1A-1(2) (employing the same </w:t>
      </w:r>
      <w:r w:rsidR="00B62085">
        <w:t>“</w:t>
      </w:r>
      <w:r>
        <w:t>ordinary business purposes</w:t>
      </w:r>
      <w:r w:rsidR="00B62085">
        <w:t>”</w:t>
      </w:r>
      <w:r>
        <w:t xml:space="preserve"> formulation); Okla. Stat. tit. 74, § 12001(2) (exempting conduct undertaken </w:t>
      </w:r>
      <w:r w:rsidR="00B62085">
        <w:t>“</w:t>
      </w:r>
      <w:r>
        <w:t>for the sole purpose of complying with the financial fiduciary responsibility of the financial company</w:t>
      </w:r>
      <w:r w:rsidR="00B62085">
        <w:t>”</w:t>
      </w:r>
      <w:r>
        <w:t>).</w:t>
      </w:r>
    </w:p>
  </w:footnote>
  <w:footnote w:id="228">
    <w:p w14:paraId="0A29B787" w14:textId="56EEA8D6" w:rsidR="005F5ACD" w:rsidRDefault="00000000">
      <w:pPr>
        <w:pStyle w:val="FootnoteText"/>
      </w:pPr>
      <w:r>
        <w:rPr>
          <w:rStyle w:val="FootnoteReference"/>
        </w:rPr>
        <w:footnoteRef/>
      </w:r>
      <w:r>
        <w:t xml:space="preserve"> </w:t>
      </w:r>
      <w:r>
        <w:rPr>
          <w:i/>
          <w:iCs/>
        </w:rPr>
        <w:t>Am. Sustainable Bus. Council v. Hegar</w:t>
      </w:r>
      <w:r>
        <w:t>, No. 1:24-cv-01010 (W.D. Tex. Feb. 4, 2026) (declaring Texas SB 13 facially overbroad and unconstitutionally vague under the First and Fourteenth Amendments and rejecting Texas</w:t>
      </w:r>
      <w:r w:rsidR="00B62085">
        <w:t>’</w:t>
      </w:r>
      <w:r>
        <w:t>s reliance on the ordinary-business-purpose limitation as sufficient to cabin the statute</w:t>
      </w:r>
      <w:r w:rsidR="00B62085">
        <w:t>’</w:t>
      </w:r>
      <w:r>
        <w:t>s reach).</w:t>
      </w:r>
    </w:p>
  </w:footnote>
  <w:footnote w:id="229">
    <w:p w14:paraId="7D726FBC" w14:textId="1FDD224F" w:rsidR="005F5ACD" w:rsidRDefault="00000000">
      <w:pPr>
        <w:pStyle w:val="FootnoteText"/>
      </w:pPr>
      <w:r>
        <w:rPr>
          <w:rStyle w:val="FootnoteReference"/>
        </w:rPr>
        <w:footnoteRef/>
      </w:r>
      <w:r>
        <w:t xml:space="preserve"> </w:t>
      </w:r>
      <w:r>
        <w:rPr>
          <w:i/>
          <w:iCs/>
        </w:rPr>
        <w:t>Keenan v. Russ</w:t>
      </w:r>
      <w:r>
        <w:t xml:space="preserve">, 2026 OK 20 ¶ 60 (Okla. Apr. 7, 2026) (holding that the Energy Discrimination Elimination Act, as applied to OPERS, </w:t>
      </w:r>
      <w:r w:rsidR="00B62085">
        <w:t>“</w:t>
      </w:r>
      <w:r>
        <w:t>creates a dual purpose for OPERS investment decisions as opposed to the exclusive purpose the Oklahoma Constitution requires</w:t>
      </w:r>
      <w:r w:rsidR="00B62085">
        <w:t>”</w:t>
      </w:r>
      <w:r>
        <w:t>; rejecting the State</w:t>
      </w:r>
      <w:r w:rsidR="00B62085">
        <w:t>’</w:t>
      </w:r>
      <w:r>
        <w:t>s argument that the statute</w:t>
      </w:r>
      <w:r w:rsidR="00B62085">
        <w:t>’</w:t>
      </w:r>
      <w:r>
        <w:t>s purported financial-fiduciary purpose preserved compliance with Article XXIII, Section 12</w:t>
      </w:r>
      <w:r w:rsidR="00B62085">
        <w:t>’</w:t>
      </w:r>
      <w:r>
        <w:t xml:space="preserve">s exclusive-benefit command); </w:t>
      </w:r>
      <w:r>
        <w:rPr>
          <w:i/>
          <w:iCs/>
        </w:rPr>
        <w:t>see also</w:t>
      </w:r>
      <w:r>
        <w:t xml:space="preserve"> Okla. Const. art. XXIII, § 12.</w:t>
      </w:r>
    </w:p>
  </w:footnote>
  <w:footnote w:id="230">
    <w:p w14:paraId="2A357A42" w14:textId="77777777" w:rsidR="005F5ACD" w:rsidRDefault="00000000">
      <w:pPr>
        <w:pStyle w:val="FootnoteText"/>
      </w:pPr>
      <w:r>
        <w:rPr>
          <w:rStyle w:val="FootnoteReference"/>
        </w:rPr>
        <w:footnoteRef/>
      </w:r>
      <w:r>
        <w:t xml:space="preserve"> Garrett &amp; Ivanov, </w:t>
      </w:r>
      <w:r>
        <w:rPr>
          <w:i/>
          <w:iCs/>
        </w:rPr>
        <w:t>supra</w:t>
      </w:r>
      <w:r>
        <w:t xml:space="preserve"> note 5, at 4, 8, 12 (five major underwriters exited the Texas municipal-bond market after Texas SBs 13 and 19; additional borrowing costs of $300–500 million on $31.8 billion of bond issuance in the first eight months; mechanism: simultaneous loss of intermediaries produced yield increases up to roughly thirty-eight to forty-one basis points for the most-exposed issuers).</w:t>
      </w:r>
    </w:p>
  </w:footnote>
  <w:footnote w:id="231">
    <w:p w14:paraId="609FEC4C" w14:textId="77777777" w:rsidR="005F5ACD" w:rsidRDefault="00000000">
      <w:pPr>
        <w:pStyle w:val="FootnoteText"/>
      </w:pPr>
      <w:r>
        <w:rPr>
          <w:rStyle w:val="FootnoteReference"/>
        </w:rPr>
        <w:footnoteRef/>
      </w:r>
      <w:r>
        <w:t xml:space="preserve"> </w:t>
      </w:r>
      <w:r>
        <w:rPr>
          <w:i/>
          <w:iCs/>
        </w:rPr>
        <w:t>See</w:t>
      </w:r>
      <w:r>
        <w:t xml:space="preserve"> Schanzenbach &amp; Sitkoff, </w:t>
      </w:r>
      <w:r>
        <w:rPr>
          <w:i/>
          <w:iCs/>
        </w:rPr>
        <w:t>Reconciling Fiduciary Duty</w:t>
      </w:r>
      <w:r>
        <w:t xml:space="preserve">, </w:t>
      </w:r>
      <w:r>
        <w:rPr>
          <w:i/>
          <w:iCs/>
        </w:rPr>
        <w:t>supra</w:t>
      </w:r>
      <w:r>
        <w:t xml:space="preserve"> note 13 (pecuniary-factor framework as baseline fiduciary standard against which state legislative departures are measured).</w:t>
      </w:r>
    </w:p>
  </w:footnote>
  <w:footnote w:id="232">
    <w:p w14:paraId="723913E5" w14:textId="52BA5CA9" w:rsidR="005F5ACD" w:rsidRDefault="00000000">
      <w:pPr>
        <w:pStyle w:val="FootnoteText"/>
      </w:pPr>
      <w:r>
        <w:rPr>
          <w:rStyle w:val="FootnoteReference"/>
        </w:rPr>
        <w:footnoteRef/>
      </w:r>
      <w:r>
        <w:t xml:space="preserve"> </w:t>
      </w:r>
      <w:r>
        <w:rPr>
          <w:i/>
          <w:iCs/>
        </w:rPr>
        <w:t>Sorrell v. IMS Health Inc.</w:t>
      </w:r>
      <w:r>
        <w:t>, 564 U.S. 552, 570 (2011) (</w:t>
      </w:r>
      <w:r w:rsidR="00B62085">
        <w:t>“</w:t>
      </w:r>
      <w:r>
        <w:t>[T]he creation and dissemination of information are speech within the meaning of the First Amendment.</w:t>
      </w:r>
      <w:r w:rsidR="00B62085">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E74727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20F93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0"/>
    <w:multiLevelType w:val="multilevel"/>
    <w:tmpl w:val="500A18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0" w15:restartNumberingAfterBreak="0">
    <w:nsid w:val="0000A991"/>
    <w:multiLevelType w:val="multilevel"/>
    <w:tmpl w:val="1F08FF8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00A99411"/>
    <w:multiLevelType w:val="multilevel"/>
    <w:tmpl w:val="0E9A80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0A99611"/>
    <w:multiLevelType w:val="multilevel"/>
    <w:tmpl w:val="6BDA1AEE"/>
    <w:lvl w:ilvl="0">
      <w:start w:val="1"/>
      <w:numFmt w:val="upperRoman"/>
      <w:lvlText w:val="%1."/>
      <w:lvlJc w:val="left"/>
      <w:pPr>
        <w:ind w:left="720" w:hanging="360"/>
      </w:pPr>
    </w:lvl>
    <w:lvl w:ilvl="1">
      <w:start w:val="1"/>
      <w:numFmt w:val="upperRoman"/>
      <w:lvlText w:val="%2."/>
      <w:lvlJc w:val="left"/>
      <w:pPr>
        <w:ind w:left="1440" w:hanging="360"/>
      </w:pPr>
    </w:lvl>
    <w:lvl w:ilvl="2">
      <w:start w:val="1"/>
      <w:numFmt w:val="upperRoman"/>
      <w:lvlText w:val="%3."/>
      <w:lvlJc w:val="left"/>
      <w:pPr>
        <w:ind w:left="2160" w:hanging="360"/>
      </w:pPr>
    </w:lvl>
    <w:lvl w:ilvl="3">
      <w:start w:val="1"/>
      <w:numFmt w:val="upperRoman"/>
      <w:lvlText w:val="%4."/>
      <w:lvlJc w:val="left"/>
      <w:pPr>
        <w:ind w:left="2880" w:hanging="360"/>
      </w:pPr>
    </w:lvl>
    <w:lvl w:ilvl="4">
      <w:start w:val="1"/>
      <w:numFmt w:val="upperRoman"/>
      <w:lvlText w:val="%5."/>
      <w:lvlJc w:val="left"/>
      <w:pPr>
        <w:ind w:left="3600" w:hanging="360"/>
      </w:pPr>
    </w:lvl>
    <w:lvl w:ilvl="5">
      <w:start w:val="1"/>
      <w:numFmt w:val="upperRoman"/>
      <w:lvlText w:val="%6."/>
      <w:lvlJc w:val="left"/>
      <w:pPr>
        <w:ind w:left="4320" w:hanging="360"/>
      </w:pPr>
    </w:lvl>
    <w:lvl w:ilvl="6">
      <w:start w:val="1"/>
      <w:numFmt w:val="upperRoman"/>
      <w:lvlText w:val="%7."/>
      <w:lvlJc w:val="left"/>
      <w:pPr>
        <w:ind w:left="5040" w:hanging="360"/>
      </w:pPr>
    </w:lvl>
    <w:lvl w:ilvl="7">
      <w:start w:val="1"/>
      <w:numFmt w:val="upperRoman"/>
      <w:lvlText w:val="%8."/>
      <w:lvlJc w:val="left"/>
      <w:pPr>
        <w:ind w:left="5760" w:hanging="360"/>
      </w:pPr>
    </w:lvl>
    <w:lvl w:ilvl="8">
      <w:start w:val="1"/>
      <w:numFmt w:val="upperRoman"/>
      <w:lvlText w:val="%9."/>
      <w:lvlJc w:val="left"/>
      <w:pPr>
        <w:ind w:left="6480" w:hanging="360"/>
      </w:pPr>
    </w:lvl>
  </w:abstractNum>
  <w:abstractNum w:abstractNumId="13" w15:restartNumberingAfterBreak="0">
    <w:nsid w:val="10007FD5"/>
    <w:multiLevelType w:val="hybridMultilevel"/>
    <w:tmpl w:val="B93A73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F625A6"/>
    <w:multiLevelType w:val="hybridMultilevel"/>
    <w:tmpl w:val="07F6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2295"/>
    <w:multiLevelType w:val="hybridMultilevel"/>
    <w:tmpl w:val="D318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70568"/>
    <w:multiLevelType w:val="hybridMultilevel"/>
    <w:tmpl w:val="0318189A"/>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C8B2945"/>
    <w:multiLevelType w:val="hybridMultilevel"/>
    <w:tmpl w:val="CE70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67302">
    <w:abstractNumId w:val="9"/>
  </w:num>
  <w:num w:numId="2" w16cid:durableId="1716541549">
    <w:abstractNumId w:val="10"/>
  </w:num>
  <w:num w:numId="3" w16cid:durableId="1561282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6779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689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229081">
    <w:abstractNumId w:val="9"/>
  </w:num>
  <w:num w:numId="7" w16cid:durableId="652029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38159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999928">
    <w:abstractNumId w:val="10"/>
  </w:num>
  <w:num w:numId="10" w16cid:durableId="74520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3678504">
    <w:abstractNumId w:val="8"/>
  </w:num>
  <w:num w:numId="12" w16cid:durableId="837695426">
    <w:abstractNumId w:val="6"/>
  </w:num>
  <w:num w:numId="13" w16cid:durableId="1154641636">
    <w:abstractNumId w:val="5"/>
  </w:num>
  <w:num w:numId="14" w16cid:durableId="1447964572">
    <w:abstractNumId w:val="4"/>
  </w:num>
  <w:num w:numId="15" w16cid:durableId="333846088">
    <w:abstractNumId w:val="7"/>
  </w:num>
  <w:num w:numId="16" w16cid:durableId="1037467418">
    <w:abstractNumId w:val="3"/>
  </w:num>
  <w:num w:numId="17" w16cid:durableId="1279793737">
    <w:abstractNumId w:val="2"/>
  </w:num>
  <w:num w:numId="18" w16cid:durableId="1899197664">
    <w:abstractNumId w:val="1"/>
  </w:num>
  <w:num w:numId="19" w16cid:durableId="1576163485">
    <w:abstractNumId w:val="0"/>
  </w:num>
  <w:num w:numId="20" w16cid:durableId="1138499323">
    <w:abstractNumId w:val="14"/>
  </w:num>
  <w:num w:numId="21" w16cid:durableId="1859342847">
    <w:abstractNumId w:val="17"/>
  </w:num>
  <w:num w:numId="22" w16cid:durableId="1471094103">
    <w:abstractNumId w:val="15"/>
  </w:num>
  <w:num w:numId="23" w16cid:durableId="1881621810">
    <w:abstractNumId w:val="13"/>
  </w:num>
  <w:num w:numId="24" w16cid:durableId="3620236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C3"/>
    <w:rsid w:val="0004219F"/>
    <w:rsid w:val="0006423C"/>
    <w:rsid w:val="000669D1"/>
    <w:rsid w:val="001125DB"/>
    <w:rsid w:val="00191524"/>
    <w:rsid w:val="001A3FB3"/>
    <w:rsid w:val="002556C3"/>
    <w:rsid w:val="00267DE5"/>
    <w:rsid w:val="002E4FB7"/>
    <w:rsid w:val="003C691D"/>
    <w:rsid w:val="00415D86"/>
    <w:rsid w:val="0044669D"/>
    <w:rsid w:val="00452359"/>
    <w:rsid w:val="0046034B"/>
    <w:rsid w:val="004B1ABF"/>
    <w:rsid w:val="00553411"/>
    <w:rsid w:val="005E1812"/>
    <w:rsid w:val="005F5ACD"/>
    <w:rsid w:val="00640D82"/>
    <w:rsid w:val="00676FC6"/>
    <w:rsid w:val="006D34CD"/>
    <w:rsid w:val="006F14C8"/>
    <w:rsid w:val="007979D3"/>
    <w:rsid w:val="007E5121"/>
    <w:rsid w:val="008164A7"/>
    <w:rsid w:val="00916642"/>
    <w:rsid w:val="00933885"/>
    <w:rsid w:val="00AA61C3"/>
    <w:rsid w:val="00AC7CF2"/>
    <w:rsid w:val="00B20F3D"/>
    <w:rsid w:val="00B550D5"/>
    <w:rsid w:val="00B62085"/>
    <w:rsid w:val="00BB1F3B"/>
    <w:rsid w:val="00C44669"/>
    <w:rsid w:val="00CD6591"/>
    <w:rsid w:val="00DF6356"/>
    <w:rsid w:val="00E0077A"/>
    <w:rsid w:val="00E160B7"/>
    <w:rsid w:val="00E24C2D"/>
    <w:rsid w:val="00EB6006"/>
    <w:rsid w:val="00ED6732"/>
    <w:rsid w:val="00F0509A"/>
    <w:rsid w:val="00F07281"/>
    <w:rsid w:val="00F24E0A"/>
    <w:rsid w:val="00F3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6A4C"/>
  <w15:docId w15:val="{3E0C35A9-03C7-7D4E-9ED9-DE145274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eader" w:uiPriority="99"/>
    <w:lsdException w:name="footer" w:uiPriority="99"/>
    <w:lsdException w:name="caption" w:uiPriority="35" w:qFormat="1"/>
    <w:lsdException w:name="macro" w:uiPriority="99"/>
    <w:lsdException w:name="List" w:uiPriority="99"/>
    <w:lsdException w:name="List Bullet" w:uiPriority="99"/>
    <w:lsdException w:name="List Number"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Body Text" w:uiPriority="99"/>
    <w:lsdException w:name="List Continue" w:uiPriority="99"/>
    <w:lsdException w:name="List Continue 2" w:uiPriority="99"/>
    <w:lsdException w:name="List Continue 3" w:uiPriority="99"/>
    <w:lsdException w:name="Body Text 2" w:uiPriority="99"/>
    <w:lsdException w:name="Body Tex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480" w:lineRule="auto"/>
      <w:ind w:firstLine="720"/>
    </w:pPr>
  </w:style>
  <w:style w:type="paragraph" w:styleId="Heading1">
    <w:name w:val="heading 1"/>
    <w:basedOn w:val="Heading2"/>
    <w:next w:val="BodyText"/>
    <w:link w:val="Heading1Char"/>
    <w:uiPriority w:val="9"/>
    <w:qFormat/>
    <w:rsid w:val="001A3FB3"/>
    <w:pPr>
      <w:spacing w:before="40"/>
      <w:outlineLvl w:val="0"/>
    </w:pPr>
  </w:style>
  <w:style w:type="paragraph" w:styleId="Heading2">
    <w:name w:val="heading 2"/>
    <w:basedOn w:val="Normal"/>
    <w:next w:val="BodyText"/>
    <w:link w:val="Heading2Char"/>
    <w:autoRedefine/>
    <w:uiPriority w:val="9"/>
    <w:unhideWhenUsed/>
    <w:qFormat/>
    <w:rsid w:val="001A3FB3"/>
    <w:pPr>
      <w:keepNext/>
      <w:keepLines/>
      <w:ind w:firstLine="0"/>
      <w:outlineLvl w:val="1"/>
    </w:pPr>
    <w:rPr>
      <w:b/>
      <w:color w:val="000000" w:themeColor="text1"/>
    </w:rPr>
  </w:style>
  <w:style w:type="paragraph" w:styleId="Heading3">
    <w:name w:val="heading 3"/>
    <w:basedOn w:val="Normal"/>
    <w:next w:val="BodyText"/>
    <w:link w:val="Heading3Char"/>
    <w:uiPriority w:val="9"/>
    <w:unhideWhenUsed/>
    <w:qFormat/>
    <w:rsid w:val="00E24C2D"/>
    <w:pPr>
      <w:keepNext/>
      <w:keepLines/>
      <w:spacing w:before="20"/>
      <w:ind w:firstLine="0"/>
      <w:outlineLvl w:val="2"/>
    </w:pPr>
    <w:rPr>
      <w:b/>
      <w:color w:val="000000" w:themeColor="text1"/>
      <w:szCs w:val="28"/>
    </w:rPr>
  </w:style>
  <w:style w:type="paragraph" w:styleId="Heading4">
    <w:name w:val="heading 4"/>
    <w:basedOn w:val="Normal"/>
    <w:next w:val="BodyText"/>
    <w:link w:val="Heading4Char"/>
    <w:uiPriority w:val="9"/>
    <w:semiHidden/>
    <w:unhideWhenUsed/>
    <w:qFormat/>
    <w:rsid w:val="00A10FD9"/>
    <w:pPr>
      <w:keepNext/>
      <w:keepLines/>
      <w:spacing w:before="120" w:after="40" w:line="276" w:lineRule="auto"/>
      <w:ind w:firstLine="0"/>
      <w:outlineLvl w:val="3"/>
    </w:pPr>
    <w:rPr>
      <w:b/>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outlineLvl w:val="5"/>
    </w:pPr>
    <w:rPr>
      <w:rFonts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outlineLvl w:val="6"/>
    </w:pPr>
    <w:rPr>
      <w:rFonts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outlineLvl w:val="7"/>
    </w:pPr>
    <w:rPr>
      <w:rFonts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paragraph" w:customStyle="1" w:styleId="FirstParagraph">
    <w:name w:val="First Paragraph"/>
    <w:basedOn w:val="BodyText"/>
    <w:next w:val="BodyText"/>
    <w:qFormat/>
  </w:style>
  <w:style w:type="paragraph" w:customStyle="1" w:styleId="Compact">
    <w:name w:val="Compact"/>
    <w:basedOn w:val="BodyText"/>
    <w:qFormat/>
  </w:style>
  <w:style w:type="paragraph" w:styleId="Title">
    <w:name w:val="Title"/>
    <w:basedOn w:val="Normal"/>
    <w:next w:val="BodyText"/>
    <w:link w:val="TitleChar"/>
    <w:uiPriority w:val="10"/>
    <w:qFormat/>
    <w:rsid w:val="00A10FD9"/>
    <w:pPr>
      <w:spacing w:after="240" w:line="276" w:lineRule="auto"/>
      <w:ind w:firstLine="0"/>
      <w:contextualSpacing/>
      <w:jc w:val="center"/>
    </w:pPr>
    <w:rPr>
      <w:b/>
      <w:sz w:val="36"/>
      <w:szCs w:val="56"/>
    </w:rPr>
  </w:style>
  <w:style w:type="character" w:customStyle="1" w:styleId="TitleChar">
    <w:name w:val="Title Char"/>
    <w:basedOn w:val="DefaultParagraphFont"/>
    <w:link w:val="Title"/>
    <w:uiPriority w:val="10"/>
    <w:rsid w:val="00A10FD9"/>
    <w:rPr>
      <w:rFonts w:ascii="Times New Roman" w:eastAsia="Times New Roman" w:hAnsi="Times New Roman" w:cstheme="majorBidi"/>
      <w:sz w:val="56"/>
      <w:szCs w:val="56"/>
    </w:rPr>
  </w:style>
  <w:style w:type="paragraph" w:styleId="Subtitle">
    <w:name w:val="Subtitle"/>
    <w:basedOn w:val="Title"/>
    <w:next w:val="BodyText"/>
    <w:link w:val="SubtitleChar"/>
    <w:uiPriority w:val="11"/>
    <w:qFormat/>
    <w:rsid w:val="00A10FD9"/>
    <w:pPr>
      <w:numPr>
        <w:ilvl w:val="1"/>
      </w:numPr>
    </w:pPr>
    <w:rPr>
      <w:rFonts w:cstheme="majorBidi"/>
      <w:spacing w:val="15"/>
      <w:sz w:val="28"/>
      <w:szCs w:val="28"/>
    </w:rPr>
  </w:style>
  <w:style w:type="character" w:customStyle="1" w:styleId="SubtitleChar">
    <w:name w:val="Subtitle Char"/>
    <w:basedOn w:val="DefaultParagraphFont"/>
    <w:link w:val="Subtitle"/>
    <w:uiPriority w:val="11"/>
    <w:rsid w:val="00A10FD9"/>
    <w:rPr>
      <w:rFonts w:ascii="Times New Roman" w:eastAsia="Times New Roman" w:hAnsi="Times New Roman"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link w:val="DateChar"/>
    <w:qFormat/>
    <w:pPr>
      <w:keepNext/>
      <w:keepLines/>
    </w:pPr>
    <w:rPr>
      <w:sz w:val="24"/>
      <w:szCs w:val="24"/>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1A3FB3"/>
    <w:rPr>
      <w:b/>
      <w:color w:val="000000" w:themeColor="text1"/>
    </w:rPr>
  </w:style>
  <w:style w:type="character" w:customStyle="1" w:styleId="Heading2Char">
    <w:name w:val="Heading 2 Char"/>
    <w:basedOn w:val="DefaultParagraphFont"/>
    <w:link w:val="Heading2"/>
    <w:uiPriority w:val="9"/>
    <w:rsid w:val="001A3FB3"/>
    <w:rPr>
      <w:b/>
      <w:color w:val="000000" w:themeColor="text1"/>
    </w:rPr>
  </w:style>
  <w:style w:type="character" w:customStyle="1" w:styleId="Heading3Char">
    <w:name w:val="Heading 3 Char"/>
    <w:basedOn w:val="DefaultParagraphFont"/>
    <w:link w:val="Heading3"/>
    <w:uiPriority w:val="9"/>
    <w:rsid w:val="00E24C2D"/>
    <w:rPr>
      <w:b/>
      <w:color w:val="000000" w:themeColor="text1"/>
      <w:szCs w:val="28"/>
    </w:rPr>
  </w:style>
  <w:style w:type="character" w:customStyle="1" w:styleId="Heading4Char">
    <w:name w:val="Heading 4 Char"/>
    <w:basedOn w:val="DefaultParagraphFont"/>
    <w:link w:val="Heading4"/>
    <w:uiPriority w:val="9"/>
    <w:semiHidden/>
    <w:rsid w:val="00A10FD9"/>
    <w:rPr>
      <w:rFonts w:ascii="Times New Roman" w:eastAsia="Times New Roman"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ascii="Times New Roman" w:eastAsia="Times New Roman"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ascii="Times New Roman" w:eastAsia="Times New Roman"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ascii="Times New Roman" w:eastAsia="Times New Roman" w:hAnsi="Times New Roman" w:cstheme="majorBidi"/>
      <w:color w:val="595959" w:themeColor="text1" w:themeTint="A6"/>
    </w:rPr>
  </w:style>
  <w:style w:type="character" w:customStyle="1" w:styleId="Heading8Char">
    <w:name w:val="Heading 8 Char"/>
    <w:basedOn w:val="DefaultParagraphFont"/>
    <w:link w:val="Heading8"/>
    <w:uiPriority w:val="9"/>
    <w:semiHidden/>
    <w:rsid w:val="00A10FD9"/>
    <w:rPr>
      <w:rFonts w:ascii="Times New Roman" w:eastAsia="Times New Roman"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ascii="Times New Roman" w:eastAsia="Times New Roman"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link w:val="FootnoteTextChar"/>
    <w:uiPriority w:val="9"/>
    <w:unhideWhenUsed/>
    <w:qFormat/>
    <w:pPr>
      <w:spacing w:line="240" w:lineRule="auto"/>
      <w:ind w:firstLine="0"/>
      <w:contextualSpacing/>
    </w:pPr>
    <w:rPr>
      <w:sz w:val="20"/>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uiPriority w:val="35"/>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uiPriority w:val="35"/>
  </w:style>
  <w:style w:type="character" w:customStyle="1" w:styleId="VerbatimChar">
    <w:name w:val="Verbatim Char"/>
    <w:basedOn w:val="CaptionChar"/>
    <w:link w:val="SourceCode"/>
    <w:rPr>
      <w:rFonts w:ascii="Times New Roman" w:eastAsia="Times New Roman" w:hAnsi="Times New Roman" w:cs="Times New Roman"/>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line="259" w:lineRule="auto"/>
      <w:outlineLvl w:val="9"/>
    </w:pPr>
    <w:rPr>
      <w:rFonts w:cstheme="majorBidi"/>
      <w:b w:val="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Times New Roman" w:eastAsia="Times New Roman" w:hAnsi="Times New Roman" w:cs="Times New Roman"/>
      <w:b/>
      <w:color w:val="007020"/>
      <w:sz w:val="22"/>
    </w:rPr>
  </w:style>
  <w:style w:type="character" w:customStyle="1" w:styleId="DataTypeTok">
    <w:name w:val="DataTypeTok"/>
    <w:basedOn w:val="VerbatimChar"/>
    <w:rPr>
      <w:rFonts w:ascii="Times New Roman" w:eastAsia="Times New Roman" w:hAnsi="Times New Roman" w:cs="Times New Roman"/>
      <w:color w:val="902000"/>
      <w:sz w:val="22"/>
    </w:rPr>
  </w:style>
  <w:style w:type="character" w:customStyle="1" w:styleId="DecValTok">
    <w:name w:val="DecValTok"/>
    <w:basedOn w:val="VerbatimChar"/>
    <w:rPr>
      <w:rFonts w:ascii="Times New Roman" w:eastAsia="Times New Roman" w:hAnsi="Times New Roman" w:cs="Times New Roman"/>
      <w:color w:val="40A070"/>
      <w:sz w:val="22"/>
    </w:rPr>
  </w:style>
  <w:style w:type="character" w:customStyle="1" w:styleId="BaseNTok">
    <w:name w:val="BaseNTok"/>
    <w:basedOn w:val="VerbatimChar"/>
    <w:rPr>
      <w:rFonts w:ascii="Times New Roman" w:eastAsia="Times New Roman" w:hAnsi="Times New Roman" w:cs="Times New Roman"/>
      <w:color w:val="40A070"/>
      <w:sz w:val="22"/>
    </w:rPr>
  </w:style>
  <w:style w:type="character" w:customStyle="1" w:styleId="FloatTok">
    <w:name w:val="FloatTok"/>
    <w:basedOn w:val="VerbatimChar"/>
    <w:rPr>
      <w:rFonts w:ascii="Times New Roman" w:eastAsia="Times New Roman" w:hAnsi="Times New Roman" w:cs="Times New Roman"/>
      <w:color w:val="40A070"/>
      <w:sz w:val="22"/>
    </w:rPr>
  </w:style>
  <w:style w:type="character" w:customStyle="1" w:styleId="ConstantTok">
    <w:name w:val="ConstantTok"/>
    <w:basedOn w:val="VerbatimChar"/>
    <w:rPr>
      <w:rFonts w:ascii="Times New Roman" w:eastAsia="Times New Roman" w:hAnsi="Times New Roman" w:cs="Times New Roman"/>
      <w:color w:val="880000"/>
      <w:sz w:val="22"/>
    </w:rPr>
  </w:style>
  <w:style w:type="character" w:customStyle="1" w:styleId="CharTok">
    <w:name w:val="CharTok"/>
    <w:basedOn w:val="VerbatimChar"/>
    <w:rPr>
      <w:rFonts w:ascii="Times New Roman" w:eastAsia="Times New Roman" w:hAnsi="Times New Roman" w:cs="Times New Roman"/>
      <w:color w:val="4070A0"/>
      <w:sz w:val="22"/>
    </w:rPr>
  </w:style>
  <w:style w:type="character" w:customStyle="1" w:styleId="SpecialCharTok">
    <w:name w:val="SpecialCharTok"/>
    <w:basedOn w:val="VerbatimChar"/>
    <w:rPr>
      <w:rFonts w:ascii="Times New Roman" w:eastAsia="Times New Roman" w:hAnsi="Times New Roman" w:cs="Times New Roman"/>
      <w:color w:val="4070A0"/>
      <w:sz w:val="22"/>
    </w:rPr>
  </w:style>
  <w:style w:type="character" w:customStyle="1" w:styleId="StringTok">
    <w:name w:val="StringTok"/>
    <w:basedOn w:val="VerbatimChar"/>
    <w:rPr>
      <w:rFonts w:ascii="Times New Roman" w:eastAsia="Times New Roman" w:hAnsi="Times New Roman" w:cs="Times New Roman"/>
      <w:color w:val="4070A0"/>
      <w:sz w:val="22"/>
    </w:rPr>
  </w:style>
  <w:style w:type="character" w:customStyle="1" w:styleId="VerbatimStringTok">
    <w:name w:val="VerbatimStringTok"/>
    <w:basedOn w:val="VerbatimChar"/>
    <w:rPr>
      <w:rFonts w:ascii="Times New Roman" w:eastAsia="Times New Roman" w:hAnsi="Times New Roman" w:cs="Times New Roman"/>
      <w:color w:val="4070A0"/>
      <w:sz w:val="22"/>
    </w:rPr>
  </w:style>
  <w:style w:type="character" w:customStyle="1" w:styleId="SpecialStringTok">
    <w:name w:val="SpecialStringTok"/>
    <w:basedOn w:val="VerbatimChar"/>
    <w:rPr>
      <w:rFonts w:ascii="Times New Roman" w:eastAsia="Times New Roman" w:hAnsi="Times New Roman" w:cs="Times New Roman"/>
      <w:color w:val="BB6688"/>
      <w:sz w:val="22"/>
    </w:rPr>
  </w:style>
  <w:style w:type="character" w:customStyle="1" w:styleId="ImportTok">
    <w:name w:val="ImportTok"/>
    <w:basedOn w:val="VerbatimChar"/>
    <w:rPr>
      <w:rFonts w:ascii="Times New Roman" w:eastAsia="Times New Roman" w:hAnsi="Times New Roman" w:cs="Times New Roman"/>
      <w:b/>
      <w:color w:val="008000"/>
      <w:sz w:val="22"/>
    </w:rPr>
  </w:style>
  <w:style w:type="character" w:customStyle="1" w:styleId="CommentTok">
    <w:name w:val="CommentTok"/>
    <w:basedOn w:val="VerbatimChar"/>
    <w:rPr>
      <w:rFonts w:ascii="Times New Roman" w:eastAsia="Times New Roman" w:hAnsi="Times New Roman" w:cs="Times New Roman"/>
      <w:i/>
      <w:color w:val="60A0B0"/>
      <w:sz w:val="22"/>
    </w:rPr>
  </w:style>
  <w:style w:type="character" w:customStyle="1" w:styleId="DocumentationTok">
    <w:name w:val="DocumentationTok"/>
    <w:basedOn w:val="VerbatimChar"/>
    <w:rPr>
      <w:rFonts w:ascii="Times New Roman" w:eastAsia="Times New Roman" w:hAnsi="Times New Roman" w:cs="Times New Roman"/>
      <w:i/>
      <w:color w:val="BA2121"/>
      <w:sz w:val="22"/>
    </w:rPr>
  </w:style>
  <w:style w:type="character" w:customStyle="1" w:styleId="AnnotationTok">
    <w:name w:val="AnnotationTok"/>
    <w:basedOn w:val="VerbatimChar"/>
    <w:rPr>
      <w:rFonts w:ascii="Times New Roman" w:eastAsia="Times New Roman" w:hAnsi="Times New Roman" w:cs="Times New Roman"/>
      <w:b/>
      <w:i/>
      <w:color w:val="60A0B0"/>
      <w:sz w:val="22"/>
    </w:rPr>
  </w:style>
  <w:style w:type="character" w:customStyle="1" w:styleId="CommentVarTok">
    <w:name w:val="CommentVarTok"/>
    <w:basedOn w:val="VerbatimChar"/>
    <w:rPr>
      <w:rFonts w:ascii="Times New Roman" w:eastAsia="Times New Roman" w:hAnsi="Times New Roman" w:cs="Times New Roman"/>
      <w:b/>
      <w:i/>
      <w:color w:val="60A0B0"/>
      <w:sz w:val="22"/>
    </w:rPr>
  </w:style>
  <w:style w:type="character" w:customStyle="1" w:styleId="OtherTok">
    <w:name w:val="OtherTok"/>
    <w:basedOn w:val="VerbatimChar"/>
    <w:rPr>
      <w:rFonts w:ascii="Times New Roman" w:eastAsia="Times New Roman" w:hAnsi="Times New Roman" w:cs="Times New Roman"/>
      <w:color w:val="007020"/>
      <w:sz w:val="22"/>
    </w:rPr>
  </w:style>
  <w:style w:type="character" w:customStyle="1" w:styleId="FunctionTok">
    <w:name w:val="FunctionTok"/>
    <w:basedOn w:val="VerbatimChar"/>
    <w:rPr>
      <w:rFonts w:ascii="Times New Roman" w:eastAsia="Times New Roman" w:hAnsi="Times New Roman" w:cs="Times New Roman"/>
      <w:color w:val="06287E"/>
      <w:sz w:val="22"/>
    </w:rPr>
  </w:style>
  <w:style w:type="character" w:customStyle="1" w:styleId="VariableTok">
    <w:name w:val="VariableTok"/>
    <w:basedOn w:val="VerbatimChar"/>
    <w:rPr>
      <w:rFonts w:ascii="Times New Roman" w:eastAsia="Times New Roman" w:hAnsi="Times New Roman" w:cs="Times New Roman"/>
      <w:color w:val="19177C"/>
      <w:sz w:val="22"/>
    </w:rPr>
  </w:style>
  <w:style w:type="character" w:customStyle="1" w:styleId="ControlFlowTok">
    <w:name w:val="ControlFlowTok"/>
    <w:basedOn w:val="VerbatimChar"/>
    <w:rPr>
      <w:rFonts w:ascii="Times New Roman" w:eastAsia="Times New Roman" w:hAnsi="Times New Roman" w:cs="Times New Roman"/>
      <w:b/>
      <w:color w:val="007020"/>
      <w:sz w:val="22"/>
    </w:rPr>
  </w:style>
  <w:style w:type="character" w:customStyle="1" w:styleId="OperatorTok">
    <w:name w:val="OperatorTok"/>
    <w:basedOn w:val="VerbatimChar"/>
    <w:rPr>
      <w:rFonts w:ascii="Times New Roman" w:eastAsia="Times New Roman" w:hAnsi="Times New Roman" w:cs="Times New Roman"/>
      <w:color w:val="666666"/>
      <w:sz w:val="22"/>
    </w:rPr>
  </w:style>
  <w:style w:type="character" w:customStyle="1" w:styleId="BuiltInTok">
    <w:name w:val="BuiltInTok"/>
    <w:basedOn w:val="VerbatimChar"/>
    <w:rPr>
      <w:rFonts w:ascii="Times New Roman" w:eastAsia="Times New Roman" w:hAnsi="Times New Roman" w:cs="Times New Roman"/>
      <w:color w:val="008000"/>
      <w:sz w:val="22"/>
    </w:rPr>
  </w:style>
  <w:style w:type="character" w:customStyle="1" w:styleId="ExtensionTok">
    <w:name w:val="ExtensionTok"/>
    <w:basedOn w:val="VerbatimChar"/>
    <w:rPr>
      <w:rFonts w:ascii="Times New Roman" w:eastAsia="Times New Roman" w:hAnsi="Times New Roman" w:cs="Times New Roman"/>
      <w:sz w:val="22"/>
    </w:rPr>
  </w:style>
  <w:style w:type="character" w:customStyle="1" w:styleId="PreprocessorTok">
    <w:name w:val="PreprocessorTok"/>
    <w:basedOn w:val="VerbatimChar"/>
    <w:rPr>
      <w:rFonts w:ascii="Times New Roman" w:eastAsia="Times New Roman" w:hAnsi="Times New Roman" w:cs="Times New Roman"/>
      <w:color w:val="BC7A00"/>
      <w:sz w:val="22"/>
    </w:rPr>
  </w:style>
  <w:style w:type="character" w:customStyle="1" w:styleId="AttributeTok">
    <w:name w:val="AttributeTok"/>
    <w:basedOn w:val="VerbatimChar"/>
    <w:rPr>
      <w:rFonts w:ascii="Times New Roman" w:eastAsia="Times New Roman" w:hAnsi="Times New Roman" w:cs="Times New Roman"/>
      <w:color w:val="7D9029"/>
      <w:sz w:val="22"/>
    </w:rPr>
  </w:style>
  <w:style w:type="character" w:customStyle="1" w:styleId="RegionMarkerTok">
    <w:name w:val="RegionMarkerTok"/>
    <w:basedOn w:val="VerbatimChar"/>
    <w:rPr>
      <w:rFonts w:ascii="Times New Roman" w:eastAsia="Times New Roman" w:hAnsi="Times New Roman" w:cs="Times New Roman"/>
      <w:sz w:val="22"/>
    </w:rPr>
  </w:style>
  <w:style w:type="character" w:customStyle="1" w:styleId="InformationTok">
    <w:name w:val="InformationTok"/>
    <w:basedOn w:val="VerbatimChar"/>
    <w:rPr>
      <w:rFonts w:ascii="Times New Roman" w:eastAsia="Times New Roman" w:hAnsi="Times New Roman" w:cs="Times New Roman"/>
      <w:b/>
      <w:i/>
      <w:color w:val="60A0B0"/>
      <w:sz w:val="22"/>
    </w:rPr>
  </w:style>
  <w:style w:type="character" w:customStyle="1" w:styleId="WarningTok">
    <w:name w:val="WarningTok"/>
    <w:basedOn w:val="VerbatimChar"/>
    <w:rPr>
      <w:rFonts w:ascii="Times New Roman" w:eastAsia="Times New Roman" w:hAnsi="Times New Roman" w:cs="Times New Roman"/>
      <w:b/>
      <w:i/>
      <w:color w:val="60A0B0"/>
      <w:sz w:val="22"/>
    </w:rPr>
  </w:style>
  <w:style w:type="character" w:customStyle="1" w:styleId="AlertTok">
    <w:name w:val="AlertTok"/>
    <w:basedOn w:val="VerbatimChar"/>
    <w:rPr>
      <w:rFonts w:ascii="Times New Roman" w:eastAsia="Times New Roman" w:hAnsi="Times New Roman" w:cs="Times New Roman"/>
      <w:b/>
      <w:color w:val="FF0000"/>
      <w:sz w:val="22"/>
    </w:rPr>
  </w:style>
  <w:style w:type="character" w:customStyle="1" w:styleId="ErrorTok">
    <w:name w:val="ErrorTok"/>
    <w:basedOn w:val="VerbatimChar"/>
    <w:rPr>
      <w:rFonts w:ascii="Times New Roman" w:eastAsia="Times New Roman" w:hAnsi="Times New Roman" w:cs="Times New Roman"/>
      <w:b/>
      <w:color w:val="FF0000"/>
      <w:sz w:val="22"/>
    </w:rPr>
  </w:style>
  <w:style w:type="character" w:customStyle="1" w:styleId="NormalTok">
    <w:name w:val="NormalTok"/>
    <w:basedOn w:val="VerbatimChar"/>
    <w:rPr>
      <w:rFonts w:ascii="Times New Roman" w:eastAsia="Times New Roman" w:hAnsi="Times New Roman" w:cs="Times New Roman"/>
      <w:sz w:val="22"/>
    </w:rPr>
  </w:style>
  <w:style w:type="paragraph" w:styleId="TOC1">
    <w:name w:val="toc 1"/>
    <w:basedOn w:val="Normal"/>
    <w:next w:val="Normal"/>
    <w:autoRedefine/>
    <w:uiPriority w:val="39"/>
    <w:rsid w:val="00EB6006"/>
    <w:pPr>
      <w:spacing w:after="100"/>
    </w:pPr>
  </w:style>
  <w:style w:type="paragraph" w:styleId="TOC2">
    <w:name w:val="toc 2"/>
    <w:basedOn w:val="Normal"/>
    <w:next w:val="Normal"/>
    <w:autoRedefine/>
    <w:uiPriority w:val="39"/>
    <w:rsid w:val="00EB6006"/>
    <w:pPr>
      <w:spacing w:after="100"/>
      <w:ind w:left="240"/>
    </w:pPr>
  </w:style>
  <w:style w:type="paragraph" w:styleId="TOC3">
    <w:name w:val="toc 3"/>
    <w:basedOn w:val="Normal"/>
    <w:next w:val="Normal"/>
    <w:autoRedefine/>
    <w:uiPriority w:val="39"/>
    <w:rsid w:val="00EB6006"/>
    <w:pPr>
      <w:spacing w:after="100"/>
      <w:ind w:left="480"/>
    </w:pPr>
  </w:style>
  <w:style w:type="character" w:customStyle="1" w:styleId="BodyTextChar">
    <w:name w:val="Body Text Char"/>
    <w:basedOn w:val="DefaultParagraphFont"/>
    <w:link w:val="BodyText"/>
    <w:uiPriority w:val="99"/>
    <w:rsid w:val="006F14C8"/>
  </w:style>
  <w:style w:type="character" w:customStyle="1" w:styleId="FootnoteTextChar">
    <w:name w:val="Footnote Text Char"/>
    <w:basedOn w:val="DefaultParagraphFont"/>
    <w:link w:val="FootnoteText"/>
    <w:uiPriority w:val="9"/>
    <w:rsid w:val="006F14C8"/>
    <w:rPr>
      <w:sz w:val="20"/>
    </w:rPr>
  </w:style>
  <w:style w:type="paragraph" w:styleId="Revision">
    <w:name w:val="Revision"/>
    <w:hidden/>
    <w:rsid w:val="00452359"/>
    <w:pPr>
      <w:spacing w:after="0"/>
    </w:pPr>
  </w:style>
  <w:style w:type="character" w:customStyle="1" w:styleId="DateChar">
    <w:name w:val="Date Char"/>
    <w:basedOn w:val="DefaultParagraphFont"/>
    <w:link w:val="Date"/>
    <w:rsid w:val="001A3FB3"/>
    <w:rPr>
      <w:b/>
    </w:rPr>
  </w:style>
  <w:style w:type="character" w:styleId="FollowedHyperlink">
    <w:name w:val="FollowedHyperlink"/>
    <w:basedOn w:val="DefaultParagraphFont"/>
    <w:rsid w:val="001A3FB3"/>
    <w:rPr>
      <w:color w:val="96607D" w:themeColor="followedHyperlink"/>
      <w:u w:val="single"/>
    </w:rPr>
  </w:style>
  <w:style w:type="paragraph" w:styleId="ListParagraph">
    <w:name w:val="List Paragraph"/>
    <w:basedOn w:val="Normal"/>
    <w:uiPriority w:val="34"/>
    <w:qFormat/>
    <w:rsid w:val="0006423C"/>
    <w:pPr>
      <w:ind w:left="720"/>
      <w:contextualSpacing/>
    </w:pPr>
  </w:style>
  <w:style w:type="paragraph" w:styleId="Header">
    <w:name w:val="header"/>
    <w:basedOn w:val="Normal"/>
    <w:link w:val="HeaderChar"/>
    <w:uiPriority w:val="99"/>
    <w:unhideWhenUsed/>
    <w:rsid w:val="0006423C"/>
    <w:pPr>
      <w:tabs>
        <w:tab w:val="center" w:pos="4680"/>
        <w:tab w:val="right" w:pos="9360"/>
      </w:tabs>
      <w:spacing w:line="240" w:lineRule="auto"/>
      <w:ind w:firstLine="0"/>
    </w:pPr>
    <w:rPr>
      <w:rFonts w:cstheme="minorBidi"/>
      <w:sz w:val="22"/>
      <w:szCs w:val="22"/>
      <w:lang w:eastAsia="en-US"/>
    </w:rPr>
  </w:style>
  <w:style w:type="character" w:customStyle="1" w:styleId="HeaderChar">
    <w:name w:val="Header Char"/>
    <w:basedOn w:val="DefaultParagraphFont"/>
    <w:link w:val="Header"/>
    <w:uiPriority w:val="99"/>
    <w:rsid w:val="0006423C"/>
    <w:rPr>
      <w:rFonts w:cstheme="minorBidi"/>
      <w:sz w:val="22"/>
      <w:szCs w:val="22"/>
      <w:lang w:eastAsia="en-US"/>
    </w:rPr>
  </w:style>
  <w:style w:type="paragraph" w:styleId="Footer">
    <w:name w:val="footer"/>
    <w:basedOn w:val="Normal"/>
    <w:link w:val="FooterChar"/>
    <w:uiPriority w:val="99"/>
    <w:unhideWhenUsed/>
    <w:rsid w:val="0006423C"/>
    <w:pPr>
      <w:tabs>
        <w:tab w:val="center" w:pos="4680"/>
        <w:tab w:val="right" w:pos="9360"/>
      </w:tabs>
      <w:spacing w:line="240" w:lineRule="auto"/>
      <w:ind w:firstLine="0"/>
    </w:pPr>
    <w:rPr>
      <w:rFonts w:cstheme="minorBidi"/>
      <w:sz w:val="22"/>
      <w:szCs w:val="22"/>
      <w:lang w:eastAsia="en-US"/>
    </w:rPr>
  </w:style>
  <w:style w:type="character" w:customStyle="1" w:styleId="FooterChar">
    <w:name w:val="Footer Char"/>
    <w:basedOn w:val="DefaultParagraphFont"/>
    <w:link w:val="Footer"/>
    <w:uiPriority w:val="99"/>
    <w:rsid w:val="0006423C"/>
    <w:rPr>
      <w:rFonts w:cstheme="minorBidi"/>
      <w:sz w:val="22"/>
      <w:szCs w:val="22"/>
      <w:lang w:eastAsia="en-US"/>
    </w:rPr>
  </w:style>
  <w:style w:type="paragraph" w:styleId="NoSpacing">
    <w:name w:val="No Spacing"/>
    <w:uiPriority w:val="1"/>
    <w:qFormat/>
    <w:rsid w:val="0006423C"/>
    <w:pPr>
      <w:spacing w:after="0"/>
    </w:pPr>
    <w:rPr>
      <w:rFonts w:asciiTheme="minorHAnsi" w:eastAsiaTheme="minorEastAsia" w:hAnsiTheme="minorHAnsi" w:cstheme="minorBidi"/>
      <w:sz w:val="22"/>
      <w:szCs w:val="22"/>
      <w:lang w:eastAsia="en-US"/>
    </w:rPr>
  </w:style>
  <w:style w:type="paragraph" w:styleId="BodyText2">
    <w:name w:val="Body Text 2"/>
    <w:basedOn w:val="Normal"/>
    <w:link w:val="BodyText2Char"/>
    <w:uiPriority w:val="99"/>
    <w:unhideWhenUsed/>
    <w:rsid w:val="0006423C"/>
    <w:pPr>
      <w:spacing w:after="120"/>
      <w:ind w:firstLine="0"/>
    </w:pPr>
    <w:rPr>
      <w:rFonts w:cstheme="minorBidi"/>
      <w:sz w:val="22"/>
      <w:szCs w:val="22"/>
      <w:lang w:eastAsia="en-US"/>
    </w:rPr>
  </w:style>
  <w:style w:type="character" w:customStyle="1" w:styleId="BodyText2Char">
    <w:name w:val="Body Text 2 Char"/>
    <w:basedOn w:val="DefaultParagraphFont"/>
    <w:link w:val="BodyText2"/>
    <w:uiPriority w:val="99"/>
    <w:rsid w:val="0006423C"/>
    <w:rPr>
      <w:rFonts w:cstheme="minorBidi"/>
      <w:sz w:val="22"/>
      <w:szCs w:val="22"/>
      <w:lang w:eastAsia="en-US"/>
    </w:rPr>
  </w:style>
  <w:style w:type="paragraph" w:styleId="BodyText3">
    <w:name w:val="Body Text 3"/>
    <w:basedOn w:val="Normal"/>
    <w:link w:val="BodyText3Char"/>
    <w:uiPriority w:val="99"/>
    <w:unhideWhenUsed/>
    <w:rsid w:val="0006423C"/>
    <w:pPr>
      <w:spacing w:after="120" w:line="276" w:lineRule="auto"/>
      <w:ind w:firstLine="0"/>
    </w:pPr>
    <w:rPr>
      <w:rFonts w:cstheme="minorBidi"/>
      <w:sz w:val="16"/>
      <w:szCs w:val="16"/>
      <w:lang w:eastAsia="en-US"/>
    </w:rPr>
  </w:style>
  <w:style w:type="character" w:customStyle="1" w:styleId="BodyText3Char">
    <w:name w:val="Body Text 3 Char"/>
    <w:basedOn w:val="DefaultParagraphFont"/>
    <w:link w:val="BodyText3"/>
    <w:uiPriority w:val="99"/>
    <w:rsid w:val="0006423C"/>
    <w:rPr>
      <w:rFonts w:cstheme="minorBidi"/>
      <w:sz w:val="16"/>
      <w:szCs w:val="16"/>
      <w:lang w:eastAsia="en-US"/>
    </w:rPr>
  </w:style>
  <w:style w:type="paragraph" w:styleId="List">
    <w:name w:val="List"/>
    <w:basedOn w:val="Normal"/>
    <w:uiPriority w:val="99"/>
    <w:unhideWhenUsed/>
    <w:rsid w:val="0006423C"/>
    <w:pPr>
      <w:spacing w:after="80" w:line="276" w:lineRule="auto"/>
      <w:ind w:left="360" w:hanging="360"/>
      <w:contextualSpacing/>
    </w:pPr>
    <w:rPr>
      <w:rFonts w:cstheme="minorBidi"/>
      <w:sz w:val="22"/>
      <w:szCs w:val="22"/>
      <w:lang w:eastAsia="en-US"/>
    </w:rPr>
  </w:style>
  <w:style w:type="paragraph" w:styleId="List2">
    <w:name w:val="List 2"/>
    <w:basedOn w:val="Normal"/>
    <w:uiPriority w:val="99"/>
    <w:unhideWhenUsed/>
    <w:rsid w:val="0006423C"/>
    <w:pPr>
      <w:spacing w:after="80" w:line="276" w:lineRule="auto"/>
      <w:ind w:left="720" w:hanging="360"/>
      <w:contextualSpacing/>
    </w:pPr>
    <w:rPr>
      <w:rFonts w:cstheme="minorBidi"/>
      <w:sz w:val="22"/>
      <w:szCs w:val="22"/>
      <w:lang w:eastAsia="en-US"/>
    </w:rPr>
  </w:style>
  <w:style w:type="paragraph" w:styleId="List3">
    <w:name w:val="List 3"/>
    <w:basedOn w:val="Normal"/>
    <w:uiPriority w:val="99"/>
    <w:unhideWhenUsed/>
    <w:rsid w:val="0006423C"/>
    <w:pPr>
      <w:spacing w:after="80" w:line="276" w:lineRule="auto"/>
      <w:ind w:left="1080" w:hanging="360"/>
      <w:contextualSpacing/>
    </w:pPr>
    <w:rPr>
      <w:rFonts w:cstheme="minorBidi"/>
      <w:sz w:val="22"/>
      <w:szCs w:val="22"/>
      <w:lang w:eastAsia="en-US"/>
    </w:rPr>
  </w:style>
  <w:style w:type="paragraph" w:styleId="ListBullet">
    <w:name w:val="List Bullet"/>
    <w:basedOn w:val="Normal"/>
    <w:uiPriority w:val="99"/>
    <w:unhideWhenUsed/>
    <w:rsid w:val="0006423C"/>
    <w:pPr>
      <w:numPr>
        <w:numId w:val="11"/>
      </w:numPr>
      <w:tabs>
        <w:tab w:val="clear" w:pos="360"/>
      </w:tabs>
      <w:spacing w:after="80" w:line="276" w:lineRule="auto"/>
      <w:ind w:left="0" w:firstLine="0"/>
      <w:contextualSpacing/>
    </w:pPr>
    <w:rPr>
      <w:rFonts w:cstheme="minorBidi"/>
      <w:sz w:val="22"/>
      <w:szCs w:val="22"/>
      <w:lang w:eastAsia="en-US"/>
    </w:rPr>
  </w:style>
  <w:style w:type="paragraph" w:styleId="ListBullet2">
    <w:name w:val="List Bullet 2"/>
    <w:basedOn w:val="Normal"/>
    <w:uiPriority w:val="99"/>
    <w:unhideWhenUsed/>
    <w:rsid w:val="0006423C"/>
    <w:pPr>
      <w:numPr>
        <w:numId w:val="12"/>
      </w:numPr>
      <w:tabs>
        <w:tab w:val="clear" w:pos="720"/>
      </w:tabs>
      <w:spacing w:after="80" w:line="276" w:lineRule="auto"/>
      <w:ind w:left="0" w:firstLine="0"/>
      <w:contextualSpacing/>
    </w:pPr>
    <w:rPr>
      <w:rFonts w:cstheme="minorBidi"/>
      <w:sz w:val="22"/>
      <w:szCs w:val="22"/>
      <w:lang w:eastAsia="en-US"/>
    </w:rPr>
  </w:style>
  <w:style w:type="paragraph" w:styleId="ListBullet3">
    <w:name w:val="List Bullet 3"/>
    <w:basedOn w:val="Normal"/>
    <w:uiPriority w:val="99"/>
    <w:unhideWhenUsed/>
    <w:rsid w:val="0006423C"/>
    <w:pPr>
      <w:numPr>
        <w:numId w:val="13"/>
      </w:numPr>
      <w:tabs>
        <w:tab w:val="clear" w:pos="1080"/>
      </w:tabs>
      <w:spacing w:after="80" w:line="276" w:lineRule="auto"/>
      <w:ind w:left="0" w:firstLine="0"/>
      <w:contextualSpacing/>
    </w:pPr>
    <w:rPr>
      <w:rFonts w:cstheme="minorBidi"/>
      <w:sz w:val="22"/>
      <w:szCs w:val="22"/>
      <w:lang w:eastAsia="en-US"/>
    </w:rPr>
  </w:style>
  <w:style w:type="paragraph" w:styleId="ListNumber">
    <w:name w:val="List Number"/>
    <w:basedOn w:val="Normal"/>
    <w:uiPriority w:val="99"/>
    <w:unhideWhenUsed/>
    <w:rsid w:val="0006423C"/>
    <w:pPr>
      <w:numPr>
        <w:numId w:val="15"/>
      </w:numPr>
      <w:tabs>
        <w:tab w:val="clear" w:pos="360"/>
      </w:tabs>
      <w:spacing w:after="80" w:line="276" w:lineRule="auto"/>
      <w:ind w:left="0" w:firstLine="0"/>
      <w:contextualSpacing/>
    </w:pPr>
    <w:rPr>
      <w:rFonts w:cstheme="minorBidi"/>
      <w:sz w:val="22"/>
      <w:szCs w:val="22"/>
      <w:lang w:eastAsia="en-US"/>
    </w:rPr>
  </w:style>
  <w:style w:type="paragraph" w:styleId="ListNumber2">
    <w:name w:val="List Number 2"/>
    <w:basedOn w:val="Normal"/>
    <w:uiPriority w:val="99"/>
    <w:unhideWhenUsed/>
    <w:rsid w:val="0006423C"/>
    <w:pPr>
      <w:numPr>
        <w:numId w:val="16"/>
      </w:numPr>
      <w:tabs>
        <w:tab w:val="clear" w:pos="720"/>
      </w:tabs>
      <w:spacing w:after="80" w:line="276" w:lineRule="auto"/>
      <w:ind w:left="0" w:firstLine="0"/>
      <w:contextualSpacing/>
    </w:pPr>
    <w:rPr>
      <w:rFonts w:cstheme="minorBidi"/>
      <w:sz w:val="22"/>
      <w:szCs w:val="22"/>
      <w:lang w:eastAsia="en-US"/>
    </w:rPr>
  </w:style>
  <w:style w:type="paragraph" w:styleId="ListNumber3">
    <w:name w:val="List Number 3"/>
    <w:basedOn w:val="Normal"/>
    <w:uiPriority w:val="99"/>
    <w:unhideWhenUsed/>
    <w:rsid w:val="0006423C"/>
    <w:pPr>
      <w:numPr>
        <w:numId w:val="17"/>
      </w:numPr>
      <w:tabs>
        <w:tab w:val="clear" w:pos="1080"/>
      </w:tabs>
      <w:spacing w:after="80" w:line="276" w:lineRule="auto"/>
      <w:ind w:left="0" w:firstLine="0"/>
      <w:contextualSpacing/>
    </w:pPr>
    <w:rPr>
      <w:rFonts w:cstheme="minorBidi"/>
      <w:sz w:val="22"/>
      <w:szCs w:val="22"/>
      <w:lang w:eastAsia="en-US"/>
    </w:rPr>
  </w:style>
  <w:style w:type="paragraph" w:styleId="ListContinue">
    <w:name w:val="List Continue"/>
    <w:basedOn w:val="Normal"/>
    <w:uiPriority w:val="99"/>
    <w:unhideWhenUsed/>
    <w:rsid w:val="0006423C"/>
    <w:pPr>
      <w:spacing w:after="120" w:line="276" w:lineRule="auto"/>
      <w:ind w:left="360" w:firstLine="0"/>
      <w:contextualSpacing/>
    </w:pPr>
    <w:rPr>
      <w:rFonts w:cstheme="minorBidi"/>
      <w:sz w:val="22"/>
      <w:szCs w:val="22"/>
      <w:lang w:eastAsia="en-US"/>
    </w:rPr>
  </w:style>
  <w:style w:type="paragraph" w:styleId="ListContinue2">
    <w:name w:val="List Continue 2"/>
    <w:basedOn w:val="Normal"/>
    <w:uiPriority w:val="99"/>
    <w:unhideWhenUsed/>
    <w:rsid w:val="0006423C"/>
    <w:pPr>
      <w:spacing w:after="120" w:line="276" w:lineRule="auto"/>
      <w:ind w:left="720" w:firstLine="0"/>
      <w:contextualSpacing/>
    </w:pPr>
    <w:rPr>
      <w:rFonts w:cstheme="minorBidi"/>
      <w:sz w:val="22"/>
      <w:szCs w:val="22"/>
      <w:lang w:eastAsia="en-US"/>
    </w:rPr>
  </w:style>
  <w:style w:type="paragraph" w:styleId="ListContinue3">
    <w:name w:val="List Continue 3"/>
    <w:basedOn w:val="Normal"/>
    <w:uiPriority w:val="99"/>
    <w:unhideWhenUsed/>
    <w:rsid w:val="0006423C"/>
    <w:pPr>
      <w:spacing w:after="120" w:line="276" w:lineRule="auto"/>
      <w:ind w:left="1080" w:firstLine="0"/>
      <w:contextualSpacing/>
    </w:pPr>
    <w:rPr>
      <w:rFonts w:cstheme="minorBidi"/>
      <w:sz w:val="22"/>
      <w:szCs w:val="22"/>
      <w:lang w:eastAsia="en-US"/>
    </w:rPr>
  </w:style>
  <w:style w:type="paragraph" w:styleId="MacroText">
    <w:name w:val="macro"/>
    <w:link w:val="MacroTextChar"/>
    <w:uiPriority w:val="99"/>
    <w:unhideWhenUsed/>
    <w:rsid w:val="0006423C"/>
    <w:pPr>
      <w:tabs>
        <w:tab w:val="left" w:pos="576"/>
        <w:tab w:val="left" w:pos="1152"/>
        <w:tab w:val="left" w:pos="1728"/>
        <w:tab w:val="left" w:pos="2304"/>
        <w:tab w:val="left" w:pos="2880"/>
        <w:tab w:val="left" w:pos="3456"/>
        <w:tab w:val="left" w:pos="4032"/>
      </w:tabs>
      <w:spacing w:line="276" w:lineRule="auto"/>
    </w:pPr>
    <w:rPr>
      <w:rFonts w:ascii="Courier" w:eastAsiaTheme="minorEastAsia" w:hAnsi="Courier" w:cstheme="minorBidi"/>
      <w:sz w:val="20"/>
      <w:szCs w:val="20"/>
      <w:lang w:eastAsia="en-US"/>
    </w:rPr>
  </w:style>
  <w:style w:type="character" w:customStyle="1" w:styleId="MacroTextChar">
    <w:name w:val="Macro Text Char"/>
    <w:basedOn w:val="DefaultParagraphFont"/>
    <w:link w:val="MacroText"/>
    <w:uiPriority w:val="99"/>
    <w:rsid w:val="0006423C"/>
    <w:rPr>
      <w:rFonts w:ascii="Courier" w:eastAsiaTheme="minorEastAsia" w:hAnsi="Courier" w:cstheme="minorBidi"/>
      <w:sz w:val="20"/>
      <w:szCs w:val="20"/>
      <w:lang w:eastAsia="en-US"/>
    </w:rPr>
  </w:style>
  <w:style w:type="paragraph" w:styleId="Quote">
    <w:name w:val="Quote"/>
    <w:basedOn w:val="Normal"/>
    <w:next w:val="Normal"/>
    <w:link w:val="QuoteChar"/>
    <w:uiPriority w:val="29"/>
    <w:qFormat/>
    <w:rsid w:val="0006423C"/>
    <w:pPr>
      <w:spacing w:after="80" w:line="276" w:lineRule="auto"/>
      <w:ind w:firstLine="0"/>
    </w:pPr>
    <w:rPr>
      <w:rFonts w:cstheme="minorBidi"/>
      <w:i/>
      <w:iCs/>
      <w:color w:val="000000" w:themeColor="text1"/>
      <w:sz w:val="22"/>
      <w:szCs w:val="22"/>
      <w:lang w:eastAsia="en-US"/>
    </w:rPr>
  </w:style>
  <w:style w:type="character" w:customStyle="1" w:styleId="QuoteChar">
    <w:name w:val="Quote Char"/>
    <w:basedOn w:val="DefaultParagraphFont"/>
    <w:link w:val="Quote"/>
    <w:uiPriority w:val="29"/>
    <w:rsid w:val="0006423C"/>
    <w:rPr>
      <w:rFonts w:cstheme="minorBidi"/>
      <w:i/>
      <w:iCs/>
      <w:color w:val="000000" w:themeColor="text1"/>
      <w:sz w:val="22"/>
      <w:szCs w:val="22"/>
      <w:lang w:eastAsia="en-US"/>
    </w:rPr>
  </w:style>
  <w:style w:type="character" w:styleId="Strong">
    <w:name w:val="Strong"/>
    <w:basedOn w:val="DefaultParagraphFont"/>
    <w:uiPriority w:val="22"/>
    <w:qFormat/>
    <w:rsid w:val="0006423C"/>
    <w:rPr>
      <w:b/>
      <w:bCs/>
    </w:rPr>
  </w:style>
  <w:style w:type="character" w:styleId="Emphasis">
    <w:name w:val="Emphasis"/>
    <w:basedOn w:val="DefaultParagraphFont"/>
    <w:uiPriority w:val="20"/>
    <w:qFormat/>
    <w:rsid w:val="0006423C"/>
    <w:rPr>
      <w:i/>
      <w:iCs/>
    </w:rPr>
  </w:style>
  <w:style w:type="paragraph" w:styleId="IntenseQuote">
    <w:name w:val="Intense Quote"/>
    <w:basedOn w:val="Normal"/>
    <w:next w:val="Normal"/>
    <w:link w:val="IntenseQuoteChar"/>
    <w:uiPriority w:val="30"/>
    <w:qFormat/>
    <w:rsid w:val="0006423C"/>
    <w:pPr>
      <w:pBdr>
        <w:bottom w:val="single" w:sz="4" w:space="4" w:color="156082" w:themeColor="accent1"/>
      </w:pBdr>
      <w:spacing w:before="200" w:after="280" w:line="276" w:lineRule="auto"/>
      <w:ind w:left="936" w:right="936" w:firstLine="0"/>
    </w:pPr>
    <w:rPr>
      <w:rFonts w:cstheme="minorBidi"/>
      <w:b/>
      <w:bCs/>
      <w:i/>
      <w:iCs/>
      <w:color w:val="156082" w:themeColor="accent1"/>
      <w:sz w:val="22"/>
      <w:szCs w:val="22"/>
      <w:lang w:eastAsia="en-US"/>
    </w:rPr>
  </w:style>
  <w:style w:type="character" w:customStyle="1" w:styleId="IntenseQuoteChar">
    <w:name w:val="Intense Quote Char"/>
    <w:basedOn w:val="DefaultParagraphFont"/>
    <w:link w:val="IntenseQuote"/>
    <w:uiPriority w:val="30"/>
    <w:rsid w:val="0006423C"/>
    <w:rPr>
      <w:rFonts w:cstheme="minorBidi"/>
      <w:b/>
      <w:bCs/>
      <w:i/>
      <w:iCs/>
      <w:color w:val="156082" w:themeColor="accent1"/>
      <w:sz w:val="22"/>
      <w:szCs w:val="22"/>
      <w:lang w:eastAsia="en-US"/>
    </w:rPr>
  </w:style>
  <w:style w:type="character" w:styleId="SubtleEmphasis">
    <w:name w:val="Subtle Emphasis"/>
    <w:basedOn w:val="DefaultParagraphFont"/>
    <w:uiPriority w:val="19"/>
    <w:qFormat/>
    <w:rsid w:val="0006423C"/>
    <w:rPr>
      <w:i/>
      <w:iCs/>
      <w:color w:val="808080" w:themeColor="text1" w:themeTint="7F"/>
    </w:rPr>
  </w:style>
  <w:style w:type="character" w:styleId="IntenseEmphasis">
    <w:name w:val="Intense Emphasis"/>
    <w:basedOn w:val="DefaultParagraphFont"/>
    <w:uiPriority w:val="21"/>
    <w:qFormat/>
    <w:rsid w:val="0006423C"/>
    <w:rPr>
      <w:b/>
      <w:bCs/>
      <w:i/>
      <w:iCs/>
      <w:color w:val="156082" w:themeColor="accent1"/>
    </w:rPr>
  </w:style>
  <w:style w:type="character" w:styleId="SubtleReference">
    <w:name w:val="Subtle Reference"/>
    <w:basedOn w:val="DefaultParagraphFont"/>
    <w:uiPriority w:val="31"/>
    <w:qFormat/>
    <w:rsid w:val="0006423C"/>
    <w:rPr>
      <w:smallCaps/>
      <w:color w:val="E97132" w:themeColor="accent2"/>
      <w:u w:val="single"/>
    </w:rPr>
  </w:style>
  <w:style w:type="character" w:styleId="IntenseReference">
    <w:name w:val="Intense Reference"/>
    <w:basedOn w:val="DefaultParagraphFont"/>
    <w:uiPriority w:val="32"/>
    <w:qFormat/>
    <w:rsid w:val="0006423C"/>
    <w:rPr>
      <w:b/>
      <w:bCs/>
      <w:smallCaps/>
      <w:color w:val="E97132" w:themeColor="accent2"/>
      <w:spacing w:val="5"/>
      <w:u w:val="single"/>
    </w:rPr>
  </w:style>
  <w:style w:type="character" w:styleId="BookTitle">
    <w:name w:val="Book Title"/>
    <w:basedOn w:val="DefaultParagraphFont"/>
    <w:uiPriority w:val="33"/>
    <w:qFormat/>
    <w:rsid w:val="0006423C"/>
    <w:rPr>
      <w:b/>
      <w:bCs/>
      <w:smallCaps/>
      <w:spacing w:val="5"/>
    </w:rPr>
  </w:style>
  <w:style w:type="table" w:styleId="TableGrid">
    <w:name w:val="Table Grid"/>
    <w:basedOn w:val="TableNormal"/>
    <w:uiPriority w:val="59"/>
    <w:rsid w:val="0006423C"/>
    <w:pPr>
      <w:spacing w:after="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6423C"/>
    <w:pPr>
      <w:spacing w:after="0"/>
    </w:pPr>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6423C"/>
    <w:pPr>
      <w:spacing w:after="0"/>
    </w:pPr>
    <w:rPr>
      <w:rFonts w:asciiTheme="minorHAnsi" w:eastAsiaTheme="minorEastAsia" w:hAnsiTheme="minorHAnsi" w:cstheme="minorBidi"/>
      <w:color w:val="0F4761" w:themeColor="accent1" w:themeShade="BF"/>
      <w:sz w:val="22"/>
      <w:szCs w:val="22"/>
      <w:lang w:eastAsia="en-US"/>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06423C"/>
    <w:pPr>
      <w:spacing w:after="0"/>
    </w:pPr>
    <w:rPr>
      <w:rFonts w:asciiTheme="minorHAnsi" w:eastAsiaTheme="minorEastAsia" w:hAnsiTheme="minorHAnsi" w:cstheme="minorBidi"/>
      <w:color w:val="BF4E14" w:themeColor="accent2" w:themeShade="BF"/>
      <w:sz w:val="22"/>
      <w:szCs w:val="22"/>
      <w:lang w:eastAsia="en-US"/>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06423C"/>
    <w:pPr>
      <w:spacing w:after="0"/>
    </w:pPr>
    <w:rPr>
      <w:rFonts w:asciiTheme="minorHAnsi" w:eastAsiaTheme="minorEastAsia" w:hAnsiTheme="minorHAnsi" w:cstheme="minorBidi"/>
      <w:color w:val="124F1A" w:themeColor="accent3" w:themeShade="BF"/>
      <w:sz w:val="22"/>
      <w:szCs w:val="22"/>
      <w:lang w:eastAsia="en-US"/>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06423C"/>
    <w:pPr>
      <w:spacing w:after="0"/>
    </w:pPr>
    <w:rPr>
      <w:rFonts w:asciiTheme="minorHAnsi" w:eastAsiaTheme="minorEastAsia" w:hAnsiTheme="minorHAnsi" w:cstheme="minorBidi"/>
      <w:color w:val="0B769F" w:themeColor="accent4" w:themeShade="BF"/>
      <w:sz w:val="22"/>
      <w:szCs w:val="22"/>
      <w:lang w:eastAsia="en-US"/>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06423C"/>
    <w:pPr>
      <w:spacing w:after="0"/>
    </w:pPr>
    <w:rPr>
      <w:rFonts w:asciiTheme="minorHAnsi" w:eastAsiaTheme="minorEastAsia" w:hAnsiTheme="minorHAnsi" w:cstheme="minorBidi"/>
      <w:color w:val="77206D" w:themeColor="accent5" w:themeShade="BF"/>
      <w:sz w:val="22"/>
      <w:szCs w:val="22"/>
      <w:lang w:eastAsia="en-US"/>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06423C"/>
    <w:pPr>
      <w:spacing w:after="0"/>
    </w:pPr>
    <w:rPr>
      <w:rFonts w:asciiTheme="minorHAnsi" w:eastAsiaTheme="minorEastAsia" w:hAnsiTheme="minorHAnsi" w:cstheme="minorBidi"/>
      <w:color w:val="3A7C22" w:themeColor="accent6" w:themeShade="BF"/>
      <w:sz w:val="22"/>
      <w:szCs w:val="22"/>
      <w:lang w:eastAsia="en-US"/>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6423C"/>
    <w:pPr>
      <w:spacing w:after="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06423C"/>
    <w:pPr>
      <w:spacing w:after="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06423C"/>
    <w:pPr>
      <w:spacing w:after="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6423C"/>
    <w:pPr>
      <w:spacing w:after="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06423C"/>
    <w:pPr>
      <w:spacing w:after="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06423C"/>
    <w:pPr>
      <w:spacing w:after="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06423C"/>
    <w:pPr>
      <w:spacing w:after="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06423C"/>
    <w:pPr>
      <w:spacing w:after="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06423C"/>
    <w:pPr>
      <w:spacing w:after="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06423C"/>
    <w:pPr>
      <w:spacing w:after="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customStyle="1" w:styleId="AppendixBodyNoIndent">
    <w:name w:val="Appendix Body No Indent"/>
    <w:rsid w:val="0006423C"/>
    <w:pPr>
      <w:spacing w:after="80" w:line="276" w:lineRule="auto"/>
    </w:pPr>
    <w:rPr>
      <w:rFonts w:cstheme="minorBidi"/>
      <w:sz w:val="22"/>
      <w:szCs w:val="22"/>
      <w:lang w:eastAsia="en-US"/>
    </w:rPr>
  </w:style>
  <w:style w:type="paragraph" w:customStyle="1" w:styleId="AppendixTableCellNoIndent">
    <w:name w:val="Appendix Table Cell No Indent"/>
    <w:rsid w:val="0006423C"/>
    <w:pPr>
      <w:spacing w:after="0" w:line="276" w:lineRule="auto"/>
    </w:pPr>
    <w:rPr>
      <w:rFonts w:cstheme="minorBidi"/>
      <w:sz w:val="20"/>
      <w:szCs w:val="22"/>
      <w:lang w:eastAsia="en-US"/>
    </w:rPr>
  </w:style>
  <w:style w:type="paragraph" w:customStyle="1" w:styleId="AppendixTableHeaderNoIndent">
    <w:name w:val="Appendix Table Header No Indent"/>
    <w:rsid w:val="0006423C"/>
    <w:pPr>
      <w:spacing w:after="0" w:line="276" w:lineRule="auto"/>
    </w:pPr>
    <w:rPr>
      <w:rFonts w:cstheme="minorBidi"/>
      <w:b/>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115</Pages>
  <Words>28138</Words>
  <Characters>160388</Characters>
  <Application>Microsoft Office Word</Application>
  <DocSecurity>0</DocSecurity>
  <Lines>1336</Lines>
  <Paragraphs>376</Paragraphs>
  <ScaleCrop>false</ScaleCrop>
  <Company/>
  <LinksUpToDate>false</LinksUpToDate>
  <CharactersWithSpaces>188150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Motala, Omar-HLSCLINICS</dc:creator>
  <cp:keywords/>
  <cp:lastModifiedBy>Motala, Omar-HLSCLINICS</cp:lastModifiedBy>
  <cp:revision>9</cp:revision>
  <dcterms:created xsi:type="dcterms:W3CDTF">2026-05-12T22:05:00Z</dcterms:created>
  <dcterms:modified xsi:type="dcterms:W3CDTF">2026-05-12T22:18:00Z</dcterms:modified>
</cp:coreProperties>
</file>