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884F4" w14:textId="77777777" w:rsidR="00046AD9" w:rsidRPr="00E1253A" w:rsidRDefault="00046AD9" w:rsidP="0012453C">
      <w:pPr>
        <w:spacing w:line="360" w:lineRule="auto"/>
        <w:rPr>
          <w:rFonts w:ascii="YaleNew" w:hAnsi="YaleNew"/>
          <w:color w:val="000000" w:themeColor="text1"/>
          <w:sz w:val="21"/>
          <w:szCs w:val="21"/>
        </w:rPr>
      </w:pPr>
    </w:p>
    <w:p w14:paraId="61E98F89" w14:textId="3539ABDF" w:rsidR="008759FB" w:rsidRPr="00E1253A" w:rsidRDefault="00A569C0" w:rsidP="0012453C">
      <w:pPr>
        <w:spacing w:line="360" w:lineRule="auto"/>
        <w:jc w:val="center"/>
        <w:rPr>
          <w:rFonts w:ascii="YaleNew" w:hAnsi="YaleNew"/>
          <w:color w:val="000000" w:themeColor="text1"/>
          <w:sz w:val="52"/>
          <w:szCs w:val="52"/>
        </w:rPr>
      </w:pPr>
      <w:r w:rsidRPr="00E1253A">
        <w:rPr>
          <w:rFonts w:ascii="YaleNew" w:hAnsi="YaleNew"/>
          <w:color w:val="000000" w:themeColor="text1"/>
          <w:sz w:val="52"/>
          <w:szCs w:val="52"/>
        </w:rPr>
        <w:t>Yale University</w:t>
      </w:r>
    </w:p>
    <w:p w14:paraId="00836461" w14:textId="77777777" w:rsidR="0012453C" w:rsidRPr="00E1253A" w:rsidRDefault="0012453C" w:rsidP="0012453C">
      <w:pPr>
        <w:spacing w:line="360" w:lineRule="auto"/>
        <w:jc w:val="center"/>
        <w:rPr>
          <w:rFonts w:ascii="YaleNew" w:hAnsi="YaleNew"/>
          <w:color w:val="000000" w:themeColor="text1"/>
          <w:sz w:val="20"/>
          <w:szCs w:val="20"/>
        </w:rPr>
      </w:pPr>
    </w:p>
    <w:p w14:paraId="3AE6CCF9" w14:textId="058A6B5C" w:rsidR="00A569C0" w:rsidRPr="00E1253A" w:rsidRDefault="00A569C0" w:rsidP="0012453C">
      <w:pPr>
        <w:spacing w:line="360" w:lineRule="auto"/>
        <w:jc w:val="center"/>
        <w:rPr>
          <w:rFonts w:ascii="YaleNew" w:hAnsi="YaleNew"/>
          <w:color w:val="000000" w:themeColor="text1"/>
          <w:sz w:val="36"/>
          <w:szCs w:val="36"/>
        </w:rPr>
      </w:pPr>
      <w:r w:rsidRPr="00E1253A">
        <w:rPr>
          <w:rFonts w:ascii="YaleNew" w:hAnsi="YaleNew"/>
          <w:color w:val="000000" w:themeColor="text1"/>
          <w:sz w:val="36"/>
          <w:szCs w:val="36"/>
        </w:rPr>
        <w:t>Department of Political Science</w:t>
      </w:r>
    </w:p>
    <w:p w14:paraId="652CB4AD" w14:textId="1D443F5A" w:rsidR="00046AD9" w:rsidRPr="00E1253A" w:rsidRDefault="00A569C0" w:rsidP="0012453C">
      <w:pPr>
        <w:spacing w:line="360" w:lineRule="auto"/>
        <w:jc w:val="center"/>
        <w:rPr>
          <w:rFonts w:ascii="YaleNew" w:hAnsi="YaleNew"/>
          <w:color w:val="000000" w:themeColor="text1"/>
          <w:sz w:val="32"/>
          <w:szCs w:val="32"/>
        </w:rPr>
      </w:pPr>
      <w:r w:rsidRPr="00E1253A">
        <w:rPr>
          <w:rFonts w:ascii="YaleNew" w:hAnsi="YaleNew"/>
          <w:color w:val="000000" w:themeColor="text1"/>
          <w:sz w:val="32"/>
          <w:szCs w:val="32"/>
        </w:rPr>
        <w:t>Senior Thesis in Political Philosophy</w:t>
      </w:r>
    </w:p>
    <w:p w14:paraId="5E3F15F1" w14:textId="77777777" w:rsidR="0012453C" w:rsidRPr="00E1253A" w:rsidRDefault="0012453C" w:rsidP="0012453C">
      <w:pPr>
        <w:spacing w:line="360" w:lineRule="auto"/>
        <w:jc w:val="center"/>
        <w:rPr>
          <w:rFonts w:ascii="YaleNew" w:hAnsi="YaleNew"/>
          <w:color w:val="000000" w:themeColor="text1"/>
          <w:sz w:val="32"/>
          <w:szCs w:val="32"/>
        </w:rPr>
      </w:pPr>
    </w:p>
    <w:p w14:paraId="0D84E0D7" w14:textId="77777777" w:rsidR="00A569C0" w:rsidRPr="00E1253A" w:rsidRDefault="00A569C0" w:rsidP="0012453C">
      <w:pPr>
        <w:pBdr>
          <w:top w:val="single" w:sz="4" w:space="1" w:color="auto"/>
        </w:pBdr>
        <w:spacing w:line="360" w:lineRule="auto"/>
        <w:jc w:val="center"/>
        <w:rPr>
          <w:rFonts w:ascii="YaleNew" w:hAnsi="YaleNew"/>
          <w:color w:val="000000" w:themeColor="text1"/>
          <w:sz w:val="16"/>
          <w:szCs w:val="16"/>
        </w:rPr>
      </w:pPr>
    </w:p>
    <w:p w14:paraId="10EF6477" w14:textId="5CD2C7B4" w:rsidR="00A569C0" w:rsidRPr="00E1253A" w:rsidRDefault="0012453C" w:rsidP="0012453C">
      <w:pPr>
        <w:spacing w:line="360" w:lineRule="auto"/>
        <w:jc w:val="center"/>
        <w:rPr>
          <w:rFonts w:ascii="YaleNew" w:hAnsi="YaleNew"/>
          <w:color w:val="000000" w:themeColor="text1"/>
          <w:sz w:val="32"/>
          <w:szCs w:val="32"/>
        </w:rPr>
      </w:pPr>
      <w:bookmarkStart w:id="0" w:name="OLE_LINK8"/>
      <w:r w:rsidRPr="00E1253A">
        <w:rPr>
          <w:rFonts w:ascii="YaleNew" w:hAnsi="YaleNew"/>
          <w:b/>
          <w:bCs/>
          <w:color w:val="000000" w:themeColor="text1"/>
          <w:sz w:val="32"/>
          <w:szCs w:val="32"/>
        </w:rPr>
        <w:t xml:space="preserve">Redefining </w:t>
      </w:r>
      <w:r w:rsidR="00A569C0" w:rsidRPr="00E1253A">
        <w:rPr>
          <w:rFonts w:ascii="YaleNew" w:hAnsi="YaleNew"/>
          <w:b/>
          <w:bCs/>
          <w:color w:val="000000" w:themeColor="text1"/>
          <w:sz w:val="32"/>
          <w:szCs w:val="32"/>
        </w:rPr>
        <w:t xml:space="preserve">Corporate </w:t>
      </w:r>
      <w:r w:rsidR="00E0109E" w:rsidRPr="00E1253A">
        <w:rPr>
          <w:rFonts w:ascii="YaleNew" w:hAnsi="YaleNew"/>
          <w:b/>
          <w:bCs/>
          <w:color w:val="000000" w:themeColor="text1"/>
          <w:sz w:val="32"/>
          <w:szCs w:val="32"/>
        </w:rPr>
        <w:t>Purpose</w:t>
      </w:r>
      <w:r w:rsidR="00A569C0" w:rsidRPr="00E1253A">
        <w:rPr>
          <w:rFonts w:ascii="YaleNew" w:hAnsi="YaleNew"/>
          <w:b/>
          <w:bCs/>
          <w:color w:val="000000" w:themeColor="text1"/>
          <w:sz w:val="32"/>
          <w:szCs w:val="32"/>
        </w:rPr>
        <w:t xml:space="preserve"> </w:t>
      </w:r>
      <w:r w:rsidR="00A569C0" w:rsidRPr="00E1253A">
        <w:rPr>
          <w:rFonts w:ascii="YaleNew" w:hAnsi="YaleNew"/>
          <w:color w:val="000000" w:themeColor="text1"/>
          <w:sz w:val="32"/>
          <w:szCs w:val="32"/>
        </w:rPr>
        <w:t>:</w:t>
      </w:r>
    </w:p>
    <w:p w14:paraId="486DCA05" w14:textId="342A4F1F" w:rsidR="00A569C0" w:rsidRPr="00E1253A" w:rsidRDefault="00E0109E" w:rsidP="0012453C">
      <w:pPr>
        <w:spacing w:line="360" w:lineRule="auto"/>
        <w:jc w:val="center"/>
        <w:rPr>
          <w:rFonts w:ascii="YaleNew" w:hAnsi="YaleNew"/>
          <w:color w:val="000000" w:themeColor="text1"/>
          <w:sz w:val="32"/>
          <w:szCs w:val="32"/>
        </w:rPr>
      </w:pPr>
      <w:r w:rsidRPr="00E1253A">
        <w:rPr>
          <w:rFonts w:ascii="YaleNew" w:hAnsi="YaleNew"/>
          <w:color w:val="000000" w:themeColor="text1"/>
          <w:sz w:val="32"/>
          <w:szCs w:val="32"/>
        </w:rPr>
        <w:t>An Institutional Political Economy Analysis</w:t>
      </w:r>
    </w:p>
    <w:bookmarkEnd w:id="0"/>
    <w:p w14:paraId="28E1DCAF" w14:textId="7BDBE6D5" w:rsidR="00A569C0" w:rsidRPr="00E1253A" w:rsidRDefault="00A569C0" w:rsidP="0012453C">
      <w:pPr>
        <w:pBdr>
          <w:bottom w:val="single" w:sz="4" w:space="1" w:color="auto"/>
        </w:pBdr>
        <w:spacing w:line="360" w:lineRule="auto"/>
        <w:jc w:val="center"/>
        <w:rPr>
          <w:rFonts w:ascii="YaleNew" w:hAnsi="YaleNew"/>
          <w:color w:val="000000" w:themeColor="text1"/>
          <w:sz w:val="6"/>
          <w:szCs w:val="6"/>
        </w:rPr>
      </w:pPr>
    </w:p>
    <w:p w14:paraId="049FF7D8" w14:textId="77777777" w:rsidR="00BF6B9E" w:rsidRPr="00E1253A" w:rsidRDefault="00BF6B9E" w:rsidP="0012453C">
      <w:pPr>
        <w:spacing w:line="360" w:lineRule="auto"/>
        <w:rPr>
          <w:rFonts w:ascii="YaleNew" w:hAnsi="YaleNew"/>
          <w:i/>
          <w:iCs/>
          <w:color w:val="000000" w:themeColor="text1"/>
          <w:sz w:val="21"/>
          <w:szCs w:val="21"/>
        </w:rPr>
      </w:pPr>
      <w:bookmarkStart w:id="1" w:name="OLE_LINK108"/>
      <w:bookmarkStart w:id="2" w:name="OLE_LINK109"/>
    </w:p>
    <w:p w14:paraId="2E3645D8" w14:textId="77777777" w:rsidR="007B2E8E" w:rsidRPr="00E1253A" w:rsidRDefault="007B2E8E" w:rsidP="0012453C">
      <w:pPr>
        <w:spacing w:line="360" w:lineRule="auto"/>
        <w:jc w:val="center"/>
        <w:rPr>
          <w:rFonts w:ascii="YaleNew" w:hAnsi="YaleNew"/>
          <w:color w:val="000000" w:themeColor="text1"/>
        </w:rPr>
      </w:pPr>
      <w:r w:rsidRPr="00E1253A">
        <w:rPr>
          <w:rFonts w:ascii="YaleNew" w:hAnsi="YaleNew"/>
          <w:i/>
          <w:iCs/>
          <w:color w:val="000000" w:themeColor="text1"/>
        </w:rPr>
        <w:t>Author:</w:t>
      </w:r>
      <w:r w:rsidRPr="00E1253A">
        <w:rPr>
          <w:rFonts w:ascii="YaleNew" w:hAnsi="YaleNew"/>
          <w:i/>
          <w:iCs/>
          <w:color w:val="000000" w:themeColor="text1"/>
        </w:rPr>
        <w:tab/>
      </w:r>
      <w:r w:rsidRPr="00E1253A">
        <w:rPr>
          <w:rFonts w:ascii="YaleNew" w:hAnsi="YaleNew"/>
          <w:i/>
          <w:iCs/>
          <w:color w:val="000000" w:themeColor="text1"/>
        </w:rPr>
        <w:tab/>
      </w:r>
      <w:r w:rsidRPr="00E1253A">
        <w:rPr>
          <w:rFonts w:ascii="YaleNew" w:hAnsi="YaleNew"/>
          <w:i/>
          <w:iCs/>
          <w:color w:val="000000" w:themeColor="text1"/>
        </w:rPr>
        <w:tab/>
      </w:r>
      <w:r w:rsidRPr="00E1253A">
        <w:rPr>
          <w:rFonts w:ascii="YaleNew" w:hAnsi="YaleNew"/>
          <w:color w:val="000000" w:themeColor="text1"/>
        </w:rPr>
        <w:tab/>
      </w:r>
      <w:r w:rsidRPr="00E1253A">
        <w:rPr>
          <w:rFonts w:ascii="YaleNew" w:hAnsi="YaleNew"/>
          <w:color w:val="000000" w:themeColor="text1"/>
        </w:rPr>
        <w:tab/>
      </w:r>
      <w:r w:rsidRPr="00E1253A">
        <w:rPr>
          <w:rFonts w:ascii="YaleNew" w:hAnsi="YaleNew"/>
          <w:color w:val="000000" w:themeColor="text1"/>
        </w:rPr>
        <w:tab/>
      </w:r>
      <w:r w:rsidRPr="00E1253A">
        <w:rPr>
          <w:rFonts w:ascii="YaleNew" w:hAnsi="YaleNew"/>
          <w:color w:val="000000" w:themeColor="text1"/>
        </w:rPr>
        <w:tab/>
      </w:r>
      <w:r w:rsidRPr="00E1253A">
        <w:rPr>
          <w:rFonts w:ascii="YaleNew" w:hAnsi="YaleNew"/>
          <w:color w:val="000000" w:themeColor="text1"/>
        </w:rPr>
        <w:tab/>
      </w:r>
      <w:r w:rsidRPr="00E1253A">
        <w:rPr>
          <w:rFonts w:ascii="YaleNew" w:hAnsi="YaleNew"/>
          <w:color w:val="000000" w:themeColor="text1"/>
        </w:rPr>
        <w:tab/>
      </w:r>
      <w:r w:rsidRPr="00E1253A">
        <w:rPr>
          <w:rFonts w:ascii="YaleNew" w:hAnsi="YaleNew"/>
          <w:color w:val="000000" w:themeColor="text1"/>
        </w:rPr>
        <w:tab/>
        <w:t xml:space="preserve">    </w:t>
      </w:r>
      <w:r w:rsidRPr="00E1253A">
        <w:rPr>
          <w:rFonts w:ascii="YaleNew" w:hAnsi="YaleNew"/>
          <w:i/>
          <w:iCs/>
          <w:color w:val="000000" w:themeColor="text1"/>
        </w:rPr>
        <w:t>Advisors:</w:t>
      </w:r>
    </w:p>
    <w:p w14:paraId="73223AC5" w14:textId="21022A71" w:rsidR="007B2E8E" w:rsidRPr="00E1253A" w:rsidRDefault="00BF6B9E" w:rsidP="0012453C">
      <w:pPr>
        <w:spacing w:line="360" w:lineRule="auto"/>
        <w:jc w:val="center"/>
        <w:rPr>
          <w:rFonts w:ascii="YaleNew" w:hAnsi="YaleNew"/>
          <w:color w:val="000000" w:themeColor="text1"/>
        </w:rPr>
      </w:pPr>
      <w:r w:rsidRPr="00E1253A">
        <w:rPr>
          <w:rFonts w:ascii="YaleNew" w:hAnsi="YaleNew"/>
          <w:color w:val="000000" w:themeColor="text1"/>
        </w:rPr>
        <w:t>OMAR MOTALA</w:t>
      </w:r>
      <w:r w:rsidR="007B2E8E" w:rsidRPr="00E1253A">
        <w:rPr>
          <w:rFonts w:ascii="YaleNew" w:hAnsi="YaleNew"/>
          <w:color w:val="000000" w:themeColor="text1"/>
        </w:rPr>
        <w:t xml:space="preserve"> </w:t>
      </w:r>
      <w:r w:rsidR="007B2E8E" w:rsidRPr="00E1253A">
        <w:rPr>
          <w:rFonts w:ascii="YaleNew" w:hAnsi="YaleNew"/>
          <w:color w:val="000000" w:themeColor="text1"/>
        </w:rPr>
        <w:tab/>
      </w:r>
      <w:r w:rsidR="007B2E8E" w:rsidRPr="00E1253A">
        <w:rPr>
          <w:rFonts w:ascii="YaleNew" w:hAnsi="YaleNew"/>
          <w:color w:val="000000" w:themeColor="text1"/>
        </w:rPr>
        <w:tab/>
      </w:r>
      <w:r w:rsidR="007B2E8E" w:rsidRPr="00E1253A">
        <w:rPr>
          <w:rFonts w:ascii="YaleNew" w:hAnsi="YaleNew"/>
          <w:color w:val="000000" w:themeColor="text1"/>
        </w:rPr>
        <w:tab/>
      </w:r>
      <w:r w:rsidR="007B2E8E" w:rsidRPr="00E1253A">
        <w:rPr>
          <w:rFonts w:ascii="YaleNew" w:hAnsi="YaleNew"/>
          <w:color w:val="000000" w:themeColor="text1"/>
        </w:rPr>
        <w:tab/>
      </w:r>
      <w:r w:rsidR="007B2E8E" w:rsidRPr="00E1253A">
        <w:rPr>
          <w:rFonts w:ascii="YaleNew" w:hAnsi="YaleNew"/>
          <w:color w:val="000000" w:themeColor="text1"/>
        </w:rPr>
        <w:tab/>
        <w:t xml:space="preserve">        </w:t>
      </w:r>
      <w:r w:rsidR="007B2E8E" w:rsidRPr="00E1253A">
        <w:rPr>
          <w:rFonts w:ascii="YaleNew" w:hAnsi="YaleNew"/>
          <w:color w:val="000000" w:themeColor="text1"/>
        </w:rPr>
        <w:tab/>
      </w:r>
      <w:r w:rsidR="007B2E8E" w:rsidRPr="00E1253A">
        <w:rPr>
          <w:rFonts w:ascii="YaleNew" w:hAnsi="YaleNew"/>
          <w:color w:val="000000" w:themeColor="text1"/>
        </w:rPr>
        <w:tab/>
        <w:t xml:space="preserve">                   ROBIN LANDIS</w:t>
      </w:r>
    </w:p>
    <w:p w14:paraId="435276A7" w14:textId="5961708E" w:rsidR="004D303C" w:rsidRPr="00E1253A" w:rsidRDefault="000E0166" w:rsidP="0012453C">
      <w:pPr>
        <w:spacing w:line="360" w:lineRule="auto"/>
        <w:ind w:left="7200"/>
        <w:jc w:val="center"/>
        <w:rPr>
          <w:rFonts w:ascii="YaleNew" w:hAnsi="YaleNew"/>
          <w:color w:val="000000" w:themeColor="text1"/>
        </w:rPr>
      </w:pPr>
      <w:r>
        <w:rPr>
          <w:rFonts w:ascii="YaleNew" w:hAnsi="YaleNew"/>
          <w:color w:val="000000" w:themeColor="text1"/>
        </w:rPr>
        <w:t xml:space="preserve">   </w:t>
      </w:r>
      <w:r w:rsidR="007B2E8E" w:rsidRPr="00E1253A">
        <w:rPr>
          <w:rFonts w:ascii="YaleNew" w:hAnsi="YaleNew"/>
          <w:color w:val="000000" w:themeColor="text1"/>
        </w:rPr>
        <w:t>DANIEL C. ESTY</w:t>
      </w:r>
    </w:p>
    <w:bookmarkEnd w:id="1"/>
    <w:bookmarkEnd w:id="2"/>
    <w:p w14:paraId="2CB85ADC" w14:textId="77777777" w:rsidR="00BF6B9E" w:rsidRPr="00E1253A" w:rsidRDefault="00BF6B9E" w:rsidP="0012453C">
      <w:pPr>
        <w:spacing w:line="360" w:lineRule="auto"/>
        <w:jc w:val="center"/>
        <w:rPr>
          <w:rFonts w:ascii="YaleNew" w:hAnsi="YaleNew"/>
          <w:color w:val="000000" w:themeColor="text1"/>
        </w:rPr>
      </w:pPr>
    </w:p>
    <w:p w14:paraId="5F8A2459" w14:textId="77777777" w:rsidR="00BF6B9E" w:rsidRPr="00E1253A" w:rsidRDefault="00BF6B9E" w:rsidP="0012453C">
      <w:pPr>
        <w:spacing w:line="360" w:lineRule="auto"/>
        <w:jc w:val="center"/>
        <w:rPr>
          <w:rFonts w:ascii="YaleNew" w:hAnsi="YaleNew"/>
          <w:color w:val="000000" w:themeColor="text1"/>
        </w:rPr>
      </w:pPr>
    </w:p>
    <w:p w14:paraId="7F669ACE" w14:textId="77777777" w:rsidR="007B2E8E" w:rsidRPr="00E1253A" w:rsidRDefault="007B2E8E" w:rsidP="0012453C">
      <w:pPr>
        <w:spacing w:line="360" w:lineRule="auto"/>
        <w:jc w:val="center"/>
        <w:rPr>
          <w:rFonts w:ascii="YaleNew" w:hAnsi="YaleNew"/>
          <w:color w:val="000000" w:themeColor="text1"/>
        </w:rPr>
      </w:pPr>
      <w:r w:rsidRPr="00E1253A">
        <w:rPr>
          <w:rFonts w:ascii="YaleNew" w:hAnsi="YaleNew"/>
          <w:color w:val="000000" w:themeColor="text1"/>
        </w:rPr>
        <w:t>SPRING 2020</w:t>
      </w:r>
    </w:p>
    <w:p w14:paraId="1E4DD29D" w14:textId="51A1619E" w:rsidR="007B2E8E" w:rsidRPr="00E1253A" w:rsidRDefault="007B2E8E" w:rsidP="0012453C">
      <w:pPr>
        <w:spacing w:line="360" w:lineRule="auto"/>
        <w:jc w:val="center"/>
        <w:rPr>
          <w:rFonts w:ascii="YaleNew" w:hAnsi="YaleNew"/>
          <w:color w:val="000000" w:themeColor="text1"/>
        </w:rPr>
      </w:pPr>
    </w:p>
    <w:p w14:paraId="2A959B97" w14:textId="77777777" w:rsidR="007B2E8E" w:rsidRPr="00E1253A" w:rsidRDefault="007B2E8E" w:rsidP="0012453C">
      <w:pPr>
        <w:spacing w:line="360" w:lineRule="auto"/>
        <w:jc w:val="center"/>
        <w:rPr>
          <w:rFonts w:ascii="YaleNew" w:hAnsi="YaleNew"/>
          <w:color w:val="000000" w:themeColor="text1"/>
        </w:rPr>
      </w:pPr>
    </w:p>
    <w:p w14:paraId="2320D312" w14:textId="4D9EAC26" w:rsidR="007B2E8E" w:rsidRPr="00E1253A" w:rsidRDefault="007B2E8E" w:rsidP="0012453C">
      <w:pPr>
        <w:spacing w:line="360" w:lineRule="auto"/>
        <w:jc w:val="center"/>
        <w:rPr>
          <w:rFonts w:ascii="YaleNew" w:hAnsi="YaleNew"/>
          <w:color w:val="000000" w:themeColor="text1"/>
        </w:rPr>
      </w:pPr>
      <w:r w:rsidRPr="00E1253A">
        <w:rPr>
          <w:rFonts w:ascii="YaleNew" w:hAnsi="YaleNew"/>
          <w:noProof/>
          <w:color w:val="000000" w:themeColor="text1"/>
        </w:rPr>
        <w:drawing>
          <wp:inline distT="0" distB="0" distL="0" distR="0" wp14:anchorId="57BCA0D4" wp14:editId="7A72C392">
            <wp:extent cx="1591056" cy="1670609"/>
            <wp:effectExtent l="0" t="0" r="0" b="635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40px-Yale_University_Shield_1.svg.png"/>
                    <pic:cNvPicPr/>
                  </pic:nvPicPr>
                  <pic:blipFill>
                    <a:blip r:embed="rId8">
                      <a:extLst>
                        <a:ext uri="{28A0092B-C50C-407E-A947-70E740481C1C}">
                          <a14:useLocalDpi xmlns:a14="http://schemas.microsoft.com/office/drawing/2010/main" val="0"/>
                        </a:ext>
                      </a:extLst>
                    </a:blip>
                    <a:stretch>
                      <a:fillRect/>
                    </a:stretch>
                  </pic:blipFill>
                  <pic:spPr>
                    <a:xfrm>
                      <a:off x="0" y="0"/>
                      <a:ext cx="1629480" cy="1710954"/>
                    </a:xfrm>
                    <a:prstGeom prst="rect">
                      <a:avLst/>
                    </a:prstGeom>
                  </pic:spPr>
                </pic:pic>
              </a:graphicData>
            </a:graphic>
          </wp:inline>
        </w:drawing>
      </w:r>
    </w:p>
    <w:p w14:paraId="05E7C73F" w14:textId="1BE8D567" w:rsidR="00DC5E7E" w:rsidRPr="00E1253A" w:rsidRDefault="00DC5E7E" w:rsidP="0012453C">
      <w:pPr>
        <w:spacing w:line="480" w:lineRule="auto"/>
        <w:jc w:val="both"/>
        <w:rPr>
          <w:color w:val="000000" w:themeColor="text1"/>
        </w:rPr>
      </w:pPr>
    </w:p>
    <w:p w14:paraId="523B5E47" w14:textId="77777777" w:rsidR="00DC5E7E" w:rsidRPr="00E1253A" w:rsidRDefault="00DC5E7E" w:rsidP="0012453C">
      <w:pPr>
        <w:spacing w:line="480" w:lineRule="auto"/>
        <w:jc w:val="both"/>
        <w:rPr>
          <w:color w:val="000000" w:themeColor="text1"/>
        </w:rPr>
      </w:pPr>
    </w:p>
    <w:p w14:paraId="774D5900" w14:textId="607718E0" w:rsidR="007B2E8E" w:rsidRPr="00E1253A" w:rsidRDefault="007B2E8E" w:rsidP="00BA2AC7">
      <w:pPr>
        <w:pStyle w:val="Heading1"/>
        <w:numPr>
          <w:ilvl w:val="0"/>
          <w:numId w:val="0"/>
        </w:numPr>
        <w:spacing w:line="480" w:lineRule="auto"/>
        <w:ind w:left="180"/>
        <w:jc w:val="both"/>
      </w:pPr>
      <w:r w:rsidRPr="00E1253A">
        <w:lastRenderedPageBreak/>
        <w:t>Acknowledgements</w:t>
      </w:r>
    </w:p>
    <w:p w14:paraId="02065C3C" w14:textId="485B311E" w:rsidR="00825253" w:rsidRPr="00E1253A" w:rsidRDefault="00DC5E7E" w:rsidP="00BA2AC7">
      <w:pPr>
        <w:spacing w:line="360" w:lineRule="auto"/>
        <w:jc w:val="both"/>
        <w:rPr>
          <w:color w:val="000000" w:themeColor="text1"/>
        </w:rPr>
      </w:pPr>
      <w:r w:rsidRPr="00E1253A">
        <w:rPr>
          <w:color w:val="000000" w:themeColor="text1"/>
        </w:rPr>
        <w:t xml:space="preserve">I thank my advisors </w:t>
      </w:r>
      <w:r w:rsidR="00BA2AC7" w:rsidRPr="00E1253A">
        <w:rPr>
          <w:color w:val="000000" w:themeColor="text1"/>
        </w:rPr>
        <w:t xml:space="preserve">Professors </w:t>
      </w:r>
      <w:r w:rsidRPr="00E1253A">
        <w:rPr>
          <w:color w:val="000000" w:themeColor="text1"/>
        </w:rPr>
        <w:t xml:space="preserve">Robin Landis and Daniel Esty for their guidance on this thesis. </w:t>
      </w:r>
      <w:r w:rsidR="00825253" w:rsidRPr="00E1253A">
        <w:rPr>
          <w:color w:val="000000" w:themeColor="text1"/>
        </w:rPr>
        <w:t xml:space="preserve">I </w:t>
      </w:r>
      <w:r w:rsidRPr="00E1253A">
        <w:rPr>
          <w:color w:val="000000" w:themeColor="text1"/>
        </w:rPr>
        <w:t xml:space="preserve">extend special gratitude to </w:t>
      </w:r>
      <w:r w:rsidR="00B04C54" w:rsidRPr="00E1253A">
        <w:rPr>
          <w:color w:val="000000" w:themeColor="text1"/>
        </w:rPr>
        <w:t>Professor Esty, not</w:t>
      </w:r>
      <w:r w:rsidR="00825253" w:rsidRPr="00E1253A">
        <w:rPr>
          <w:color w:val="000000" w:themeColor="text1"/>
        </w:rPr>
        <w:t xml:space="preserve"> only as an academic advisor, but also as a mentor and research partner. Over the past two years I was fortunate enough to have the opportunity </w:t>
      </w:r>
      <w:r w:rsidR="0042512F" w:rsidRPr="00E1253A">
        <w:rPr>
          <w:color w:val="000000" w:themeColor="text1"/>
        </w:rPr>
        <w:t xml:space="preserve">to work on research under </w:t>
      </w:r>
      <w:r w:rsidR="00EE4194" w:rsidRPr="00E1253A">
        <w:rPr>
          <w:color w:val="000000" w:themeColor="text1"/>
        </w:rPr>
        <w:t>his leadership through the Yale Initiative for Sustainable Finance as well as the Yale Center for Environmental Law and Policy. The</w:t>
      </w:r>
      <w:r w:rsidR="0012453C" w:rsidRPr="00E1253A">
        <w:rPr>
          <w:color w:val="000000" w:themeColor="text1"/>
        </w:rPr>
        <w:t>se</w:t>
      </w:r>
      <w:r w:rsidR="00EE4194" w:rsidRPr="00E1253A">
        <w:rPr>
          <w:color w:val="000000" w:themeColor="text1"/>
        </w:rPr>
        <w:t xml:space="preserve"> experiences had a profound influence on how I view the role of business in society </w:t>
      </w:r>
      <w:r w:rsidR="00B04C54" w:rsidRPr="00E1253A">
        <w:rPr>
          <w:color w:val="000000" w:themeColor="text1"/>
        </w:rPr>
        <w:t>today and</w:t>
      </w:r>
      <w:r w:rsidR="0042512F" w:rsidRPr="00E1253A">
        <w:rPr>
          <w:color w:val="000000" w:themeColor="text1"/>
        </w:rPr>
        <w:t xml:space="preserve"> was a key inspiration behind </w:t>
      </w:r>
      <w:r w:rsidRPr="00E1253A">
        <w:rPr>
          <w:color w:val="000000" w:themeColor="text1"/>
        </w:rPr>
        <w:t xml:space="preserve">producing </w:t>
      </w:r>
      <w:r w:rsidR="0042512F" w:rsidRPr="00E1253A">
        <w:rPr>
          <w:color w:val="000000" w:themeColor="text1"/>
        </w:rPr>
        <w:t>this paper.</w:t>
      </w:r>
    </w:p>
    <w:p w14:paraId="73745774" w14:textId="514C01C3" w:rsidR="0042512F" w:rsidRPr="00E1253A" w:rsidRDefault="0042512F" w:rsidP="00BA2AC7">
      <w:pPr>
        <w:spacing w:line="360" w:lineRule="auto"/>
        <w:jc w:val="both"/>
        <w:rPr>
          <w:color w:val="000000" w:themeColor="text1"/>
        </w:rPr>
      </w:pPr>
    </w:p>
    <w:p w14:paraId="6BEC8328" w14:textId="3FC254E6" w:rsidR="0042512F" w:rsidRPr="00E1253A" w:rsidRDefault="0042512F" w:rsidP="00BA2AC7">
      <w:pPr>
        <w:spacing w:line="360" w:lineRule="auto"/>
        <w:jc w:val="both"/>
        <w:rPr>
          <w:color w:val="000000" w:themeColor="text1"/>
        </w:rPr>
      </w:pPr>
      <w:r w:rsidRPr="00E1253A">
        <w:rPr>
          <w:color w:val="000000" w:themeColor="text1"/>
        </w:rPr>
        <w:t>This paper draws on work and research across a multitude of courses I have taken at Yale in both the political science and economics departments</w:t>
      </w:r>
      <w:r w:rsidR="00B04C54" w:rsidRPr="00E1253A">
        <w:rPr>
          <w:color w:val="000000" w:themeColor="text1"/>
        </w:rPr>
        <w:t xml:space="preserve"> across my four years here. I extend </w:t>
      </w:r>
      <w:r w:rsidR="002512F6" w:rsidRPr="00E1253A">
        <w:rPr>
          <w:color w:val="000000" w:themeColor="text1"/>
        </w:rPr>
        <w:t xml:space="preserve">special </w:t>
      </w:r>
      <w:r w:rsidR="00B04C54" w:rsidRPr="00E1253A">
        <w:rPr>
          <w:color w:val="000000" w:themeColor="text1"/>
        </w:rPr>
        <w:t>thanks to Professors</w:t>
      </w:r>
      <w:r w:rsidR="007F527D" w:rsidRPr="00E1253A">
        <w:rPr>
          <w:color w:val="000000" w:themeColor="text1"/>
        </w:rPr>
        <w:t xml:space="preserve"> </w:t>
      </w:r>
      <w:r w:rsidR="002512F6" w:rsidRPr="00E1253A">
        <w:rPr>
          <w:color w:val="000000" w:themeColor="text1"/>
        </w:rPr>
        <w:t xml:space="preserve">Stephen Roach, </w:t>
      </w:r>
      <w:r w:rsidR="007F527D" w:rsidRPr="00E1253A">
        <w:rPr>
          <w:color w:val="000000" w:themeColor="text1"/>
        </w:rPr>
        <w:t xml:space="preserve">William Nordhaus, </w:t>
      </w:r>
      <w:r w:rsidR="002512F6" w:rsidRPr="00E1253A">
        <w:rPr>
          <w:color w:val="000000" w:themeColor="text1"/>
        </w:rPr>
        <w:t>Asaf Lubin, Andrew Metrick, Gary Gorton,  Karen Goodrow, Shelly Kagan</w:t>
      </w:r>
      <w:r w:rsidR="007F527D" w:rsidRPr="00E1253A">
        <w:rPr>
          <w:color w:val="000000" w:themeColor="text1"/>
        </w:rPr>
        <w:t>,</w:t>
      </w:r>
      <w:r w:rsidR="00BA2AC7" w:rsidRPr="00E1253A">
        <w:rPr>
          <w:color w:val="000000" w:themeColor="text1"/>
        </w:rPr>
        <w:t xml:space="preserve"> </w:t>
      </w:r>
      <w:r w:rsidR="002512F6" w:rsidRPr="00E1253A">
        <w:rPr>
          <w:color w:val="000000" w:themeColor="text1"/>
        </w:rPr>
        <w:t xml:space="preserve"> </w:t>
      </w:r>
      <w:r w:rsidR="00BA2AC7" w:rsidRPr="00E1253A">
        <w:rPr>
          <w:color w:val="000000" w:themeColor="text1"/>
        </w:rPr>
        <w:t xml:space="preserve">Mitsuru Igami, and Boris Kapustin for their exceptional teaching and role in my education. I am forever grateful for the lasting impact </w:t>
      </w:r>
      <w:r w:rsidR="00E1131A" w:rsidRPr="00E1253A">
        <w:rPr>
          <w:color w:val="000000" w:themeColor="text1"/>
        </w:rPr>
        <w:t>their teaching has had in fundamentally reshaping my world views</w:t>
      </w:r>
    </w:p>
    <w:p w14:paraId="68E9F13B" w14:textId="71D852F3" w:rsidR="00DC5E7E" w:rsidRPr="00E1253A" w:rsidRDefault="00DC5E7E" w:rsidP="00BA2AC7">
      <w:pPr>
        <w:spacing w:line="360" w:lineRule="auto"/>
        <w:jc w:val="both"/>
        <w:rPr>
          <w:color w:val="000000" w:themeColor="text1"/>
        </w:rPr>
      </w:pPr>
    </w:p>
    <w:p w14:paraId="6A6C48CB" w14:textId="345EFE09" w:rsidR="0042512F" w:rsidRPr="00E1253A" w:rsidRDefault="00DC5E7E" w:rsidP="00BA2AC7">
      <w:pPr>
        <w:spacing w:line="360" w:lineRule="auto"/>
        <w:jc w:val="both"/>
        <w:rPr>
          <w:color w:val="000000" w:themeColor="text1"/>
        </w:rPr>
      </w:pPr>
      <w:r w:rsidRPr="00E1253A">
        <w:rPr>
          <w:color w:val="000000" w:themeColor="text1"/>
        </w:rPr>
        <w:t xml:space="preserve">I would </w:t>
      </w:r>
      <w:r w:rsidR="00B04C54" w:rsidRPr="00E1253A">
        <w:rPr>
          <w:color w:val="000000" w:themeColor="text1"/>
        </w:rPr>
        <w:t xml:space="preserve">also </w:t>
      </w:r>
      <w:r w:rsidRPr="00E1253A">
        <w:rPr>
          <w:color w:val="000000" w:themeColor="text1"/>
        </w:rPr>
        <w:t xml:space="preserve">like to also thank my colleagues from </w:t>
      </w:r>
      <w:r w:rsidR="00E1131A" w:rsidRPr="00E1253A">
        <w:rPr>
          <w:color w:val="000000" w:themeColor="text1"/>
        </w:rPr>
        <w:t>my sophomore</w:t>
      </w:r>
      <w:r w:rsidRPr="00E1253A">
        <w:rPr>
          <w:color w:val="000000" w:themeColor="text1"/>
        </w:rPr>
        <w:t xml:space="preserve"> summer </w:t>
      </w:r>
      <w:r w:rsidR="00E1131A" w:rsidRPr="00E1253A">
        <w:rPr>
          <w:color w:val="000000" w:themeColor="text1"/>
        </w:rPr>
        <w:t xml:space="preserve">interning </w:t>
      </w:r>
      <w:r w:rsidRPr="00E1253A">
        <w:rPr>
          <w:color w:val="000000" w:themeColor="text1"/>
        </w:rPr>
        <w:t xml:space="preserve">at Calvert Research &amp; Management for introducing me to the world of sustainable finance and ESG investing. This experience opened my eyes to the immense potential for leveraging the power of financial capital to actively engage with corporations and reform their </w:t>
      </w:r>
      <w:r w:rsidR="00E1131A" w:rsidRPr="00E1253A">
        <w:rPr>
          <w:color w:val="000000" w:themeColor="text1"/>
        </w:rPr>
        <w:t>conduct</w:t>
      </w:r>
      <w:r w:rsidRPr="00E1253A">
        <w:rPr>
          <w:color w:val="000000" w:themeColor="text1"/>
        </w:rPr>
        <w:t>. I would especially like to thank my manager Kristina Friedman for the mentorship she provided me</w:t>
      </w:r>
      <w:r w:rsidR="00E1131A" w:rsidRPr="00E1253A">
        <w:rPr>
          <w:color w:val="000000" w:themeColor="text1"/>
        </w:rPr>
        <w:t>.</w:t>
      </w:r>
    </w:p>
    <w:p w14:paraId="087B5DD4" w14:textId="7FCB3905" w:rsidR="00DC5E7E" w:rsidRPr="00E1253A" w:rsidRDefault="00DC5E7E" w:rsidP="00BA2AC7">
      <w:pPr>
        <w:spacing w:line="360" w:lineRule="auto"/>
        <w:jc w:val="both"/>
        <w:rPr>
          <w:color w:val="000000" w:themeColor="text1"/>
        </w:rPr>
      </w:pPr>
    </w:p>
    <w:p w14:paraId="32577F0F" w14:textId="0E7D6C06" w:rsidR="00DC5E7E" w:rsidRPr="00E1253A" w:rsidRDefault="00DC5E7E" w:rsidP="00BA2AC7">
      <w:pPr>
        <w:spacing w:line="360" w:lineRule="auto"/>
        <w:jc w:val="both"/>
        <w:rPr>
          <w:color w:val="000000" w:themeColor="text1"/>
        </w:rPr>
      </w:pPr>
      <w:r w:rsidRPr="00E1253A">
        <w:rPr>
          <w:color w:val="000000" w:themeColor="text1"/>
        </w:rPr>
        <w:t>Finally, this essay is dedicated to my close friends and family who have been with me on my academic journey from beginning to end.</w:t>
      </w:r>
    </w:p>
    <w:p w14:paraId="16B13D0F" w14:textId="5FC79B56" w:rsidR="0042512F" w:rsidRPr="00E1253A" w:rsidRDefault="0042512F" w:rsidP="0012453C">
      <w:pPr>
        <w:spacing w:line="480" w:lineRule="auto"/>
        <w:jc w:val="both"/>
        <w:rPr>
          <w:color w:val="000000" w:themeColor="text1"/>
        </w:rPr>
      </w:pPr>
    </w:p>
    <w:p w14:paraId="079F18D3" w14:textId="7D87FD50" w:rsidR="00D65496" w:rsidRPr="00E1253A" w:rsidRDefault="00D65496" w:rsidP="0012453C">
      <w:pPr>
        <w:spacing w:line="480" w:lineRule="auto"/>
        <w:jc w:val="both"/>
        <w:rPr>
          <w:color w:val="000000" w:themeColor="text1"/>
        </w:rPr>
      </w:pPr>
    </w:p>
    <w:p w14:paraId="650DDBC6" w14:textId="5FB5228E" w:rsidR="00D65496" w:rsidRPr="00E1253A" w:rsidRDefault="00D65496" w:rsidP="0012453C">
      <w:pPr>
        <w:spacing w:line="480" w:lineRule="auto"/>
        <w:jc w:val="both"/>
        <w:rPr>
          <w:color w:val="000000" w:themeColor="text1"/>
        </w:rPr>
      </w:pPr>
    </w:p>
    <w:p w14:paraId="42FB8371" w14:textId="45EE686E" w:rsidR="00D65496" w:rsidRPr="00E1253A" w:rsidRDefault="00D65496" w:rsidP="0012453C">
      <w:pPr>
        <w:spacing w:line="480" w:lineRule="auto"/>
        <w:jc w:val="both"/>
        <w:rPr>
          <w:color w:val="000000" w:themeColor="text1"/>
        </w:rPr>
      </w:pPr>
    </w:p>
    <w:p w14:paraId="7C3FE23B" w14:textId="77777777" w:rsidR="00A46C8E" w:rsidRPr="00E1253A" w:rsidRDefault="00A46C8E" w:rsidP="0012453C">
      <w:pPr>
        <w:spacing w:line="480" w:lineRule="auto"/>
        <w:jc w:val="both"/>
        <w:rPr>
          <w:color w:val="000000" w:themeColor="text1"/>
        </w:rPr>
      </w:pPr>
    </w:p>
    <w:p w14:paraId="0FE427F1" w14:textId="68871553" w:rsidR="00D65496" w:rsidRPr="00E1253A" w:rsidRDefault="00D65496" w:rsidP="00E1131A">
      <w:pPr>
        <w:spacing w:line="360" w:lineRule="auto"/>
        <w:jc w:val="both"/>
        <w:rPr>
          <w:color w:val="000000" w:themeColor="text1"/>
        </w:rPr>
      </w:pPr>
    </w:p>
    <w:p w14:paraId="2254261E" w14:textId="11471EE0" w:rsidR="00E1131A" w:rsidRPr="00E1253A" w:rsidRDefault="00E1131A" w:rsidP="00E1131A">
      <w:pPr>
        <w:spacing w:line="360" w:lineRule="auto"/>
        <w:jc w:val="both"/>
        <w:rPr>
          <w:color w:val="000000" w:themeColor="text1"/>
        </w:rPr>
      </w:pPr>
    </w:p>
    <w:p w14:paraId="70781FE9" w14:textId="77777777" w:rsidR="00E1131A" w:rsidRPr="00E1253A" w:rsidRDefault="00E1131A" w:rsidP="00E1131A">
      <w:pPr>
        <w:spacing w:line="360" w:lineRule="auto"/>
        <w:jc w:val="both"/>
        <w:rPr>
          <w:color w:val="000000" w:themeColor="text1"/>
        </w:rPr>
      </w:pPr>
    </w:p>
    <w:p w14:paraId="5309B19D" w14:textId="0056081F" w:rsidR="00D65496" w:rsidRPr="00E1253A" w:rsidRDefault="00D65496" w:rsidP="00E1131A">
      <w:pPr>
        <w:spacing w:line="360" w:lineRule="auto"/>
        <w:ind w:left="360" w:firstLine="180"/>
        <w:jc w:val="both"/>
        <w:rPr>
          <w:color w:val="000000" w:themeColor="text1"/>
          <w:sz w:val="22"/>
          <w:szCs w:val="22"/>
        </w:rPr>
      </w:pPr>
      <w:r w:rsidRPr="00E1253A">
        <w:rPr>
          <w:color w:val="000000" w:themeColor="text1"/>
          <w:sz w:val="22"/>
          <w:szCs w:val="22"/>
          <w:shd w:val="clear" w:color="auto" w:fill="FFFFFF"/>
        </w:rPr>
        <w:t>“In a society in which nearly everybody is dominated by somebody else's mind or by a disembodied mind, it becomes increasingly difficult to learn the truth about the activities of governments and corporations, about the quality or value of products, or about the health of one's own place and economy.</w:t>
      </w:r>
    </w:p>
    <w:p w14:paraId="5FCA8301" w14:textId="7F822F93" w:rsidR="00D65496" w:rsidRPr="00E1253A" w:rsidRDefault="00D65496" w:rsidP="00E1131A">
      <w:pPr>
        <w:spacing w:line="360" w:lineRule="auto"/>
        <w:ind w:left="360" w:firstLine="180"/>
        <w:jc w:val="both"/>
        <w:rPr>
          <w:color w:val="000000" w:themeColor="text1"/>
          <w:sz w:val="8"/>
          <w:szCs w:val="8"/>
          <w:shd w:val="clear" w:color="auto" w:fill="FFFFFF"/>
        </w:rPr>
      </w:pPr>
      <w:r w:rsidRPr="00E1253A">
        <w:rPr>
          <w:color w:val="000000" w:themeColor="text1"/>
          <w:sz w:val="22"/>
          <w:szCs w:val="22"/>
          <w:shd w:val="clear" w:color="auto" w:fill="FFFFFF"/>
        </w:rPr>
        <w:t>In such a society, also, our private economies will depend less and less upon the private ownership of real, usable property, and more and more upon property that is institutional and abstract, beyond individual control, such as money, insurance policies, certificates of deposit, stocks, and shares. And as our private economies become more abstract, the mutual, free helps and pleasures of family and community life will be supplanted by a kind of displaced or placeless citizenship and by commerce with impersonal and self-interested suppliers...</w:t>
      </w:r>
    </w:p>
    <w:p w14:paraId="5188B7A6" w14:textId="406821F3" w:rsidR="00A46C8E" w:rsidRPr="00E1253A" w:rsidRDefault="00D65496" w:rsidP="00E1131A">
      <w:pPr>
        <w:spacing w:line="360" w:lineRule="auto"/>
        <w:ind w:left="360" w:firstLine="180"/>
        <w:jc w:val="both"/>
        <w:rPr>
          <w:color w:val="000000" w:themeColor="text1"/>
          <w:sz w:val="8"/>
          <w:szCs w:val="8"/>
          <w:shd w:val="clear" w:color="auto" w:fill="FFFFFF"/>
        </w:rPr>
      </w:pPr>
      <w:r w:rsidRPr="00E1253A">
        <w:rPr>
          <w:color w:val="000000" w:themeColor="text1"/>
          <w:sz w:val="22"/>
          <w:szCs w:val="22"/>
          <w:shd w:val="clear" w:color="auto" w:fill="FFFFFF"/>
        </w:rPr>
        <w:t>Thus, although we are not slaves in name, and cannot be carried to market and sold as somebody else's legal chattels, we are free only within narrow limits. For all our talk about liberation and personal autonomy, there are few choices that we are free to make. What would be the point, for example, if a majority of our people decided to be self-employed?</w:t>
      </w:r>
    </w:p>
    <w:p w14:paraId="7011A972" w14:textId="2EB59463" w:rsidR="00D65496" w:rsidRPr="00E1253A" w:rsidRDefault="00D65496" w:rsidP="00E1131A">
      <w:pPr>
        <w:spacing w:line="360" w:lineRule="auto"/>
        <w:ind w:left="360" w:firstLine="180"/>
        <w:jc w:val="both"/>
        <w:rPr>
          <w:color w:val="000000" w:themeColor="text1"/>
          <w:sz w:val="22"/>
          <w:szCs w:val="22"/>
        </w:rPr>
      </w:pPr>
      <w:r w:rsidRPr="00E1253A">
        <w:rPr>
          <w:color w:val="000000" w:themeColor="text1"/>
          <w:sz w:val="22"/>
          <w:szCs w:val="22"/>
          <w:shd w:val="clear" w:color="auto" w:fill="FFFFFF"/>
        </w:rPr>
        <w:t>The great enemy of freedom is the alignment of political power with wealth. This alignment destroys the commonwealth - that is, the natural wealth of localities and the local economies of household, neighborhood, and community - and so destroys democracy, of which the commonwealth is the foundation and practical means.” </w:t>
      </w:r>
    </w:p>
    <w:p w14:paraId="2C77D8CE" w14:textId="51BAA4ED" w:rsidR="00D65496" w:rsidRPr="00E1253A" w:rsidRDefault="00A30BEC" w:rsidP="00E1131A">
      <w:pPr>
        <w:pStyle w:val="ListParagraph"/>
        <w:spacing w:line="360" w:lineRule="auto"/>
        <w:ind w:left="3240"/>
        <w:jc w:val="both"/>
        <w:rPr>
          <w:i/>
          <w:iCs/>
          <w:color w:val="000000" w:themeColor="text1"/>
          <w:sz w:val="22"/>
          <w:szCs w:val="22"/>
        </w:rPr>
      </w:pPr>
      <w:bookmarkStart w:id="3" w:name="OLE_LINK484"/>
      <w:bookmarkStart w:id="4" w:name="OLE_LINK485"/>
      <w:r w:rsidRPr="00E1253A">
        <w:rPr>
          <w:i/>
          <w:iCs/>
          <w:color w:val="000000" w:themeColor="text1"/>
          <w:sz w:val="22"/>
          <w:szCs w:val="22"/>
        </w:rPr>
        <w:t xml:space="preserve"> </w:t>
      </w:r>
      <w:bookmarkStart w:id="5" w:name="OLE_LINK572"/>
      <w:bookmarkStart w:id="6" w:name="OLE_LINK573"/>
      <w:r w:rsidRPr="00E1253A">
        <w:rPr>
          <w:i/>
          <w:iCs/>
          <w:color w:val="000000" w:themeColor="text1"/>
          <w:sz w:val="22"/>
          <w:szCs w:val="22"/>
        </w:rPr>
        <w:t xml:space="preserve">–  </w:t>
      </w:r>
      <w:bookmarkEnd w:id="5"/>
      <w:bookmarkEnd w:id="6"/>
      <w:r w:rsidR="00D65496" w:rsidRPr="00E1253A">
        <w:rPr>
          <w:i/>
          <w:iCs/>
          <w:color w:val="000000" w:themeColor="text1"/>
          <w:sz w:val="22"/>
          <w:szCs w:val="22"/>
        </w:rPr>
        <w:t>Wendell Berry</w:t>
      </w:r>
      <w:bookmarkEnd w:id="3"/>
      <w:bookmarkEnd w:id="4"/>
      <w:r w:rsidR="00D65496" w:rsidRPr="00E1253A">
        <w:rPr>
          <w:i/>
          <w:iCs/>
          <w:color w:val="000000" w:themeColor="text1"/>
          <w:sz w:val="22"/>
          <w:szCs w:val="22"/>
        </w:rPr>
        <w:t>, </w:t>
      </w:r>
      <w:hyperlink r:id="rId9" w:history="1">
        <w:r w:rsidR="00D65496" w:rsidRPr="00E1253A">
          <w:rPr>
            <w:i/>
            <w:iCs/>
            <w:color w:val="000000" w:themeColor="text1"/>
            <w:sz w:val="22"/>
            <w:szCs w:val="22"/>
          </w:rPr>
          <w:t>The Art of the Commonplace: The Agrarian Essays</w:t>
        </w:r>
      </w:hyperlink>
      <w:r w:rsidR="00383A5D" w:rsidRPr="00E1253A">
        <w:rPr>
          <w:i/>
          <w:iCs/>
          <w:color w:val="000000" w:themeColor="text1"/>
          <w:sz w:val="22"/>
          <w:szCs w:val="22"/>
        </w:rPr>
        <w:t xml:space="preserve">  </w:t>
      </w:r>
    </w:p>
    <w:p w14:paraId="6AA49B09" w14:textId="64B68B83" w:rsidR="00A46C8E" w:rsidRPr="00E1253A" w:rsidRDefault="00A46C8E" w:rsidP="00E1131A">
      <w:pPr>
        <w:spacing w:line="360" w:lineRule="auto"/>
        <w:jc w:val="both"/>
        <w:rPr>
          <w:color w:val="000000" w:themeColor="text1"/>
        </w:rPr>
      </w:pPr>
    </w:p>
    <w:p w14:paraId="4F523765" w14:textId="77777777" w:rsidR="00E1131A" w:rsidRPr="00E1253A" w:rsidRDefault="00E1131A" w:rsidP="00E1131A">
      <w:pPr>
        <w:spacing w:line="360" w:lineRule="auto"/>
        <w:jc w:val="both"/>
        <w:rPr>
          <w:color w:val="000000" w:themeColor="text1"/>
        </w:rPr>
      </w:pPr>
    </w:p>
    <w:p w14:paraId="381D1DF4" w14:textId="77777777" w:rsidR="0090130C" w:rsidRPr="00E1253A" w:rsidRDefault="0090130C" w:rsidP="00E1131A">
      <w:pPr>
        <w:spacing w:line="360" w:lineRule="auto"/>
        <w:jc w:val="both"/>
        <w:rPr>
          <w:color w:val="000000" w:themeColor="text1"/>
        </w:rPr>
      </w:pPr>
    </w:p>
    <w:p w14:paraId="5FD4A4C3" w14:textId="7BC1C22D" w:rsidR="00A46C8E" w:rsidRPr="00E1253A" w:rsidRDefault="00A46C8E" w:rsidP="00E1131A">
      <w:pPr>
        <w:spacing w:line="360" w:lineRule="auto"/>
        <w:jc w:val="both"/>
        <w:rPr>
          <w:color w:val="000000" w:themeColor="text1"/>
        </w:rPr>
      </w:pPr>
    </w:p>
    <w:p w14:paraId="7B689F95" w14:textId="77777777" w:rsidR="0090130C" w:rsidRPr="00E1253A" w:rsidRDefault="0090130C" w:rsidP="00E1131A">
      <w:pPr>
        <w:spacing w:line="360" w:lineRule="auto"/>
        <w:ind w:left="720"/>
        <w:jc w:val="both"/>
        <w:rPr>
          <w:color w:val="000000" w:themeColor="text1"/>
          <w:sz w:val="22"/>
          <w:szCs w:val="22"/>
        </w:rPr>
      </w:pPr>
      <w:r w:rsidRPr="00E1253A">
        <w:rPr>
          <w:color w:val="000000" w:themeColor="text1"/>
          <w:sz w:val="22"/>
          <w:szCs w:val="22"/>
        </w:rPr>
        <w:t>“The government, which was designed for the people, has got into the hands of the bosses and their employers, the special interests. An invisible empire has been set up above the forms of democracy”</w:t>
      </w:r>
    </w:p>
    <w:p w14:paraId="77BF0C2A" w14:textId="1228A442" w:rsidR="0090130C" w:rsidRPr="00E1253A" w:rsidRDefault="0090130C" w:rsidP="00E1131A">
      <w:pPr>
        <w:spacing w:line="360" w:lineRule="auto"/>
        <w:ind w:left="2880" w:firstLine="720"/>
        <w:jc w:val="both"/>
        <w:rPr>
          <w:i/>
          <w:iCs/>
          <w:color w:val="000000" w:themeColor="text1"/>
          <w:sz w:val="22"/>
          <w:szCs w:val="22"/>
        </w:rPr>
      </w:pPr>
      <w:r w:rsidRPr="00E1253A">
        <w:rPr>
          <w:color w:val="000000" w:themeColor="text1"/>
          <w:sz w:val="22"/>
          <w:szCs w:val="22"/>
        </w:rPr>
        <w:t xml:space="preserve"> </w:t>
      </w:r>
      <w:r w:rsidR="00383A5D" w:rsidRPr="00E1253A">
        <w:rPr>
          <w:color w:val="000000" w:themeColor="text1"/>
          <w:sz w:val="22"/>
          <w:szCs w:val="22"/>
        </w:rPr>
        <w:tab/>
        <w:t xml:space="preserve">   </w:t>
      </w:r>
      <w:r w:rsidR="00E1131A" w:rsidRPr="00E1253A">
        <w:rPr>
          <w:color w:val="000000" w:themeColor="text1"/>
          <w:sz w:val="22"/>
          <w:szCs w:val="22"/>
        </w:rPr>
        <w:tab/>
      </w:r>
      <w:r w:rsidR="00E1131A" w:rsidRPr="00E1253A">
        <w:rPr>
          <w:color w:val="000000" w:themeColor="text1"/>
          <w:sz w:val="22"/>
          <w:szCs w:val="22"/>
        </w:rPr>
        <w:tab/>
      </w:r>
      <w:r w:rsidR="00E1131A" w:rsidRPr="00E1253A">
        <w:rPr>
          <w:color w:val="000000" w:themeColor="text1"/>
          <w:sz w:val="22"/>
          <w:szCs w:val="22"/>
        </w:rPr>
        <w:tab/>
      </w:r>
      <w:r w:rsidR="00A30BEC" w:rsidRPr="00E1253A">
        <w:rPr>
          <w:i/>
          <w:iCs/>
          <w:color w:val="000000" w:themeColor="text1"/>
          <w:sz w:val="22"/>
          <w:szCs w:val="22"/>
        </w:rPr>
        <w:t xml:space="preserve">–  </w:t>
      </w:r>
      <w:r w:rsidRPr="00E1253A">
        <w:rPr>
          <w:i/>
          <w:iCs/>
          <w:color w:val="000000" w:themeColor="text1"/>
          <w:sz w:val="22"/>
          <w:szCs w:val="22"/>
        </w:rPr>
        <w:t>Woodrow Wilson</w:t>
      </w:r>
    </w:p>
    <w:p w14:paraId="77429CF8" w14:textId="77777777" w:rsidR="0090130C" w:rsidRPr="00E1253A" w:rsidRDefault="0090130C" w:rsidP="0012453C">
      <w:pPr>
        <w:spacing w:line="480" w:lineRule="auto"/>
        <w:jc w:val="both"/>
        <w:rPr>
          <w:color w:val="000000" w:themeColor="text1"/>
        </w:rPr>
      </w:pPr>
    </w:p>
    <w:p w14:paraId="6C3546F4" w14:textId="52EFFF71" w:rsidR="00A46C8E" w:rsidRPr="00E1253A" w:rsidRDefault="00A46C8E" w:rsidP="0012453C">
      <w:pPr>
        <w:spacing w:line="480" w:lineRule="auto"/>
        <w:jc w:val="both"/>
        <w:rPr>
          <w:color w:val="000000" w:themeColor="text1"/>
        </w:rPr>
      </w:pPr>
    </w:p>
    <w:p w14:paraId="6786C109" w14:textId="77777777" w:rsidR="00A46C8E" w:rsidRPr="00E1253A" w:rsidRDefault="00A46C8E" w:rsidP="0012453C">
      <w:pPr>
        <w:spacing w:line="480" w:lineRule="auto"/>
        <w:jc w:val="both"/>
        <w:rPr>
          <w:color w:val="000000" w:themeColor="text1"/>
        </w:rPr>
      </w:pPr>
    </w:p>
    <w:p w14:paraId="4C29BF10" w14:textId="6EC2D00C" w:rsidR="00D65496" w:rsidRPr="00E1253A" w:rsidRDefault="00D65496" w:rsidP="00B405D7">
      <w:pPr>
        <w:pStyle w:val="Heading1"/>
        <w:numPr>
          <w:ilvl w:val="0"/>
          <w:numId w:val="0"/>
        </w:numPr>
        <w:spacing w:line="360" w:lineRule="auto"/>
        <w:jc w:val="both"/>
      </w:pPr>
      <w:r w:rsidRPr="00E1253A">
        <w:t>Contents</w:t>
      </w:r>
    </w:p>
    <w:p w14:paraId="42B445A2" w14:textId="69B689CA" w:rsidR="00B405D7" w:rsidRPr="00E1253A" w:rsidRDefault="00B405D7" w:rsidP="00B405D7">
      <w:pPr>
        <w:rPr>
          <w:b/>
          <w:bCs/>
          <w:color w:val="000000" w:themeColor="text1"/>
        </w:rPr>
      </w:pPr>
      <w:r w:rsidRPr="00E1253A">
        <w:rPr>
          <w:b/>
          <w:bCs/>
          <w:color w:val="000000" w:themeColor="text1"/>
        </w:rPr>
        <w:t xml:space="preserve">             Introduction</w:t>
      </w:r>
    </w:p>
    <w:p w14:paraId="5BB78B6D" w14:textId="77777777" w:rsidR="00B405D7" w:rsidRPr="00E1253A" w:rsidRDefault="00B405D7" w:rsidP="00B405D7">
      <w:pPr>
        <w:rPr>
          <w:color w:val="000000" w:themeColor="text1"/>
        </w:rPr>
      </w:pPr>
    </w:p>
    <w:p w14:paraId="6C1248A3" w14:textId="47713A9E" w:rsidR="00D65496" w:rsidRPr="00E1253A" w:rsidRDefault="00383A5D" w:rsidP="00B405D7">
      <w:pPr>
        <w:pStyle w:val="ListParagraph"/>
        <w:numPr>
          <w:ilvl w:val="0"/>
          <w:numId w:val="21"/>
        </w:numPr>
        <w:spacing w:line="360" w:lineRule="auto"/>
        <w:jc w:val="both"/>
        <w:rPr>
          <w:b/>
          <w:bCs/>
          <w:color w:val="000000" w:themeColor="text1"/>
        </w:rPr>
      </w:pPr>
      <w:r w:rsidRPr="00E1253A">
        <w:rPr>
          <w:b/>
          <w:bCs/>
          <w:color w:val="000000" w:themeColor="text1"/>
        </w:rPr>
        <w:t>Origins and Features of the Corporate Form</w:t>
      </w:r>
    </w:p>
    <w:p w14:paraId="7D81E250" w14:textId="53CBB5DE" w:rsidR="00383A5D" w:rsidRPr="00E1253A" w:rsidRDefault="00383A5D" w:rsidP="00B405D7">
      <w:pPr>
        <w:pStyle w:val="ListParagraph"/>
        <w:numPr>
          <w:ilvl w:val="1"/>
          <w:numId w:val="21"/>
        </w:numPr>
        <w:spacing w:line="360" w:lineRule="auto"/>
        <w:jc w:val="both"/>
        <w:rPr>
          <w:color w:val="000000" w:themeColor="text1"/>
        </w:rPr>
      </w:pPr>
      <w:r w:rsidRPr="00E1253A">
        <w:rPr>
          <w:color w:val="000000" w:themeColor="text1"/>
        </w:rPr>
        <w:t xml:space="preserve">Historical Origins </w:t>
      </w:r>
    </w:p>
    <w:p w14:paraId="490CD599" w14:textId="5DE28BD3" w:rsidR="00383A5D" w:rsidRPr="00E1253A" w:rsidRDefault="00383A5D" w:rsidP="00B405D7">
      <w:pPr>
        <w:pStyle w:val="ListParagraph"/>
        <w:numPr>
          <w:ilvl w:val="1"/>
          <w:numId w:val="21"/>
        </w:numPr>
        <w:spacing w:line="360" w:lineRule="auto"/>
        <w:jc w:val="both"/>
        <w:rPr>
          <w:color w:val="000000" w:themeColor="text1"/>
        </w:rPr>
      </w:pPr>
      <w:r w:rsidRPr="00E1253A">
        <w:rPr>
          <w:color w:val="000000" w:themeColor="text1"/>
        </w:rPr>
        <w:t>Legal Characteristics</w:t>
      </w:r>
    </w:p>
    <w:p w14:paraId="571B01FB" w14:textId="77777777" w:rsidR="00383A5D" w:rsidRPr="00E1253A" w:rsidRDefault="00383A5D" w:rsidP="00B405D7">
      <w:pPr>
        <w:pStyle w:val="ListParagraph"/>
        <w:spacing w:line="360" w:lineRule="auto"/>
        <w:ind w:left="1440"/>
        <w:jc w:val="both"/>
        <w:rPr>
          <w:b/>
          <w:bCs/>
          <w:color w:val="000000" w:themeColor="text1"/>
        </w:rPr>
      </w:pPr>
    </w:p>
    <w:p w14:paraId="228FFAA1" w14:textId="2D49CA9D" w:rsidR="00383A5D" w:rsidRPr="00E1253A" w:rsidRDefault="00383A5D" w:rsidP="00B405D7">
      <w:pPr>
        <w:pStyle w:val="ListParagraph"/>
        <w:numPr>
          <w:ilvl w:val="0"/>
          <w:numId w:val="21"/>
        </w:numPr>
        <w:spacing w:line="360" w:lineRule="auto"/>
        <w:jc w:val="both"/>
        <w:rPr>
          <w:b/>
          <w:bCs/>
          <w:color w:val="000000" w:themeColor="text1"/>
        </w:rPr>
      </w:pPr>
      <w:bookmarkStart w:id="7" w:name="OLE_LINK797"/>
      <w:bookmarkStart w:id="8" w:name="OLE_LINK798"/>
      <w:r w:rsidRPr="00E1253A">
        <w:rPr>
          <w:b/>
          <w:bCs/>
          <w:color w:val="000000" w:themeColor="text1"/>
        </w:rPr>
        <w:t xml:space="preserve">Political Theory of </w:t>
      </w:r>
      <w:r w:rsidR="00E1131A" w:rsidRPr="00E1253A">
        <w:rPr>
          <w:b/>
          <w:bCs/>
          <w:color w:val="000000" w:themeColor="text1"/>
        </w:rPr>
        <w:t>the Corporate Institution</w:t>
      </w:r>
    </w:p>
    <w:bookmarkEnd w:id="7"/>
    <w:bookmarkEnd w:id="8"/>
    <w:p w14:paraId="463344ED" w14:textId="7CC0B3EF" w:rsidR="00383A5D" w:rsidRPr="00E1253A" w:rsidRDefault="00E1131A" w:rsidP="00B405D7">
      <w:pPr>
        <w:pStyle w:val="ListParagraph"/>
        <w:numPr>
          <w:ilvl w:val="1"/>
          <w:numId w:val="21"/>
        </w:numPr>
        <w:spacing w:line="360" w:lineRule="auto"/>
        <w:jc w:val="both"/>
        <w:rPr>
          <w:color w:val="000000" w:themeColor="text1"/>
        </w:rPr>
      </w:pPr>
      <w:r w:rsidRPr="00E1253A">
        <w:rPr>
          <w:color w:val="000000" w:themeColor="text1"/>
        </w:rPr>
        <w:t>Political Dimensions of the Modern Corporation</w:t>
      </w:r>
    </w:p>
    <w:p w14:paraId="63094CDB" w14:textId="07C3CF57" w:rsidR="00E1131A" w:rsidRPr="00E1253A" w:rsidRDefault="00E1131A" w:rsidP="00B405D7">
      <w:pPr>
        <w:pStyle w:val="ListParagraph"/>
        <w:numPr>
          <w:ilvl w:val="1"/>
          <w:numId w:val="21"/>
        </w:numPr>
        <w:spacing w:line="360" w:lineRule="auto"/>
        <w:jc w:val="both"/>
        <w:rPr>
          <w:color w:val="000000" w:themeColor="text1"/>
        </w:rPr>
      </w:pPr>
      <w:r w:rsidRPr="00E1253A">
        <w:rPr>
          <w:color w:val="000000" w:themeColor="text1"/>
        </w:rPr>
        <w:t>Legitimacy of Corporate Power</w:t>
      </w:r>
    </w:p>
    <w:p w14:paraId="62CE2415" w14:textId="131BFE3E" w:rsidR="00E1131A" w:rsidRPr="00E1253A" w:rsidRDefault="00E1131A" w:rsidP="00B405D7">
      <w:pPr>
        <w:pStyle w:val="ListParagraph"/>
        <w:numPr>
          <w:ilvl w:val="1"/>
          <w:numId w:val="21"/>
        </w:numPr>
        <w:spacing w:line="360" w:lineRule="auto"/>
        <w:jc w:val="both"/>
        <w:rPr>
          <w:color w:val="000000" w:themeColor="text1"/>
        </w:rPr>
      </w:pPr>
      <w:r w:rsidRPr="00E1253A">
        <w:rPr>
          <w:color w:val="000000" w:themeColor="text1"/>
        </w:rPr>
        <w:t>The Political Construction of the ‘Private’ Sector Economy</w:t>
      </w:r>
    </w:p>
    <w:p w14:paraId="33F55130" w14:textId="7E317F18" w:rsidR="00AB600F" w:rsidRPr="00E1253A" w:rsidRDefault="00AB600F" w:rsidP="00B405D7">
      <w:pPr>
        <w:pStyle w:val="ListParagraph"/>
        <w:numPr>
          <w:ilvl w:val="1"/>
          <w:numId w:val="21"/>
        </w:numPr>
        <w:spacing w:line="360" w:lineRule="auto"/>
        <w:jc w:val="both"/>
        <w:rPr>
          <w:color w:val="000000" w:themeColor="text1"/>
        </w:rPr>
      </w:pPr>
      <w:r w:rsidRPr="00E1253A">
        <w:rPr>
          <w:color w:val="000000" w:themeColor="text1"/>
        </w:rPr>
        <w:t>Dynamism of the Institutional Political Economy</w:t>
      </w:r>
    </w:p>
    <w:p w14:paraId="0E3CCD80" w14:textId="77777777" w:rsidR="00383A5D" w:rsidRPr="00E1253A" w:rsidRDefault="00383A5D" w:rsidP="00B405D7">
      <w:pPr>
        <w:pStyle w:val="ListParagraph"/>
        <w:spacing w:line="360" w:lineRule="auto"/>
        <w:ind w:left="1440"/>
        <w:jc w:val="both"/>
        <w:rPr>
          <w:color w:val="000000" w:themeColor="text1"/>
        </w:rPr>
      </w:pPr>
    </w:p>
    <w:p w14:paraId="5050353F" w14:textId="035C96F8" w:rsidR="00383A5D" w:rsidRPr="00E1253A" w:rsidRDefault="00383A5D" w:rsidP="00B405D7">
      <w:pPr>
        <w:pStyle w:val="ListParagraph"/>
        <w:numPr>
          <w:ilvl w:val="0"/>
          <w:numId w:val="21"/>
        </w:numPr>
        <w:spacing w:line="360" w:lineRule="auto"/>
        <w:jc w:val="both"/>
        <w:rPr>
          <w:b/>
          <w:bCs/>
          <w:color w:val="000000" w:themeColor="text1"/>
        </w:rPr>
      </w:pPr>
      <w:r w:rsidRPr="00E1253A">
        <w:rPr>
          <w:b/>
          <w:bCs/>
          <w:color w:val="000000" w:themeColor="text1"/>
        </w:rPr>
        <w:t xml:space="preserve">Corporate Purpose </w:t>
      </w:r>
      <w:r w:rsidR="00E1131A" w:rsidRPr="00E1253A">
        <w:rPr>
          <w:b/>
          <w:bCs/>
          <w:color w:val="000000" w:themeColor="text1"/>
        </w:rPr>
        <w:t>&amp; Fiduciary Duties</w:t>
      </w:r>
    </w:p>
    <w:p w14:paraId="78021F1C" w14:textId="14EA9493" w:rsidR="00383A5D" w:rsidRPr="00E1253A" w:rsidRDefault="00383A5D" w:rsidP="00B405D7">
      <w:pPr>
        <w:pStyle w:val="ListParagraph"/>
        <w:numPr>
          <w:ilvl w:val="1"/>
          <w:numId w:val="21"/>
        </w:numPr>
        <w:spacing w:line="360" w:lineRule="auto"/>
        <w:jc w:val="both"/>
        <w:rPr>
          <w:color w:val="000000" w:themeColor="text1"/>
        </w:rPr>
      </w:pPr>
      <w:r w:rsidRPr="00E1253A">
        <w:rPr>
          <w:color w:val="000000" w:themeColor="text1"/>
        </w:rPr>
        <w:t>Nature of Corporate Fiduciary Relationships</w:t>
      </w:r>
    </w:p>
    <w:p w14:paraId="6D425E25" w14:textId="5758D9D5" w:rsidR="00383A5D" w:rsidRPr="00E1253A" w:rsidRDefault="00E1131A" w:rsidP="00B405D7">
      <w:pPr>
        <w:pStyle w:val="ListParagraph"/>
        <w:numPr>
          <w:ilvl w:val="1"/>
          <w:numId w:val="21"/>
        </w:numPr>
        <w:spacing w:line="360" w:lineRule="auto"/>
        <w:jc w:val="both"/>
        <w:rPr>
          <w:color w:val="000000" w:themeColor="text1"/>
        </w:rPr>
      </w:pPr>
      <w:r w:rsidRPr="00E1253A">
        <w:rPr>
          <w:color w:val="000000" w:themeColor="text1"/>
        </w:rPr>
        <w:t xml:space="preserve">Nexus of Contracts: </w:t>
      </w:r>
      <w:r w:rsidR="00383A5D" w:rsidRPr="00E1253A">
        <w:rPr>
          <w:color w:val="000000" w:themeColor="text1"/>
        </w:rPr>
        <w:t xml:space="preserve">Shareholder </w:t>
      </w:r>
      <w:r w:rsidRPr="00E1253A">
        <w:rPr>
          <w:color w:val="000000" w:themeColor="text1"/>
        </w:rPr>
        <w:t>Rights</w:t>
      </w:r>
    </w:p>
    <w:p w14:paraId="21FFD08E" w14:textId="06A9A8AF" w:rsidR="00383A5D" w:rsidRPr="00E1253A" w:rsidRDefault="00383A5D" w:rsidP="00B405D7">
      <w:pPr>
        <w:pStyle w:val="ListParagraph"/>
        <w:numPr>
          <w:ilvl w:val="1"/>
          <w:numId w:val="21"/>
        </w:numPr>
        <w:spacing w:line="360" w:lineRule="auto"/>
        <w:jc w:val="both"/>
        <w:rPr>
          <w:color w:val="000000" w:themeColor="text1"/>
        </w:rPr>
      </w:pPr>
      <w:r w:rsidRPr="00E1253A">
        <w:rPr>
          <w:color w:val="000000" w:themeColor="text1"/>
        </w:rPr>
        <w:t>Corporate Governance &amp;  Fiduciary Duties</w:t>
      </w:r>
    </w:p>
    <w:p w14:paraId="35B8EF0F" w14:textId="6EB196F8" w:rsidR="00E1131A" w:rsidRPr="00E1253A" w:rsidRDefault="00E1131A" w:rsidP="00B405D7">
      <w:pPr>
        <w:pStyle w:val="ListParagraph"/>
        <w:numPr>
          <w:ilvl w:val="1"/>
          <w:numId w:val="21"/>
        </w:numPr>
        <w:spacing w:line="360" w:lineRule="auto"/>
        <w:jc w:val="both"/>
        <w:rPr>
          <w:color w:val="000000" w:themeColor="text1"/>
        </w:rPr>
      </w:pPr>
      <w:r w:rsidRPr="00E1253A">
        <w:rPr>
          <w:color w:val="000000" w:themeColor="text1"/>
        </w:rPr>
        <w:t>Corporate Purpose: The Objective Function</w:t>
      </w:r>
    </w:p>
    <w:p w14:paraId="35A1D63A" w14:textId="77777777" w:rsidR="00383A5D" w:rsidRPr="00E1253A" w:rsidRDefault="00383A5D" w:rsidP="00B405D7">
      <w:pPr>
        <w:pStyle w:val="ListParagraph"/>
        <w:spacing w:line="360" w:lineRule="auto"/>
        <w:ind w:left="1440"/>
        <w:jc w:val="both"/>
        <w:rPr>
          <w:b/>
          <w:bCs/>
          <w:color w:val="000000" w:themeColor="text1"/>
        </w:rPr>
      </w:pPr>
    </w:p>
    <w:p w14:paraId="3EC7DA59" w14:textId="67B908D3" w:rsidR="00383A5D" w:rsidRPr="00E1253A" w:rsidRDefault="00383A5D" w:rsidP="00B405D7">
      <w:pPr>
        <w:pStyle w:val="ListParagraph"/>
        <w:numPr>
          <w:ilvl w:val="0"/>
          <w:numId w:val="21"/>
        </w:numPr>
        <w:spacing w:line="360" w:lineRule="auto"/>
        <w:jc w:val="both"/>
        <w:rPr>
          <w:b/>
          <w:bCs/>
          <w:color w:val="000000" w:themeColor="text1"/>
        </w:rPr>
      </w:pPr>
      <w:r w:rsidRPr="00E1253A">
        <w:rPr>
          <w:b/>
          <w:bCs/>
          <w:color w:val="000000" w:themeColor="text1"/>
        </w:rPr>
        <w:t>Enterprise Value</w:t>
      </w:r>
    </w:p>
    <w:p w14:paraId="5BA6755B" w14:textId="036F2776" w:rsidR="00E1131A" w:rsidRPr="00E1253A" w:rsidRDefault="00E1131A" w:rsidP="00B405D7">
      <w:pPr>
        <w:pStyle w:val="ListParagraph"/>
        <w:numPr>
          <w:ilvl w:val="1"/>
          <w:numId w:val="21"/>
        </w:numPr>
        <w:spacing w:line="360" w:lineRule="auto"/>
        <w:jc w:val="both"/>
        <w:rPr>
          <w:color w:val="000000" w:themeColor="text1"/>
        </w:rPr>
      </w:pPr>
      <w:r w:rsidRPr="00E1253A">
        <w:rPr>
          <w:color w:val="000000" w:themeColor="text1"/>
        </w:rPr>
        <w:t>Transformation of Property in the Corporatist Economy</w:t>
      </w:r>
    </w:p>
    <w:p w14:paraId="40946968" w14:textId="2DF99A70" w:rsidR="00383A5D" w:rsidRPr="00E1253A" w:rsidRDefault="00383A5D" w:rsidP="00B405D7">
      <w:pPr>
        <w:pStyle w:val="ListParagraph"/>
        <w:numPr>
          <w:ilvl w:val="1"/>
          <w:numId w:val="21"/>
        </w:numPr>
        <w:spacing w:line="360" w:lineRule="auto"/>
        <w:jc w:val="both"/>
        <w:rPr>
          <w:color w:val="000000" w:themeColor="text1"/>
        </w:rPr>
      </w:pPr>
      <w:r w:rsidRPr="00E1253A">
        <w:rPr>
          <w:color w:val="000000" w:themeColor="text1"/>
        </w:rPr>
        <w:t>Stakeholder Relationships and Intangible Value</w:t>
      </w:r>
    </w:p>
    <w:p w14:paraId="550D36E4" w14:textId="5A50D85D" w:rsidR="00383A5D" w:rsidRPr="00E1253A" w:rsidRDefault="00383A5D" w:rsidP="00B405D7">
      <w:pPr>
        <w:pStyle w:val="ListParagraph"/>
        <w:numPr>
          <w:ilvl w:val="1"/>
          <w:numId w:val="21"/>
        </w:numPr>
        <w:spacing w:line="360" w:lineRule="auto"/>
        <w:jc w:val="both"/>
        <w:rPr>
          <w:color w:val="000000" w:themeColor="text1"/>
        </w:rPr>
      </w:pPr>
      <w:r w:rsidRPr="00E1253A">
        <w:rPr>
          <w:color w:val="000000" w:themeColor="text1"/>
        </w:rPr>
        <w:t xml:space="preserve">Reputation &amp; the Social </w:t>
      </w:r>
      <w:r w:rsidR="00B405D7" w:rsidRPr="00E1253A">
        <w:rPr>
          <w:color w:val="000000" w:themeColor="text1"/>
        </w:rPr>
        <w:t>Legitimacy</w:t>
      </w:r>
    </w:p>
    <w:p w14:paraId="166E665E" w14:textId="77777777" w:rsidR="00383A5D" w:rsidRPr="00E1253A" w:rsidRDefault="00383A5D" w:rsidP="00B405D7">
      <w:pPr>
        <w:pStyle w:val="ListParagraph"/>
        <w:spacing w:line="360" w:lineRule="auto"/>
        <w:ind w:left="1440"/>
        <w:jc w:val="both"/>
        <w:rPr>
          <w:color w:val="000000" w:themeColor="text1"/>
        </w:rPr>
      </w:pPr>
    </w:p>
    <w:p w14:paraId="5388C5F7" w14:textId="35934025" w:rsidR="00383A5D" w:rsidRPr="00E1253A" w:rsidRDefault="00383A5D" w:rsidP="00B405D7">
      <w:pPr>
        <w:pStyle w:val="ListParagraph"/>
        <w:numPr>
          <w:ilvl w:val="0"/>
          <w:numId w:val="21"/>
        </w:numPr>
        <w:spacing w:line="360" w:lineRule="auto"/>
        <w:jc w:val="both"/>
        <w:rPr>
          <w:b/>
          <w:bCs/>
          <w:color w:val="000000" w:themeColor="text1"/>
        </w:rPr>
      </w:pPr>
      <w:r w:rsidRPr="00E1253A">
        <w:rPr>
          <w:b/>
          <w:bCs/>
          <w:color w:val="000000" w:themeColor="text1"/>
        </w:rPr>
        <w:t>New Paradigm – ESG &amp; Sustainable Finance 2020</w:t>
      </w:r>
    </w:p>
    <w:p w14:paraId="6D10ACFF" w14:textId="53F4B706" w:rsidR="00B405D7" w:rsidRPr="00E1253A" w:rsidRDefault="00B405D7" w:rsidP="00B405D7">
      <w:pPr>
        <w:pStyle w:val="ListParagraph"/>
        <w:numPr>
          <w:ilvl w:val="1"/>
          <w:numId w:val="21"/>
        </w:numPr>
        <w:spacing w:line="360" w:lineRule="auto"/>
        <w:jc w:val="both"/>
        <w:rPr>
          <w:color w:val="000000" w:themeColor="text1"/>
        </w:rPr>
      </w:pPr>
      <w:r w:rsidRPr="00E1253A">
        <w:rPr>
          <w:color w:val="000000" w:themeColor="text1"/>
        </w:rPr>
        <w:t>ESG, Ethics, &amp; Counterparty Risk</w:t>
      </w:r>
    </w:p>
    <w:p w14:paraId="346102F7" w14:textId="26306A71" w:rsidR="00B405D7" w:rsidRPr="00E1253A" w:rsidRDefault="00B405D7" w:rsidP="00B405D7">
      <w:pPr>
        <w:pStyle w:val="ListParagraph"/>
        <w:numPr>
          <w:ilvl w:val="1"/>
          <w:numId w:val="21"/>
        </w:numPr>
        <w:spacing w:line="360" w:lineRule="auto"/>
        <w:jc w:val="both"/>
        <w:rPr>
          <w:color w:val="000000" w:themeColor="text1"/>
        </w:rPr>
      </w:pPr>
      <w:r w:rsidRPr="00E1253A">
        <w:rPr>
          <w:color w:val="000000" w:themeColor="text1"/>
        </w:rPr>
        <w:t xml:space="preserve">Corporate </w:t>
      </w:r>
      <w:r w:rsidR="00AB600F" w:rsidRPr="00E1253A">
        <w:rPr>
          <w:color w:val="000000" w:themeColor="text1"/>
        </w:rPr>
        <w:t>Purpose</w:t>
      </w:r>
      <w:r w:rsidRPr="00E1253A">
        <w:rPr>
          <w:color w:val="000000" w:themeColor="text1"/>
        </w:rPr>
        <w:t>: Higher Duties</w:t>
      </w:r>
    </w:p>
    <w:p w14:paraId="24841461" w14:textId="77777777" w:rsidR="00383A5D" w:rsidRPr="00E1253A" w:rsidRDefault="00383A5D" w:rsidP="00B405D7">
      <w:pPr>
        <w:pStyle w:val="ListParagraph"/>
        <w:spacing w:line="360" w:lineRule="auto"/>
        <w:jc w:val="both"/>
        <w:rPr>
          <w:b/>
          <w:bCs/>
          <w:color w:val="000000" w:themeColor="text1"/>
        </w:rPr>
      </w:pPr>
    </w:p>
    <w:p w14:paraId="1084DE72" w14:textId="313B220E" w:rsidR="00383A5D" w:rsidRPr="00E1253A" w:rsidRDefault="00383A5D" w:rsidP="00B405D7">
      <w:pPr>
        <w:pStyle w:val="ListParagraph"/>
        <w:numPr>
          <w:ilvl w:val="0"/>
          <w:numId w:val="21"/>
        </w:numPr>
        <w:spacing w:line="360" w:lineRule="auto"/>
        <w:jc w:val="both"/>
        <w:rPr>
          <w:b/>
          <w:bCs/>
          <w:color w:val="000000" w:themeColor="text1"/>
        </w:rPr>
      </w:pPr>
      <w:r w:rsidRPr="00E1253A">
        <w:rPr>
          <w:b/>
          <w:bCs/>
          <w:color w:val="000000" w:themeColor="text1"/>
        </w:rPr>
        <w:t>Conclu</w:t>
      </w:r>
      <w:r w:rsidR="00CD0FD2" w:rsidRPr="00E1253A">
        <w:rPr>
          <w:b/>
          <w:bCs/>
          <w:color w:val="000000" w:themeColor="text1"/>
        </w:rPr>
        <w:t>ding Remarks</w:t>
      </w:r>
    </w:p>
    <w:p w14:paraId="17773AD8" w14:textId="54193819" w:rsidR="00D65496" w:rsidRPr="00E1253A" w:rsidRDefault="00D65496" w:rsidP="0012453C">
      <w:pPr>
        <w:spacing w:line="480" w:lineRule="auto"/>
        <w:jc w:val="both"/>
        <w:rPr>
          <w:b/>
          <w:bCs/>
          <w:color w:val="000000" w:themeColor="text1"/>
        </w:rPr>
      </w:pPr>
    </w:p>
    <w:p w14:paraId="12FE5432" w14:textId="77777777" w:rsidR="00D65496" w:rsidRPr="00E1253A" w:rsidRDefault="00D65496" w:rsidP="0012453C">
      <w:pPr>
        <w:spacing w:line="480" w:lineRule="auto"/>
        <w:jc w:val="both"/>
        <w:rPr>
          <w:color w:val="000000" w:themeColor="text1"/>
        </w:rPr>
      </w:pPr>
    </w:p>
    <w:p w14:paraId="66898709" w14:textId="1C0649D2" w:rsidR="00B405D7" w:rsidRPr="00E1253A" w:rsidRDefault="007B2E8E" w:rsidP="00B405D7">
      <w:pPr>
        <w:pStyle w:val="Heading1"/>
        <w:numPr>
          <w:ilvl w:val="0"/>
          <w:numId w:val="0"/>
        </w:numPr>
        <w:spacing w:line="360" w:lineRule="auto"/>
        <w:ind w:left="180"/>
        <w:jc w:val="both"/>
      </w:pPr>
      <w:bookmarkStart w:id="9" w:name="OLE_LINK812"/>
      <w:bookmarkStart w:id="10" w:name="OLE_LINK813"/>
      <w:r w:rsidRPr="00E1253A">
        <w:t>Abstract</w:t>
      </w:r>
    </w:p>
    <w:p w14:paraId="384AC658" w14:textId="77777777" w:rsidR="00B405D7" w:rsidRPr="00E1253A" w:rsidRDefault="00B405D7" w:rsidP="00B405D7">
      <w:pPr>
        <w:rPr>
          <w:color w:val="000000" w:themeColor="text1"/>
          <w:sz w:val="11"/>
          <w:szCs w:val="11"/>
        </w:rPr>
      </w:pPr>
    </w:p>
    <w:p w14:paraId="21FC2649" w14:textId="4E237D76" w:rsidR="00CF7AF5" w:rsidRPr="00E1253A" w:rsidRDefault="000903AE" w:rsidP="00B405D7">
      <w:pPr>
        <w:spacing w:line="360" w:lineRule="auto"/>
        <w:jc w:val="both"/>
        <w:rPr>
          <w:i/>
          <w:iCs/>
          <w:color w:val="000000" w:themeColor="text1"/>
        </w:rPr>
      </w:pPr>
      <w:bookmarkStart w:id="11" w:name="OLE_LINK94"/>
      <w:bookmarkStart w:id="12" w:name="OLE_LINK95"/>
      <w:bookmarkStart w:id="13" w:name="OLE_LINK442"/>
      <w:bookmarkStart w:id="14" w:name="OLE_LINK443"/>
      <w:bookmarkStart w:id="15" w:name="OLE_LINK219"/>
      <w:r w:rsidRPr="00E1253A">
        <w:rPr>
          <w:i/>
          <w:iCs/>
          <w:color w:val="000000" w:themeColor="text1"/>
        </w:rPr>
        <w:t xml:space="preserve">By the turn of the twentieth century, United States corporate scholarship had been dominated by the </w:t>
      </w:r>
      <w:r w:rsidR="00812E81" w:rsidRPr="00E1253A">
        <w:rPr>
          <w:i/>
          <w:iCs/>
          <w:color w:val="000000" w:themeColor="text1"/>
        </w:rPr>
        <w:t xml:space="preserve">neoliberal paradigm </w:t>
      </w:r>
      <w:r w:rsidRPr="00E1253A">
        <w:rPr>
          <w:i/>
          <w:iCs/>
          <w:color w:val="000000" w:themeColor="text1"/>
        </w:rPr>
        <w:t>of the firm as a purely private entity that exists</w:t>
      </w:r>
      <w:r w:rsidR="00812E81" w:rsidRPr="00E1253A">
        <w:rPr>
          <w:i/>
          <w:iCs/>
          <w:color w:val="000000" w:themeColor="text1"/>
        </w:rPr>
        <w:t xml:space="preserve"> </w:t>
      </w:r>
      <w:r w:rsidRPr="00E1253A">
        <w:rPr>
          <w:i/>
          <w:iCs/>
          <w:color w:val="000000" w:themeColor="text1"/>
        </w:rPr>
        <w:t xml:space="preserve">for the purpose of maximizing profits for its shareholders. </w:t>
      </w:r>
      <w:r w:rsidR="0037066A" w:rsidRPr="00E1253A">
        <w:rPr>
          <w:i/>
          <w:iCs/>
          <w:color w:val="000000" w:themeColor="text1"/>
        </w:rPr>
        <w:t>Since the 1970s with the rise of the law and economics movement</w:t>
      </w:r>
      <w:r w:rsidR="009F785D" w:rsidRPr="00E1253A">
        <w:rPr>
          <w:i/>
          <w:iCs/>
          <w:color w:val="000000" w:themeColor="text1"/>
        </w:rPr>
        <w:t xml:space="preserve"> in particular</w:t>
      </w:r>
      <w:r w:rsidR="0037066A" w:rsidRPr="00E1253A">
        <w:rPr>
          <w:i/>
          <w:iCs/>
          <w:color w:val="000000" w:themeColor="text1"/>
        </w:rPr>
        <w:t xml:space="preserve">, </w:t>
      </w:r>
      <w:r w:rsidR="009F785D" w:rsidRPr="00E1253A">
        <w:rPr>
          <w:i/>
          <w:iCs/>
          <w:color w:val="000000" w:themeColor="text1"/>
        </w:rPr>
        <w:t>the</w:t>
      </w:r>
      <w:r w:rsidR="0037066A" w:rsidRPr="00E1253A">
        <w:rPr>
          <w:i/>
          <w:iCs/>
          <w:color w:val="000000" w:themeColor="text1"/>
        </w:rPr>
        <w:t xml:space="preserve"> neoclassical conception of the fir</w:t>
      </w:r>
      <w:r w:rsidR="009F785D" w:rsidRPr="00E1253A">
        <w:rPr>
          <w:i/>
          <w:iCs/>
          <w:color w:val="000000" w:themeColor="text1"/>
        </w:rPr>
        <w:t xml:space="preserve">m as having </w:t>
      </w:r>
      <w:r w:rsidR="00AA3EF7" w:rsidRPr="00E1253A">
        <w:rPr>
          <w:i/>
          <w:iCs/>
          <w:color w:val="000000" w:themeColor="text1"/>
        </w:rPr>
        <w:t xml:space="preserve">no higher purpose beyond efficiency </w:t>
      </w:r>
      <w:r w:rsidR="009F785D" w:rsidRPr="00E1253A">
        <w:rPr>
          <w:i/>
          <w:iCs/>
          <w:color w:val="000000" w:themeColor="text1"/>
        </w:rPr>
        <w:t>has had profound</w:t>
      </w:r>
      <w:r w:rsidR="00AA3EF7" w:rsidRPr="00E1253A">
        <w:rPr>
          <w:i/>
          <w:iCs/>
          <w:color w:val="000000" w:themeColor="text1"/>
        </w:rPr>
        <w:t xml:space="preserve"> </w:t>
      </w:r>
      <w:r w:rsidR="009F785D" w:rsidRPr="00E1253A">
        <w:rPr>
          <w:i/>
          <w:iCs/>
          <w:color w:val="000000" w:themeColor="text1"/>
        </w:rPr>
        <w:t>influence</w:t>
      </w:r>
      <w:r w:rsidR="00AA3EF7" w:rsidRPr="00E1253A">
        <w:rPr>
          <w:i/>
          <w:iCs/>
          <w:color w:val="000000" w:themeColor="text1"/>
        </w:rPr>
        <w:t xml:space="preserve"> on corporate conduct—often </w:t>
      </w:r>
      <w:r w:rsidR="00AB1E24">
        <w:rPr>
          <w:i/>
          <w:iCs/>
          <w:color w:val="000000" w:themeColor="text1"/>
        </w:rPr>
        <w:t>to the</w:t>
      </w:r>
      <w:r w:rsidR="00AA3EF7" w:rsidRPr="00E1253A">
        <w:rPr>
          <w:i/>
          <w:iCs/>
          <w:color w:val="000000" w:themeColor="text1"/>
        </w:rPr>
        <w:t xml:space="preserve"> detriment of the environment, employees, and society more broadly. </w:t>
      </w:r>
      <w:r w:rsidR="00B0093D" w:rsidRPr="00E1253A">
        <w:rPr>
          <w:i/>
          <w:iCs/>
          <w:color w:val="000000" w:themeColor="text1"/>
        </w:rPr>
        <w:t>Analysis of United States corporate jurisprudence will</w:t>
      </w:r>
      <w:r w:rsidR="0041280D" w:rsidRPr="00E1253A">
        <w:rPr>
          <w:i/>
          <w:iCs/>
          <w:color w:val="000000" w:themeColor="text1"/>
        </w:rPr>
        <w:t xml:space="preserve"> </w:t>
      </w:r>
      <w:r w:rsidR="00B0093D" w:rsidRPr="00E1253A">
        <w:rPr>
          <w:i/>
          <w:iCs/>
          <w:color w:val="000000" w:themeColor="text1"/>
        </w:rPr>
        <w:t>revea</w:t>
      </w:r>
      <w:r w:rsidR="00825253" w:rsidRPr="00E1253A">
        <w:rPr>
          <w:i/>
          <w:iCs/>
          <w:color w:val="000000" w:themeColor="text1"/>
        </w:rPr>
        <w:t>l, however,</w:t>
      </w:r>
      <w:r w:rsidR="00B0093D" w:rsidRPr="00E1253A">
        <w:rPr>
          <w:i/>
          <w:iCs/>
          <w:color w:val="000000" w:themeColor="text1"/>
        </w:rPr>
        <w:t xml:space="preserve"> that there is in fact no</w:t>
      </w:r>
      <w:r w:rsidR="00081BDB" w:rsidRPr="00E1253A">
        <w:rPr>
          <w:i/>
          <w:iCs/>
          <w:color w:val="000000" w:themeColor="text1"/>
        </w:rPr>
        <w:t xml:space="preserve"> </w:t>
      </w:r>
      <w:r w:rsidR="00B0093D" w:rsidRPr="00E1253A">
        <w:rPr>
          <w:i/>
          <w:iCs/>
          <w:color w:val="000000" w:themeColor="text1"/>
        </w:rPr>
        <w:t xml:space="preserve">legal obligation for corporate fiduciaries to maximize profits </w:t>
      </w:r>
      <w:r w:rsidR="00825253" w:rsidRPr="00E1253A">
        <w:rPr>
          <w:i/>
          <w:iCs/>
          <w:color w:val="000000" w:themeColor="text1"/>
        </w:rPr>
        <w:t>n</w:t>
      </w:r>
      <w:r w:rsidR="00B0093D" w:rsidRPr="00E1253A">
        <w:rPr>
          <w:i/>
          <w:iCs/>
          <w:color w:val="000000" w:themeColor="text1"/>
        </w:rPr>
        <w:t>or</w:t>
      </w:r>
      <w:r w:rsidR="006F0A6E" w:rsidRPr="00E1253A">
        <w:rPr>
          <w:i/>
          <w:iCs/>
          <w:color w:val="000000" w:themeColor="text1"/>
        </w:rPr>
        <w:t xml:space="preserve"> necessarily</w:t>
      </w:r>
      <w:r w:rsidR="00B0093D" w:rsidRPr="00E1253A">
        <w:rPr>
          <w:i/>
          <w:iCs/>
          <w:color w:val="000000" w:themeColor="text1"/>
        </w:rPr>
        <w:t xml:space="preserve"> follow the will of shareholders</w:t>
      </w:r>
      <w:r w:rsidR="006F0A6E" w:rsidRPr="00E1253A">
        <w:rPr>
          <w:i/>
          <w:iCs/>
          <w:color w:val="000000" w:themeColor="text1"/>
        </w:rPr>
        <w:t xml:space="preserve"> above all other considerations</w:t>
      </w:r>
      <w:bookmarkStart w:id="16" w:name="OLE_LINK418"/>
      <w:bookmarkStart w:id="17" w:name="OLE_LINK419"/>
      <w:bookmarkStart w:id="18" w:name="OLE_LINK420"/>
      <w:bookmarkStart w:id="19" w:name="OLE_LINK421"/>
      <w:r w:rsidR="006F0A6E" w:rsidRPr="00E1253A">
        <w:rPr>
          <w:i/>
          <w:iCs/>
          <w:color w:val="000000" w:themeColor="text1"/>
        </w:rPr>
        <w:t>.</w:t>
      </w:r>
      <w:bookmarkEnd w:id="16"/>
      <w:bookmarkEnd w:id="17"/>
      <w:r w:rsidR="00CF7AF5" w:rsidRPr="00E1253A">
        <w:rPr>
          <w:i/>
          <w:iCs/>
          <w:color w:val="000000" w:themeColor="text1"/>
        </w:rPr>
        <w:t xml:space="preserve"> </w:t>
      </w:r>
      <w:r w:rsidR="00B0093D" w:rsidRPr="00E1253A">
        <w:rPr>
          <w:i/>
          <w:iCs/>
          <w:color w:val="000000" w:themeColor="text1"/>
        </w:rPr>
        <w:t xml:space="preserve">This thesis argues for the necessity for a new conception of the modern corporation that is both theoretically </w:t>
      </w:r>
      <w:r w:rsidR="00AA3EF7" w:rsidRPr="00E1253A">
        <w:rPr>
          <w:i/>
          <w:iCs/>
          <w:color w:val="000000" w:themeColor="text1"/>
        </w:rPr>
        <w:t>useful</w:t>
      </w:r>
      <w:r w:rsidR="00502C63">
        <w:rPr>
          <w:i/>
          <w:iCs/>
          <w:color w:val="000000" w:themeColor="text1"/>
        </w:rPr>
        <w:t xml:space="preserve"> as well as empirically accurate</w:t>
      </w:r>
      <w:r w:rsidR="00CF7AF5" w:rsidRPr="00E1253A">
        <w:rPr>
          <w:i/>
          <w:iCs/>
          <w:color w:val="000000" w:themeColor="text1"/>
        </w:rPr>
        <w:t>.</w:t>
      </w:r>
      <w:r w:rsidR="00EF2F5A" w:rsidRPr="00E1253A">
        <w:rPr>
          <w:i/>
          <w:iCs/>
          <w:color w:val="000000" w:themeColor="text1"/>
        </w:rPr>
        <w:t xml:space="preserve"> </w:t>
      </w:r>
    </w:p>
    <w:bookmarkEnd w:id="11"/>
    <w:bookmarkEnd w:id="12"/>
    <w:p w14:paraId="4ABF7853" w14:textId="77777777" w:rsidR="00B405D7" w:rsidRPr="00E1253A" w:rsidRDefault="00B405D7" w:rsidP="00B405D7">
      <w:pPr>
        <w:spacing w:line="360" w:lineRule="auto"/>
        <w:jc w:val="both"/>
        <w:rPr>
          <w:i/>
          <w:iCs/>
          <w:color w:val="000000" w:themeColor="text1"/>
        </w:rPr>
      </w:pPr>
    </w:p>
    <w:p w14:paraId="1DF8AC4D" w14:textId="69BE13C9" w:rsidR="00825253" w:rsidRPr="00E1253A" w:rsidRDefault="00EF2F5A" w:rsidP="00B405D7">
      <w:pPr>
        <w:spacing w:line="360" w:lineRule="auto"/>
        <w:ind w:firstLine="720"/>
        <w:jc w:val="both"/>
        <w:rPr>
          <w:i/>
          <w:iCs/>
          <w:color w:val="000000" w:themeColor="text1"/>
        </w:rPr>
      </w:pPr>
      <w:r w:rsidRPr="00E1253A">
        <w:rPr>
          <w:i/>
          <w:iCs/>
          <w:color w:val="000000" w:themeColor="text1"/>
        </w:rPr>
        <w:t>This thesis</w:t>
      </w:r>
      <w:r w:rsidR="00CF7AF5" w:rsidRPr="00E1253A">
        <w:rPr>
          <w:i/>
          <w:iCs/>
          <w:color w:val="000000" w:themeColor="text1"/>
        </w:rPr>
        <w:t xml:space="preserve"> </w:t>
      </w:r>
      <w:r w:rsidR="00727661" w:rsidRPr="00E1253A">
        <w:rPr>
          <w:i/>
          <w:iCs/>
          <w:color w:val="000000" w:themeColor="text1"/>
        </w:rPr>
        <w:t>advances</w:t>
      </w:r>
      <w:r w:rsidR="00B0093D" w:rsidRPr="00E1253A">
        <w:rPr>
          <w:i/>
          <w:iCs/>
          <w:color w:val="000000" w:themeColor="text1"/>
        </w:rPr>
        <w:t xml:space="preserve"> an  Institutional Political Economy (IPE) analysis</w:t>
      </w:r>
      <w:r w:rsidR="00CF7AF5" w:rsidRPr="00E1253A">
        <w:rPr>
          <w:i/>
          <w:iCs/>
          <w:color w:val="000000" w:themeColor="text1"/>
        </w:rPr>
        <w:t xml:space="preserve"> of the modern corporation</w:t>
      </w:r>
      <w:r w:rsidR="00B0093D" w:rsidRPr="00E1253A">
        <w:rPr>
          <w:i/>
          <w:iCs/>
          <w:color w:val="000000" w:themeColor="text1"/>
        </w:rPr>
        <w:t xml:space="preserve"> that combines economic theory with political philosophy</w:t>
      </w:r>
      <w:r w:rsidR="007438F5" w:rsidRPr="00E1253A">
        <w:rPr>
          <w:i/>
          <w:iCs/>
          <w:color w:val="000000" w:themeColor="text1"/>
        </w:rPr>
        <w:t xml:space="preserve"> to provider a richer and more comprehensive framework for understanding corporate duties and obligations</w:t>
      </w:r>
      <w:r w:rsidR="006F0A6E" w:rsidRPr="00E1253A">
        <w:rPr>
          <w:i/>
          <w:iCs/>
          <w:color w:val="000000" w:themeColor="text1"/>
        </w:rPr>
        <w:t xml:space="preserve"> in the context of institutional relationships</w:t>
      </w:r>
      <w:r w:rsidR="00B0093D" w:rsidRPr="00E1253A">
        <w:rPr>
          <w:i/>
          <w:iCs/>
          <w:color w:val="000000" w:themeColor="text1"/>
        </w:rPr>
        <w:t xml:space="preserve">. </w:t>
      </w:r>
      <w:r w:rsidR="007438F5" w:rsidRPr="00E1253A">
        <w:rPr>
          <w:i/>
          <w:iCs/>
          <w:color w:val="000000" w:themeColor="text1"/>
        </w:rPr>
        <w:t>The utility of this approach is revealed through the shortcomings and severe limitations of a</w:t>
      </w:r>
      <w:r w:rsidR="005151A6" w:rsidRPr="00E1253A">
        <w:rPr>
          <w:i/>
          <w:iCs/>
          <w:color w:val="000000" w:themeColor="text1"/>
        </w:rPr>
        <w:t xml:space="preserve">dherence </w:t>
      </w:r>
      <w:bookmarkStart w:id="20" w:name="OLE_LINK1"/>
      <w:bookmarkStart w:id="21" w:name="OLE_LINK2"/>
      <w:r w:rsidR="005151A6" w:rsidRPr="00E1253A">
        <w:rPr>
          <w:i/>
          <w:iCs/>
          <w:color w:val="000000" w:themeColor="text1"/>
        </w:rPr>
        <w:t xml:space="preserve">to a purely economic conception </w:t>
      </w:r>
      <w:bookmarkEnd w:id="20"/>
      <w:bookmarkEnd w:id="21"/>
      <w:r w:rsidR="007438F5" w:rsidRPr="00E1253A">
        <w:rPr>
          <w:i/>
          <w:iCs/>
          <w:color w:val="000000" w:themeColor="text1"/>
        </w:rPr>
        <w:t xml:space="preserve">that </w:t>
      </w:r>
      <w:r w:rsidR="005151A6" w:rsidRPr="00E1253A">
        <w:rPr>
          <w:i/>
          <w:iCs/>
          <w:color w:val="000000" w:themeColor="text1"/>
        </w:rPr>
        <w:t>ultimately fa</w:t>
      </w:r>
      <w:r w:rsidR="00483B68" w:rsidRPr="00E1253A">
        <w:rPr>
          <w:i/>
          <w:iCs/>
          <w:color w:val="000000" w:themeColor="text1"/>
        </w:rPr>
        <w:t xml:space="preserve">ils to provide an </w:t>
      </w:r>
      <w:r w:rsidR="00727661" w:rsidRPr="00E1253A">
        <w:rPr>
          <w:i/>
          <w:iCs/>
          <w:color w:val="000000" w:themeColor="text1"/>
        </w:rPr>
        <w:t xml:space="preserve">accurate </w:t>
      </w:r>
      <w:r w:rsidR="00483B68" w:rsidRPr="00E1253A">
        <w:rPr>
          <w:i/>
          <w:iCs/>
          <w:color w:val="000000" w:themeColor="text1"/>
        </w:rPr>
        <w:t>account of United States corporate law</w:t>
      </w:r>
      <w:r w:rsidR="00727661" w:rsidRPr="00E1253A">
        <w:rPr>
          <w:i/>
          <w:iCs/>
          <w:color w:val="000000" w:themeColor="text1"/>
        </w:rPr>
        <w:t xml:space="preserve"> nor</w:t>
      </w:r>
      <w:r w:rsidRPr="00E1253A">
        <w:rPr>
          <w:i/>
          <w:iCs/>
          <w:color w:val="000000" w:themeColor="text1"/>
        </w:rPr>
        <w:t xml:space="preserve"> emerging</w:t>
      </w:r>
      <w:r w:rsidR="00727661" w:rsidRPr="00E1253A">
        <w:rPr>
          <w:i/>
          <w:iCs/>
          <w:color w:val="000000" w:themeColor="text1"/>
        </w:rPr>
        <w:t xml:space="preserve"> business </w:t>
      </w:r>
      <w:r w:rsidR="00125C9A" w:rsidRPr="00E1253A">
        <w:rPr>
          <w:i/>
          <w:iCs/>
          <w:color w:val="000000" w:themeColor="text1"/>
        </w:rPr>
        <w:t xml:space="preserve">realities today. </w:t>
      </w:r>
      <w:bookmarkStart w:id="22" w:name="OLE_LINK526"/>
      <w:bookmarkStart w:id="23" w:name="OLE_LINK527"/>
      <w:r w:rsidR="00125C9A" w:rsidRPr="00E1253A">
        <w:rPr>
          <w:i/>
          <w:iCs/>
          <w:color w:val="000000" w:themeColor="text1"/>
        </w:rPr>
        <w:t xml:space="preserve">Moreover, its draws attention to </w:t>
      </w:r>
      <w:r w:rsidR="00483B68" w:rsidRPr="00E1253A">
        <w:rPr>
          <w:i/>
          <w:iCs/>
          <w:color w:val="000000" w:themeColor="text1"/>
        </w:rPr>
        <w:t xml:space="preserve">the </w:t>
      </w:r>
      <w:r w:rsidR="00727661" w:rsidRPr="00E1253A">
        <w:rPr>
          <w:i/>
          <w:iCs/>
          <w:color w:val="000000" w:themeColor="text1"/>
        </w:rPr>
        <w:t>power of modern corporations to influence institutional structures</w:t>
      </w:r>
      <w:r w:rsidR="00CF7AF5" w:rsidRPr="00E1253A">
        <w:rPr>
          <w:i/>
          <w:iCs/>
          <w:color w:val="000000" w:themeColor="text1"/>
        </w:rPr>
        <w:t>, and the interrelationships between politics, the market, and state power that have been overlooked in scholarship.</w:t>
      </w:r>
      <w:r w:rsidR="00125C9A" w:rsidRPr="00E1253A">
        <w:rPr>
          <w:i/>
          <w:iCs/>
          <w:color w:val="000000" w:themeColor="text1"/>
        </w:rPr>
        <w:t xml:space="preserve"> </w:t>
      </w:r>
    </w:p>
    <w:p w14:paraId="4E5CF41C" w14:textId="77777777" w:rsidR="00B405D7" w:rsidRPr="00E1253A" w:rsidRDefault="00B405D7" w:rsidP="00B405D7">
      <w:pPr>
        <w:spacing w:line="360" w:lineRule="auto"/>
        <w:ind w:firstLine="720"/>
        <w:jc w:val="both"/>
        <w:rPr>
          <w:i/>
          <w:iCs/>
          <w:color w:val="000000" w:themeColor="text1"/>
        </w:rPr>
      </w:pPr>
    </w:p>
    <w:p w14:paraId="103B293F" w14:textId="515A3026" w:rsidR="000903AE" w:rsidRPr="00E1253A" w:rsidRDefault="00B0093D" w:rsidP="00B405D7">
      <w:pPr>
        <w:spacing w:line="360" w:lineRule="auto"/>
        <w:ind w:firstLine="720"/>
        <w:jc w:val="both"/>
        <w:rPr>
          <w:i/>
          <w:iCs/>
          <w:color w:val="000000" w:themeColor="text1"/>
        </w:rPr>
      </w:pPr>
      <w:r w:rsidRPr="00E1253A">
        <w:rPr>
          <w:i/>
          <w:iCs/>
          <w:color w:val="000000" w:themeColor="text1"/>
        </w:rPr>
        <w:t>Applying insights from a</w:t>
      </w:r>
      <w:r w:rsidR="009A6694" w:rsidRPr="00E1253A">
        <w:rPr>
          <w:i/>
          <w:iCs/>
          <w:color w:val="000000" w:themeColor="text1"/>
        </w:rPr>
        <w:t>n</w:t>
      </w:r>
      <w:r w:rsidRPr="00E1253A">
        <w:rPr>
          <w:i/>
          <w:iCs/>
          <w:color w:val="000000" w:themeColor="text1"/>
        </w:rPr>
        <w:t xml:space="preserve"> analysis of</w:t>
      </w:r>
      <w:r w:rsidR="009A6694" w:rsidRPr="00E1253A">
        <w:rPr>
          <w:i/>
          <w:iCs/>
          <w:color w:val="000000" w:themeColor="text1"/>
        </w:rPr>
        <w:t xml:space="preserve"> </w:t>
      </w:r>
      <w:r w:rsidRPr="00E1253A">
        <w:rPr>
          <w:i/>
          <w:iCs/>
          <w:color w:val="000000" w:themeColor="text1"/>
        </w:rPr>
        <w:t>corporate powers</w:t>
      </w:r>
      <w:r w:rsidR="00483B68" w:rsidRPr="00E1253A">
        <w:rPr>
          <w:i/>
          <w:iCs/>
          <w:color w:val="000000" w:themeColor="text1"/>
        </w:rPr>
        <w:t xml:space="preserve"> focusing on the role of institutions, politics,</w:t>
      </w:r>
      <w:r w:rsidR="00727661" w:rsidRPr="00E1253A">
        <w:rPr>
          <w:i/>
          <w:iCs/>
          <w:color w:val="000000" w:themeColor="text1"/>
        </w:rPr>
        <w:t xml:space="preserve"> and markets on influencing agency will </w:t>
      </w:r>
      <w:r w:rsidRPr="00E1253A">
        <w:rPr>
          <w:i/>
          <w:iCs/>
          <w:color w:val="000000" w:themeColor="text1"/>
        </w:rPr>
        <w:t>reveal the role of corporate governance as a dynamic process dependent on its socio-political context</w:t>
      </w:r>
      <w:r w:rsidR="009A6694" w:rsidRPr="00E1253A">
        <w:rPr>
          <w:i/>
          <w:iCs/>
          <w:color w:val="000000" w:themeColor="text1"/>
        </w:rPr>
        <w:t xml:space="preserve"> </w:t>
      </w:r>
      <w:r w:rsidR="00483B68" w:rsidRPr="00E1253A">
        <w:rPr>
          <w:i/>
          <w:iCs/>
          <w:color w:val="000000" w:themeColor="text1"/>
        </w:rPr>
        <w:t>that also</w:t>
      </w:r>
      <w:r w:rsidR="009A6694" w:rsidRPr="00E1253A">
        <w:rPr>
          <w:i/>
          <w:iCs/>
          <w:color w:val="000000" w:themeColor="text1"/>
        </w:rPr>
        <w:t xml:space="preserve"> appears to be democratizing over time</w:t>
      </w:r>
      <w:r w:rsidR="00E321D1" w:rsidRPr="00E1253A">
        <w:rPr>
          <w:i/>
          <w:iCs/>
          <w:color w:val="000000" w:themeColor="text1"/>
        </w:rPr>
        <w:t>—</w:t>
      </w:r>
      <w:r w:rsidRPr="00E1253A">
        <w:rPr>
          <w:i/>
          <w:iCs/>
          <w:color w:val="000000" w:themeColor="text1"/>
        </w:rPr>
        <w:t>rather</w:t>
      </w:r>
      <w:r w:rsidR="00E321D1" w:rsidRPr="00E1253A">
        <w:rPr>
          <w:i/>
          <w:iCs/>
          <w:color w:val="000000" w:themeColor="text1"/>
        </w:rPr>
        <w:t xml:space="preserve"> </w:t>
      </w:r>
      <w:r w:rsidRPr="00E1253A">
        <w:rPr>
          <w:i/>
          <w:iCs/>
          <w:color w:val="000000" w:themeColor="text1"/>
        </w:rPr>
        <w:t xml:space="preserve">than oriented toward a theoretical </w:t>
      </w:r>
      <w:r w:rsidR="00E321D1" w:rsidRPr="00E1253A">
        <w:rPr>
          <w:i/>
          <w:iCs/>
          <w:color w:val="000000" w:themeColor="text1"/>
        </w:rPr>
        <w:t>and unobtainable</w:t>
      </w:r>
      <w:r w:rsidR="009A6694" w:rsidRPr="00E1253A">
        <w:rPr>
          <w:i/>
          <w:iCs/>
          <w:color w:val="000000" w:themeColor="text1"/>
        </w:rPr>
        <w:t xml:space="preserve"> </w:t>
      </w:r>
      <w:r w:rsidR="00CF7AF5" w:rsidRPr="00E1253A">
        <w:rPr>
          <w:i/>
          <w:iCs/>
          <w:color w:val="000000" w:themeColor="text1"/>
        </w:rPr>
        <w:t>unitary</w:t>
      </w:r>
      <w:r w:rsidR="00E321D1" w:rsidRPr="00E1253A">
        <w:rPr>
          <w:i/>
          <w:iCs/>
          <w:color w:val="000000" w:themeColor="text1"/>
        </w:rPr>
        <w:t xml:space="preserve"> </w:t>
      </w:r>
      <w:r w:rsidRPr="00E1253A">
        <w:rPr>
          <w:i/>
          <w:iCs/>
          <w:color w:val="000000" w:themeColor="text1"/>
        </w:rPr>
        <w:t>conception of pareto efficiency.</w:t>
      </w:r>
      <w:r w:rsidR="00727661" w:rsidRPr="00E1253A">
        <w:rPr>
          <w:i/>
          <w:iCs/>
          <w:color w:val="000000" w:themeColor="text1"/>
        </w:rPr>
        <w:t xml:space="preserve"> Application of this analysis to United States corporate law, historical developments, and the emerging new paradigm will reveal the importance of stakeholder relationships, corporate social responsibility, and ethical behavior to corporate success.</w:t>
      </w:r>
      <w:bookmarkEnd w:id="13"/>
      <w:bookmarkEnd w:id="14"/>
      <w:bookmarkEnd w:id="18"/>
      <w:bookmarkEnd w:id="19"/>
      <w:r w:rsidR="00CF7AF5" w:rsidRPr="00E1253A">
        <w:rPr>
          <w:i/>
          <w:iCs/>
          <w:color w:val="000000" w:themeColor="text1"/>
        </w:rPr>
        <w:t xml:space="preserve"> </w:t>
      </w:r>
    </w:p>
    <w:p w14:paraId="6B77AA96" w14:textId="257D54BD" w:rsidR="0090130C" w:rsidRPr="00E1253A" w:rsidRDefault="007B2E8E" w:rsidP="00B405D7">
      <w:pPr>
        <w:pStyle w:val="Heading1"/>
        <w:numPr>
          <w:ilvl w:val="0"/>
          <w:numId w:val="0"/>
        </w:numPr>
        <w:spacing w:line="360" w:lineRule="auto"/>
        <w:jc w:val="both"/>
      </w:pPr>
      <w:bookmarkStart w:id="24" w:name="OLE_LINK410"/>
      <w:bookmarkStart w:id="25" w:name="OLE_LINK411"/>
      <w:bookmarkEnd w:id="15"/>
      <w:bookmarkEnd w:id="22"/>
      <w:bookmarkEnd w:id="23"/>
      <w:r w:rsidRPr="00E1253A">
        <w:t>Introduction</w:t>
      </w:r>
    </w:p>
    <w:p w14:paraId="3AC747BC" w14:textId="6408E340" w:rsidR="0090130C" w:rsidRPr="00E1253A" w:rsidRDefault="0090130C" w:rsidP="00B405D7">
      <w:pPr>
        <w:spacing w:line="360" w:lineRule="auto"/>
        <w:ind w:left="720"/>
        <w:jc w:val="both"/>
        <w:rPr>
          <w:color w:val="000000" w:themeColor="text1"/>
          <w:sz w:val="22"/>
          <w:szCs w:val="22"/>
        </w:rPr>
      </w:pPr>
      <w:r w:rsidRPr="00E1253A">
        <w:rPr>
          <w:color w:val="000000" w:themeColor="text1"/>
          <w:sz w:val="22"/>
          <w:szCs w:val="22"/>
        </w:rPr>
        <w:t>“</w:t>
      </w:r>
      <w:bookmarkStart w:id="26" w:name="OLE_LINK513"/>
      <w:bookmarkStart w:id="27" w:name="OLE_LINK514"/>
      <w:bookmarkStart w:id="28" w:name="OLE_LINK515"/>
      <w:bookmarkStart w:id="29" w:name="OLE_LINK516"/>
      <w:r w:rsidRPr="00E1253A">
        <w:rPr>
          <w:color w:val="000000" w:themeColor="text1"/>
          <w:sz w:val="22"/>
          <w:szCs w:val="22"/>
        </w:rPr>
        <w:t>The Nature of capital has changed. To an increasing extent it is composed not of tangible goods, but of organizations built in the past and available to the future</w:t>
      </w:r>
      <w:bookmarkEnd w:id="26"/>
      <w:bookmarkEnd w:id="27"/>
      <w:r w:rsidRPr="00E1253A">
        <w:rPr>
          <w:color w:val="000000" w:themeColor="text1"/>
          <w:sz w:val="22"/>
          <w:szCs w:val="22"/>
        </w:rPr>
        <w:t>. The economic power in the hands of the few persons who control a giant corporation is a tremendous force which can harm or benefit a multitude of individuals, affect whole districts, shift the currents of trade, bring ruin t</w:t>
      </w:r>
      <w:r w:rsidR="00A670EA" w:rsidRPr="00E1253A">
        <w:rPr>
          <w:color w:val="000000" w:themeColor="text1"/>
          <w:sz w:val="22"/>
          <w:szCs w:val="22"/>
        </w:rPr>
        <w:t>o</w:t>
      </w:r>
      <w:r w:rsidRPr="00E1253A">
        <w:rPr>
          <w:color w:val="000000" w:themeColor="text1"/>
          <w:sz w:val="22"/>
          <w:szCs w:val="22"/>
        </w:rPr>
        <w:t xml:space="preserve"> one community and prosperity to another. </w:t>
      </w:r>
      <w:r w:rsidR="00FB4FBA" w:rsidRPr="00E1253A">
        <w:rPr>
          <w:color w:val="000000" w:themeColor="text1"/>
          <w:sz w:val="22"/>
          <w:szCs w:val="22"/>
        </w:rPr>
        <w:t>The organizations which they control have passed far beyond the realm of private enterprise—they have become more nearly social institutions</w:t>
      </w:r>
      <w:r w:rsidR="00256E8D" w:rsidRPr="00E1253A">
        <w:rPr>
          <w:color w:val="000000" w:themeColor="text1"/>
          <w:sz w:val="22"/>
          <w:szCs w:val="22"/>
        </w:rPr>
        <w:t xml:space="preserve">…. </w:t>
      </w:r>
      <w:r w:rsidR="00FB4FBA" w:rsidRPr="00E1253A">
        <w:rPr>
          <w:color w:val="000000" w:themeColor="text1"/>
          <w:sz w:val="22"/>
          <w:szCs w:val="22"/>
        </w:rPr>
        <w:t>Such is the character of the corporate system—dynamic, constantly building itself into greater aggregates, and thereby changing the basic conditions which the thinking of the past has assumed.</w:t>
      </w:r>
      <w:bookmarkEnd w:id="28"/>
      <w:bookmarkEnd w:id="29"/>
      <w:r w:rsidRPr="00E1253A">
        <w:rPr>
          <w:color w:val="000000" w:themeColor="text1"/>
          <w:sz w:val="22"/>
          <w:szCs w:val="22"/>
        </w:rPr>
        <w:t>”</w:t>
      </w:r>
    </w:p>
    <w:p w14:paraId="4BC7EA4F" w14:textId="2BBC2198" w:rsidR="003823F9" w:rsidRPr="00E1253A" w:rsidRDefault="003823F9" w:rsidP="00B405D7">
      <w:pPr>
        <w:spacing w:line="360" w:lineRule="auto"/>
        <w:jc w:val="both"/>
        <w:rPr>
          <w:i/>
          <w:iCs/>
          <w:color w:val="000000" w:themeColor="text1"/>
          <w:sz w:val="22"/>
          <w:szCs w:val="22"/>
        </w:rPr>
      </w:pPr>
      <w:r w:rsidRPr="00E1253A">
        <w:rPr>
          <w:i/>
          <w:iCs/>
          <w:color w:val="000000" w:themeColor="text1"/>
        </w:rPr>
        <w:t xml:space="preserve">       </w:t>
      </w:r>
      <w:r w:rsidR="0090130C" w:rsidRPr="00E1253A">
        <w:rPr>
          <w:i/>
          <w:iCs/>
          <w:color w:val="000000" w:themeColor="text1"/>
        </w:rPr>
        <w:t xml:space="preserve">      </w:t>
      </w:r>
      <w:r w:rsidR="00256E8D" w:rsidRPr="00E1253A">
        <w:rPr>
          <w:i/>
          <w:iCs/>
          <w:color w:val="000000" w:themeColor="text1"/>
        </w:rPr>
        <w:t xml:space="preserve">  </w:t>
      </w:r>
      <w:r w:rsidRPr="00E1253A">
        <w:rPr>
          <w:i/>
          <w:iCs/>
          <w:color w:val="000000" w:themeColor="text1"/>
        </w:rPr>
        <w:t xml:space="preserve">–  </w:t>
      </w:r>
      <w:r w:rsidR="0090130C" w:rsidRPr="00E1253A">
        <w:rPr>
          <w:i/>
          <w:iCs/>
          <w:color w:val="000000" w:themeColor="text1"/>
          <w:sz w:val="22"/>
          <w:szCs w:val="22"/>
        </w:rPr>
        <w:t xml:space="preserve">Adolf Berle &amp; Gardiner Means, </w:t>
      </w:r>
      <w:r w:rsidR="0090130C" w:rsidRPr="00E1253A">
        <w:rPr>
          <w:color w:val="000000" w:themeColor="text1"/>
          <w:sz w:val="22"/>
          <w:szCs w:val="22"/>
        </w:rPr>
        <w:t xml:space="preserve">in </w:t>
      </w:r>
      <w:r w:rsidR="0090130C" w:rsidRPr="00E1253A">
        <w:rPr>
          <w:i/>
          <w:iCs/>
          <w:color w:val="000000" w:themeColor="text1"/>
          <w:sz w:val="22"/>
          <w:szCs w:val="22"/>
        </w:rPr>
        <w:t>The Modern Corporation &amp; Private Property,</w:t>
      </w:r>
      <w:r w:rsidR="00C16B89" w:rsidRPr="00E1253A">
        <w:rPr>
          <w:i/>
          <w:iCs/>
          <w:color w:val="000000" w:themeColor="text1"/>
          <w:sz w:val="22"/>
          <w:szCs w:val="22"/>
        </w:rPr>
        <w:t xml:space="preserve"> p. 46</w:t>
      </w:r>
      <w:r w:rsidRPr="00E1253A">
        <w:rPr>
          <w:i/>
          <w:iCs/>
          <w:color w:val="000000" w:themeColor="text1"/>
          <w:sz w:val="22"/>
          <w:szCs w:val="22"/>
        </w:rPr>
        <w:t>, (</w:t>
      </w:r>
      <w:r w:rsidR="0090130C" w:rsidRPr="00E1253A">
        <w:rPr>
          <w:i/>
          <w:iCs/>
          <w:color w:val="000000" w:themeColor="text1"/>
          <w:sz w:val="22"/>
          <w:szCs w:val="22"/>
        </w:rPr>
        <w:t>1932</w:t>
      </w:r>
      <w:r w:rsidRPr="00E1253A">
        <w:rPr>
          <w:i/>
          <w:iCs/>
          <w:color w:val="000000" w:themeColor="text1"/>
          <w:sz w:val="22"/>
          <w:szCs w:val="22"/>
        </w:rPr>
        <w:t>)</w:t>
      </w:r>
    </w:p>
    <w:p w14:paraId="6B619A4F" w14:textId="77777777" w:rsidR="00B405D7" w:rsidRPr="00E1253A" w:rsidRDefault="00B405D7" w:rsidP="00B405D7">
      <w:pPr>
        <w:spacing w:line="360" w:lineRule="auto"/>
        <w:jc w:val="both"/>
        <w:rPr>
          <w:i/>
          <w:iCs/>
          <w:color w:val="000000" w:themeColor="text1"/>
          <w:sz w:val="21"/>
          <w:szCs w:val="21"/>
        </w:rPr>
      </w:pPr>
    </w:p>
    <w:p w14:paraId="33E8DE0F" w14:textId="01950CFC" w:rsidR="006D2112" w:rsidRPr="00E1253A" w:rsidRDefault="0090065D" w:rsidP="0012453C">
      <w:pPr>
        <w:spacing w:line="480" w:lineRule="auto"/>
        <w:jc w:val="both"/>
        <w:rPr>
          <w:color w:val="000000" w:themeColor="text1"/>
        </w:rPr>
      </w:pPr>
      <w:r w:rsidRPr="00E1253A">
        <w:rPr>
          <w:color w:val="000000" w:themeColor="text1"/>
        </w:rPr>
        <w:t>The corporation, it is often noted, has become societies dominant institution, with the largest ones eclipsing most national governments in revenues, employment, logistical capabilities, and global presence.</w:t>
      </w:r>
      <w:r w:rsidR="002F2B22" w:rsidRPr="00E1253A">
        <w:rPr>
          <w:rStyle w:val="FootnoteReference"/>
          <w:color w:val="000000" w:themeColor="text1"/>
        </w:rPr>
        <w:footnoteReference w:id="1"/>
      </w:r>
      <w:r w:rsidRPr="00E1253A">
        <w:rPr>
          <w:color w:val="000000" w:themeColor="text1"/>
        </w:rPr>
        <w:t xml:space="preserve"> </w:t>
      </w:r>
      <w:r w:rsidR="008E789F" w:rsidRPr="00E1253A">
        <w:rPr>
          <w:color w:val="000000" w:themeColor="text1"/>
        </w:rPr>
        <w:t xml:space="preserve">Although these </w:t>
      </w:r>
      <w:r w:rsidR="006F473F" w:rsidRPr="00E1253A">
        <w:rPr>
          <w:color w:val="000000" w:themeColor="text1"/>
        </w:rPr>
        <w:t xml:space="preserve">economic </w:t>
      </w:r>
      <w:r w:rsidR="008E789F" w:rsidRPr="00E1253A">
        <w:rPr>
          <w:color w:val="000000" w:themeColor="text1"/>
        </w:rPr>
        <w:t xml:space="preserve">institutions are </w:t>
      </w:r>
      <w:r w:rsidR="00C3257D" w:rsidRPr="00E1253A">
        <w:rPr>
          <w:color w:val="000000" w:themeColor="text1"/>
        </w:rPr>
        <w:t>responsible</w:t>
      </w:r>
      <w:r w:rsidR="008E789F" w:rsidRPr="00E1253A">
        <w:rPr>
          <w:color w:val="000000" w:themeColor="text1"/>
        </w:rPr>
        <w:t xml:space="preserve"> </w:t>
      </w:r>
      <w:r w:rsidR="00C3257D" w:rsidRPr="00E1253A">
        <w:rPr>
          <w:color w:val="000000" w:themeColor="text1"/>
        </w:rPr>
        <w:t>for</w:t>
      </w:r>
      <w:r w:rsidR="008E789F" w:rsidRPr="00E1253A">
        <w:rPr>
          <w:color w:val="000000" w:themeColor="text1"/>
        </w:rPr>
        <w:t xml:space="preserve"> generating immense prosperity and material wealth for the benefit of society, they also have the </w:t>
      </w:r>
      <w:r w:rsidR="00B40571" w:rsidRPr="00E1253A">
        <w:rPr>
          <w:color w:val="000000" w:themeColor="text1"/>
        </w:rPr>
        <w:t xml:space="preserve">potential to abuse their </w:t>
      </w:r>
      <w:r w:rsidR="008E789F" w:rsidRPr="00E1253A">
        <w:rPr>
          <w:color w:val="000000" w:themeColor="text1"/>
        </w:rPr>
        <w:t>powe</w:t>
      </w:r>
      <w:r w:rsidR="00B40571" w:rsidRPr="00E1253A">
        <w:rPr>
          <w:color w:val="000000" w:themeColor="text1"/>
        </w:rPr>
        <w:t xml:space="preserve">r creating immense harm on society. </w:t>
      </w:r>
    </w:p>
    <w:p w14:paraId="7C8AB11D" w14:textId="169288C6" w:rsidR="006D2112" w:rsidRPr="00E1253A" w:rsidRDefault="006D2112" w:rsidP="0012453C">
      <w:pPr>
        <w:spacing w:line="480" w:lineRule="auto"/>
        <w:ind w:firstLine="720"/>
        <w:jc w:val="both"/>
        <w:rPr>
          <w:color w:val="000000" w:themeColor="text1"/>
        </w:rPr>
      </w:pPr>
      <w:r w:rsidRPr="00E1253A">
        <w:rPr>
          <w:color w:val="000000" w:themeColor="text1"/>
        </w:rPr>
        <w:t xml:space="preserve">The threat posed by the </w:t>
      </w:r>
      <w:r w:rsidR="00C3257D" w:rsidRPr="00E1253A">
        <w:rPr>
          <w:color w:val="000000" w:themeColor="text1"/>
        </w:rPr>
        <w:t>accumulation</w:t>
      </w:r>
      <w:r w:rsidRPr="00E1253A">
        <w:rPr>
          <w:color w:val="000000" w:themeColor="text1"/>
        </w:rPr>
        <w:t xml:space="preserve"> of money, property, productive capacity, and </w:t>
      </w:r>
      <w:r w:rsidR="00C3257D" w:rsidRPr="00E1253A">
        <w:rPr>
          <w:color w:val="000000" w:themeColor="text1"/>
        </w:rPr>
        <w:t>concentrated</w:t>
      </w:r>
      <w:r w:rsidRPr="00E1253A">
        <w:rPr>
          <w:color w:val="000000" w:themeColor="text1"/>
        </w:rPr>
        <w:t xml:space="preserve"> power to individual freedom and democratic </w:t>
      </w:r>
      <w:r w:rsidR="00C3257D" w:rsidRPr="00E1253A">
        <w:rPr>
          <w:color w:val="000000" w:themeColor="text1"/>
        </w:rPr>
        <w:t>society</w:t>
      </w:r>
      <w:r w:rsidRPr="00E1253A">
        <w:rPr>
          <w:color w:val="000000" w:themeColor="text1"/>
        </w:rPr>
        <w:t xml:space="preserve"> has been a recurring concern throughout history. In 1816, Thomas Jefferson decried the dangers of concentrated private power to the new republic, pleading to “</w:t>
      </w:r>
      <w:bookmarkStart w:id="30" w:name="OLE_LINK330"/>
      <w:bookmarkStart w:id="31" w:name="OLE_LINK331"/>
      <w:r w:rsidRPr="00E1253A">
        <w:rPr>
          <w:color w:val="000000" w:themeColor="text1"/>
        </w:rPr>
        <w:t>crush in its birth the aristocracy of our monied corporations which dare already to challenge our government to a trial of strength, and bid defiance to the laws of their country”</w:t>
      </w:r>
      <w:bookmarkEnd w:id="30"/>
      <w:bookmarkEnd w:id="31"/>
      <w:r w:rsidRPr="00E1253A">
        <w:rPr>
          <w:color w:val="000000" w:themeColor="text1"/>
        </w:rPr>
        <w:t>.</w:t>
      </w:r>
      <w:r w:rsidRPr="00E1253A">
        <w:rPr>
          <w:rStyle w:val="FootnoteReference"/>
          <w:color w:val="000000" w:themeColor="text1"/>
        </w:rPr>
        <w:footnoteReference w:id="2"/>
      </w:r>
      <w:r w:rsidRPr="00E1253A">
        <w:rPr>
          <w:color w:val="000000" w:themeColor="text1"/>
        </w:rPr>
        <w:t xml:space="preserve"> </w:t>
      </w:r>
      <w:bookmarkStart w:id="32" w:name="OLE_LINK436"/>
      <w:bookmarkStart w:id="33" w:name="OLE_LINK437"/>
      <w:r w:rsidRPr="00E1253A">
        <w:rPr>
          <w:color w:val="000000" w:themeColor="text1"/>
        </w:rPr>
        <w:t>Fear over the vast accumulation of wealth and the potential for abuse of concentrated power led designers of early corporate charters to</w:t>
      </w:r>
      <w:r w:rsidR="00F25345" w:rsidRPr="00E1253A">
        <w:rPr>
          <w:color w:val="000000" w:themeColor="text1"/>
        </w:rPr>
        <w:t xml:space="preserve"> and</w:t>
      </w:r>
      <w:r w:rsidRPr="00E1253A">
        <w:rPr>
          <w:color w:val="000000" w:themeColor="text1"/>
        </w:rPr>
        <w:t xml:space="preserve"> mandate that companies could exist only as long as they served the public interest.</w:t>
      </w:r>
      <w:r w:rsidRPr="00E1253A">
        <w:rPr>
          <w:rStyle w:val="FootnoteReference"/>
          <w:color w:val="000000" w:themeColor="text1"/>
        </w:rPr>
        <w:footnoteReference w:id="3"/>
      </w:r>
      <w:r w:rsidRPr="00E1253A">
        <w:rPr>
          <w:color w:val="000000" w:themeColor="text1"/>
        </w:rPr>
        <w:t xml:space="preserve"> </w:t>
      </w:r>
      <w:bookmarkEnd w:id="32"/>
      <w:bookmarkEnd w:id="33"/>
      <w:r w:rsidRPr="00E1253A">
        <w:rPr>
          <w:color w:val="000000" w:themeColor="text1"/>
        </w:rPr>
        <w:t xml:space="preserve">The modern corporation, however, has increasingly been viewed through the lens of private contract distancing the basis of the form from its public origins, and even public accountability. </w:t>
      </w:r>
    </w:p>
    <w:p w14:paraId="31125678" w14:textId="358D7E6B" w:rsidR="006F473F" w:rsidRPr="00E1253A" w:rsidRDefault="006D2112" w:rsidP="0012453C">
      <w:pPr>
        <w:spacing w:line="480" w:lineRule="auto"/>
        <w:ind w:firstLine="720"/>
        <w:jc w:val="both"/>
        <w:rPr>
          <w:color w:val="000000" w:themeColor="text1"/>
        </w:rPr>
      </w:pPr>
      <w:r w:rsidRPr="00E1253A">
        <w:rPr>
          <w:color w:val="000000" w:themeColor="text1"/>
        </w:rPr>
        <w:t>As the corporate form was assimilated to the neoliberal paradigm of the private sphere, the neoclassical conception of the firm as a perfectly competitive profit maximizer started to take hold.  By the turn of the twentieth century, United States corporate scholarship had been dominated by the neoliberal paradigm of the firm as a purely private entity that exists for the purpose of maximizing profits for its shareholders. T</w:t>
      </w:r>
      <w:r w:rsidR="006F473F" w:rsidRPr="00E1253A">
        <w:rPr>
          <w:color w:val="000000" w:themeColor="text1"/>
        </w:rPr>
        <w:t>his thesis will reveal the inherent shortcomings of th</w:t>
      </w:r>
      <w:r w:rsidR="00B40571" w:rsidRPr="00E1253A">
        <w:rPr>
          <w:color w:val="000000" w:themeColor="text1"/>
        </w:rPr>
        <w:t>e</w:t>
      </w:r>
      <w:r w:rsidR="006F473F" w:rsidRPr="00E1253A">
        <w:rPr>
          <w:color w:val="000000" w:themeColor="text1"/>
        </w:rPr>
        <w:t xml:space="preserve"> influential </w:t>
      </w:r>
      <w:r w:rsidRPr="00E1253A">
        <w:rPr>
          <w:color w:val="000000" w:themeColor="text1"/>
        </w:rPr>
        <w:t>paradigm</w:t>
      </w:r>
      <w:r w:rsidR="00B40571" w:rsidRPr="00E1253A">
        <w:rPr>
          <w:color w:val="000000" w:themeColor="text1"/>
        </w:rPr>
        <w:t xml:space="preserve"> of neoclassical economics</w:t>
      </w:r>
      <w:r w:rsidR="006F473F" w:rsidRPr="00E1253A">
        <w:rPr>
          <w:color w:val="000000" w:themeColor="text1"/>
        </w:rPr>
        <w:t xml:space="preserve"> </w:t>
      </w:r>
      <w:r w:rsidRPr="00E1253A">
        <w:rPr>
          <w:color w:val="000000" w:themeColor="text1"/>
        </w:rPr>
        <w:t xml:space="preserve">in framing the purpose of the corporation in purely economic terms and </w:t>
      </w:r>
      <w:r w:rsidR="006F473F" w:rsidRPr="00E1253A">
        <w:rPr>
          <w:color w:val="000000" w:themeColor="text1"/>
        </w:rPr>
        <w:t>mis</w:t>
      </w:r>
      <w:r w:rsidRPr="00E1253A">
        <w:rPr>
          <w:color w:val="000000" w:themeColor="text1"/>
        </w:rPr>
        <w:t xml:space="preserve">construing the nature of corporate governance as </w:t>
      </w:r>
      <w:r w:rsidR="00AB1E24">
        <w:rPr>
          <w:color w:val="000000" w:themeColor="text1"/>
        </w:rPr>
        <w:t xml:space="preserve">solving </w:t>
      </w:r>
      <w:r w:rsidRPr="00E1253A">
        <w:rPr>
          <w:color w:val="000000" w:themeColor="text1"/>
        </w:rPr>
        <w:t>a singular principal-agent relationship between shareholders and directors</w:t>
      </w:r>
      <w:r w:rsidR="00116BEC" w:rsidRPr="00E1253A">
        <w:rPr>
          <w:color w:val="000000" w:themeColor="text1"/>
        </w:rPr>
        <w:t xml:space="preserve">. </w:t>
      </w:r>
      <w:r w:rsidRPr="00E1253A">
        <w:rPr>
          <w:color w:val="000000" w:themeColor="text1"/>
        </w:rPr>
        <w:t>Analysis of United States corporate jurisprudence will reveal, however, that there is in fact no legal obligation for corporate fiduciaries to maximize profits nor follow the will of shareholders.</w:t>
      </w:r>
      <w:r w:rsidR="00B40571" w:rsidRPr="00E1253A">
        <w:rPr>
          <w:color w:val="000000" w:themeColor="text1"/>
        </w:rPr>
        <w:t xml:space="preserve"> Moreover, this thesis will show the inability of the current paradigm to</w:t>
      </w:r>
      <w:r w:rsidR="008C6C0D" w:rsidRPr="00E1253A">
        <w:rPr>
          <w:color w:val="000000" w:themeColor="text1"/>
        </w:rPr>
        <w:t xml:space="preserve"> explain a number of developments in the modern economy that make such stylized models increasingly unworkable as a source of legal </w:t>
      </w:r>
      <w:r w:rsidR="00F25345" w:rsidRPr="00E1253A">
        <w:rPr>
          <w:color w:val="000000" w:themeColor="text1"/>
        </w:rPr>
        <w:t>doctrine</w:t>
      </w:r>
      <w:r w:rsidR="008C6C0D" w:rsidRPr="00E1253A">
        <w:rPr>
          <w:color w:val="000000" w:themeColor="text1"/>
        </w:rPr>
        <w:t>.</w:t>
      </w:r>
      <w:r w:rsidR="00116BEC" w:rsidRPr="00E1253A">
        <w:rPr>
          <w:color w:val="000000" w:themeColor="text1"/>
        </w:rPr>
        <w:t xml:space="preserve"> </w:t>
      </w:r>
    </w:p>
    <w:p w14:paraId="6D148A04" w14:textId="3A7D3976" w:rsidR="006D2112" w:rsidRPr="00E1253A" w:rsidRDefault="006F473F" w:rsidP="0012453C">
      <w:pPr>
        <w:spacing w:line="480" w:lineRule="auto"/>
        <w:ind w:firstLine="720"/>
        <w:jc w:val="both"/>
        <w:rPr>
          <w:color w:val="000000" w:themeColor="text1"/>
        </w:rPr>
      </w:pPr>
      <w:r w:rsidRPr="00E1253A">
        <w:rPr>
          <w:color w:val="000000" w:themeColor="text1"/>
        </w:rPr>
        <w:t>This thesis argues for the necessity for a new conception of the modern corporation that is both theoretically useful but also empirically accurate in describing the interplay of politics, the market, and state power as it relate</w:t>
      </w:r>
      <w:r w:rsidR="00573F76">
        <w:rPr>
          <w:color w:val="000000" w:themeColor="text1"/>
        </w:rPr>
        <w:t>s</w:t>
      </w:r>
      <w:r w:rsidRPr="00E1253A">
        <w:rPr>
          <w:color w:val="000000" w:themeColor="text1"/>
        </w:rPr>
        <w:t xml:space="preserve"> to corporate decision-making </w:t>
      </w:r>
      <w:r w:rsidR="008C6C0D" w:rsidRPr="00E1253A">
        <w:rPr>
          <w:color w:val="000000" w:themeColor="text1"/>
        </w:rPr>
        <w:t>in the</w:t>
      </w:r>
      <w:r w:rsidRPr="00E1253A">
        <w:rPr>
          <w:color w:val="000000" w:themeColor="text1"/>
        </w:rPr>
        <w:t xml:space="preserve"> United States.</w:t>
      </w:r>
      <w:r w:rsidR="008C6C0D" w:rsidRPr="00E1253A">
        <w:rPr>
          <w:color w:val="000000" w:themeColor="text1"/>
        </w:rPr>
        <w:t xml:space="preserve"> </w:t>
      </w:r>
      <w:r w:rsidRPr="00E1253A">
        <w:rPr>
          <w:color w:val="000000" w:themeColor="text1"/>
        </w:rPr>
        <w:t xml:space="preserve"> </w:t>
      </w:r>
      <w:r w:rsidR="008C6C0D" w:rsidRPr="00E1253A">
        <w:rPr>
          <w:color w:val="000000" w:themeColor="text1"/>
        </w:rPr>
        <w:t>S</w:t>
      </w:r>
      <w:r w:rsidRPr="00E1253A">
        <w:rPr>
          <w:color w:val="000000" w:themeColor="text1"/>
        </w:rPr>
        <w:t>pecifically</w:t>
      </w:r>
      <w:r w:rsidR="008C6C0D" w:rsidRPr="00E1253A">
        <w:rPr>
          <w:color w:val="000000" w:themeColor="text1"/>
        </w:rPr>
        <w:t>, this thesis</w:t>
      </w:r>
      <w:r w:rsidRPr="00E1253A">
        <w:rPr>
          <w:color w:val="000000" w:themeColor="text1"/>
        </w:rPr>
        <w:t xml:space="preserve"> advances an  Institutional Political Economy (IPE) analysis that synthesizes</w:t>
      </w:r>
      <w:r w:rsidR="00F25345" w:rsidRPr="00E1253A">
        <w:rPr>
          <w:color w:val="000000" w:themeColor="text1"/>
        </w:rPr>
        <w:t xml:space="preserve"> </w:t>
      </w:r>
      <w:r w:rsidRPr="00E1253A">
        <w:rPr>
          <w:color w:val="000000" w:themeColor="text1"/>
        </w:rPr>
        <w:t>economic theory</w:t>
      </w:r>
      <w:r w:rsidR="008C6C0D" w:rsidRPr="00E1253A">
        <w:rPr>
          <w:color w:val="000000" w:themeColor="text1"/>
        </w:rPr>
        <w:t xml:space="preserve"> </w:t>
      </w:r>
      <w:r w:rsidR="00F25345" w:rsidRPr="00E1253A">
        <w:rPr>
          <w:color w:val="000000" w:themeColor="text1"/>
        </w:rPr>
        <w:t>with political philosophy in</w:t>
      </w:r>
      <w:r w:rsidR="00573F76">
        <w:rPr>
          <w:color w:val="000000" w:themeColor="text1"/>
        </w:rPr>
        <w:t>to</w:t>
      </w:r>
      <w:r w:rsidR="00F25345" w:rsidRPr="00E1253A">
        <w:rPr>
          <w:color w:val="000000" w:themeColor="text1"/>
        </w:rPr>
        <w:t xml:space="preserve"> </w:t>
      </w:r>
      <w:r w:rsidR="00117F4E">
        <w:rPr>
          <w:color w:val="000000" w:themeColor="text1"/>
        </w:rPr>
        <w:t xml:space="preserve">a </w:t>
      </w:r>
      <w:r w:rsidRPr="00E1253A">
        <w:rPr>
          <w:color w:val="000000" w:themeColor="text1"/>
        </w:rPr>
        <w:t>richer and more comprehensive framework of corporate duties and obligations. The utility of this approach is revealed through the shortcomings and severe limitations of adherence to a purely economic conception that ultimately fails to provide an accurate account</w:t>
      </w:r>
      <w:r w:rsidR="0076710E" w:rsidRPr="00E1253A">
        <w:rPr>
          <w:color w:val="000000" w:themeColor="text1"/>
        </w:rPr>
        <w:t xml:space="preserve"> of business realities</w:t>
      </w:r>
      <w:r w:rsidR="00117F4E">
        <w:rPr>
          <w:color w:val="000000" w:themeColor="text1"/>
        </w:rPr>
        <w:t xml:space="preserve"> today. </w:t>
      </w:r>
    </w:p>
    <w:p w14:paraId="2CF79DEA" w14:textId="1A69BD97" w:rsidR="00116BEC" w:rsidRPr="00E1253A" w:rsidRDefault="006D2112" w:rsidP="00B405D7">
      <w:pPr>
        <w:spacing w:line="480" w:lineRule="auto"/>
        <w:ind w:firstLine="720"/>
        <w:jc w:val="both"/>
        <w:rPr>
          <w:color w:val="000000" w:themeColor="text1"/>
        </w:rPr>
      </w:pPr>
      <w:r w:rsidRPr="00E1253A">
        <w:rPr>
          <w:color w:val="000000" w:themeColor="text1"/>
        </w:rPr>
        <w:t xml:space="preserve"> Applying insights from an analysis of corporate powers focusing on the role of institutions, politics, and markets on influencing agency will reveal the role of corporate governance as a dynamic process dependent on its socio-political context that also appears to be democratizing over time—rather than oriented toward a theoretical and unobtainable single conception of pareto efficiency. Application of this analysis to United States corporate law, historical developments, and the emerging new paradigm will reveal the importance of stakeholder relationships, corporate social responsibility, and ethical behavior to corporate success</w:t>
      </w:r>
      <w:r w:rsidR="00116BEC" w:rsidRPr="00E1253A">
        <w:rPr>
          <w:color w:val="000000" w:themeColor="text1"/>
        </w:rPr>
        <w:t xml:space="preserve"> </w:t>
      </w:r>
      <w:bookmarkStart w:id="34" w:name="OLE_LINK336"/>
      <w:bookmarkStart w:id="35" w:name="OLE_LINK337"/>
    </w:p>
    <w:p w14:paraId="651B3CC2" w14:textId="68DACEF6" w:rsidR="00ED69BF" w:rsidRPr="00E1253A" w:rsidRDefault="007F14E2" w:rsidP="00573F76">
      <w:pPr>
        <w:spacing w:line="480" w:lineRule="auto"/>
        <w:ind w:firstLine="720"/>
        <w:jc w:val="both"/>
        <w:rPr>
          <w:color w:val="000000" w:themeColor="text1"/>
        </w:rPr>
      </w:pPr>
      <w:r w:rsidRPr="00E1253A">
        <w:rPr>
          <w:color w:val="000000" w:themeColor="text1"/>
        </w:rPr>
        <w:t>This thesis is organized as follows: In Section I, I will first briefly explore the origins of the corporate form in American society</w:t>
      </w:r>
      <w:r w:rsidR="00B57EA1" w:rsidRPr="00E1253A">
        <w:rPr>
          <w:color w:val="000000" w:themeColor="text1"/>
        </w:rPr>
        <w:t xml:space="preserve"> </w:t>
      </w:r>
      <w:r w:rsidR="00116BEC" w:rsidRPr="00E1253A">
        <w:rPr>
          <w:color w:val="000000" w:themeColor="text1"/>
        </w:rPr>
        <w:t xml:space="preserve">by </w:t>
      </w:r>
      <w:r w:rsidR="00B57EA1" w:rsidRPr="00E1253A">
        <w:rPr>
          <w:color w:val="000000" w:themeColor="text1"/>
        </w:rPr>
        <w:t>describing its quasi-public basis</w:t>
      </w:r>
      <w:r w:rsidR="00B118E5" w:rsidRPr="00E1253A">
        <w:rPr>
          <w:color w:val="000000" w:themeColor="text1"/>
        </w:rPr>
        <w:t xml:space="preserve"> </w:t>
      </w:r>
      <w:r w:rsidR="00B57EA1" w:rsidRPr="00E1253A">
        <w:rPr>
          <w:color w:val="000000" w:themeColor="text1"/>
        </w:rPr>
        <w:t xml:space="preserve">and </w:t>
      </w:r>
      <w:r w:rsidR="00116BEC" w:rsidRPr="00E1253A">
        <w:rPr>
          <w:color w:val="000000" w:themeColor="text1"/>
        </w:rPr>
        <w:t xml:space="preserve">the </w:t>
      </w:r>
      <w:r w:rsidR="00B57EA1" w:rsidRPr="00E1253A">
        <w:rPr>
          <w:color w:val="000000" w:themeColor="text1"/>
        </w:rPr>
        <w:t>role of state power in supply</w:t>
      </w:r>
      <w:r w:rsidR="00573F76">
        <w:rPr>
          <w:color w:val="000000" w:themeColor="text1"/>
        </w:rPr>
        <w:t>ing</w:t>
      </w:r>
      <w:r w:rsidR="00B57EA1" w:rsidRPr="00E1253A">
        <w:rPr>
          <w:color w:val="000000" w:themeColor="text1"/>
        </w:rPr>
        <w:t xml:space="preserve"> its anomalous characteristics.</w:t>
      </w:r>
      <w:r w:rsidR="00F420F5" w:rsidRPr="00E1253A">
        <w:rPr>
          <w:color w:val="000000" w:themeColor="text1"/>
        </w:rPr>
        <w:t xml:space="preserve"> I will argue the privileges, unique form of property, and governing authority </w:t>
      </w:r>
      <w:r w:rsidR="00116BEC" w:rsidRPr="00E1253A">
        <w:rPr>
          <w:color w:val="000000" w:themeColor="text1"/>
        </w:rPr>
        <w:t>provided to</w:t>
      </w:r>
      <w:r w:rsidR="00F420F5" w:rsidRPr="00E1253A">
        <w:rPr>
          <w:color w:val="000000" w:themeColor="text1"/>
        </w:rPr>
        <w:t xml:space="preserve"> </w:t>
      </w:r>
      <w:r w:rsidR="009A6701" w:rsidRPr="00E1253A">
        <w:rPr>
          <w:color w:val="000000" w:themeColor="text1"/>
        </w:rPr>
        <w:t>corpora</w:t>
      </w:r>
      <w:r w:rsidR="00F420F5" w:rsidRPr="00E1253A">
        <w:rPr>
          <w:color w:val="000000" w:themeColor="text1"/>
        </w:rPr>
        <w:t>t</w:t>
      </w:r>
      <w:r w:rsidR="00116BEC" w:rsidRPr="00E1253A">
        <w:rPr>
          <w:color w:val="000000" w:themeColor="text1"/>
        </w:rPr>
        <w:t xml:space="preserve">ions </w:t>
      </w:r>
      <w:r w:rsidR="008B6BF0" w:rsidRPr="00E1253A">
        <w:rPr>
          <w:color w:val="000000" w:themeColor="text1"/>
        </w:rPr>
        <w:t xml:space="preserve">transgress </w:t>
      </w:r>
      <w:r w:rsidR="00116BEC" w:rsidRPr="00E1253A">
        <w:rPr>
          <w:color w:val="000000" w:themeColor="text1"/>
        </w:rPr>
        <w:t xml:space="preserve">the </w:t>
      </w:r>
      <w:r w:rsidR="008B6BF0" w:rsidRPr="00E1253A">
        <w:rPr>
          <w:color w:val="000000" w:themeColor="text1"/>
        </w:rPr>
        <w:t xml:space="preserve">public </w:t>
      </w:r>
      <w:r w:rsidR="00F420F5" w:rsidRPr="00E1253A">
        <w:rPr>
          <w:color w:val="000000" w:themeColor="text1"/>
        </w:rPr>
        <w:t>/</w:t>
      </w:r>
      <w:r w:rsidR="008B6BF0" w:rsidRPr="00E1253A">
        <w:rPr>
          <w:color w:val="000000" w:themeColor="text1"/>
        </w:rPr>
        <w:t xml:space="preserve"> private divide</w:t>
      </w:r>
      <w:r w:rsidR="00F420F5" w:rsidRPr="00E1253A">
        <w:rPr>
          <w:color w:val="000000" w:themeColor="text1"/>
        </w:rPr>
        <w:t xml:space="preserve"> </w:t>
      </w:r>
      <w:r w:rsidR="009A6701" w:rsidRPr="00E1253A">
        <w:rPr>
          <w:color w:val="000000" w:themeColor="text1"/>
        </w:rPr>
        <w:t>—</w:t>
      </w:r>
      <w:r w:rsidR="00F420F5" w:rsidRPr="00E1253A">
        <w:rPr>
          <w:color w:val="000000" w:themeColor="text1"/>
        </w:rPr>
        <w:t xml:space="preserve"> in contrast to neoclassical economic orthodoxy</w:t>
      </w:r>
      <w:r w:rsidR="00822210" w:rsidRPr="00E1253A">
        <w:rPr>
          <w:color w:val="000000" w:themeColor="text1"/>
        </w:rPr>
        <w:t xml:space="preserve">—and thus, </w:t>
      </w:r>
      <w:r w:rsidR="00116BEC" w:rsidRPr="00E1253A">
        <w:rPr>
          <w:color w:val="000000" w:themeColor="text1"/>
        </w:rPr>
        <w:t>necessitat</w:t>
      </w:r>
      <w:r w:rsidR="00822210" w:rsidRPr="00E1253A">
        <w:rPr>
          <w:color w:val="000000" w:themeColor="text1"/>
        </w:rPr>
        <w:t>e</w:t>
      </w:r>
      <w:r w:rsidR="00116BEC" w:rsidRPr="00E1253A">
        <w:rPr>
          <w:color w:val="000000" w:themeColor="text1"/>
        </w:rPr>
        <w:t xml:space="preserve"> the development of </w:t>
      </w:r>
      <w:r w:rsidR="009A6701" w:rsidRPr="00E1253A">
        <w:rPr>
          <w:color w:val="000000" w:themeColor="text1"/>
        </w:rPr>
        <w:t xml:space="preserve">new conceptual </w:t>
      </w:r>
      <w:r w:rsidR="00F420F5" w:rsidRPr="00E1253A">
        <w:rPr>
          <w:color w:val="000000" w:themeColor="text1"/>
        </w:rPr>
        <w:t>models to differentiate</w:t>
      </w:r>
      <w:r w:rsidR="009A6701" w:rsidRPr="00E1253A">
        <w:rPr>
          <w:color w:val="000000" w:themeColor="text1"/>
        </w:rPr>
        <w:t xml:space="preserve"> these </w:t>
      </w:r>
      <w:r w:rsidR="00EA2639" w:rsidRPr="00E1253A">
        <w:rPr>
          <w:color w:val="000000" w:themeColor="text1"/>
        </w:rPr>
        <w:t>entities from</w:t>
      </w:r>
      <w:r w:rsidR="000A0F9E" w:rsidRPr="00E1253A">
        <w:rPr>
          <w:color w:val="000000" w:themeColor="text1"/>
        </w:rPr>
        <w:t xml:space="preserve"> ‘generic’ private actors</w:t>
      </w:r>
      <w:r w:rsidR="00C16B89" w:rsidRPr="00E1253A">
        <w:rPr>
          <w:color w:val="000000" w:themeColor="text1"/>
        </w:rPr>
        <w:t>.</w:t>
      </w:r>
      <w:r w:rsidR="006074DF" w:rsidRPr="00E1253A">
        <w:rPr>
          <w:color w:val="000000" w:themeColor="text1"/>
        </w:rPr>
        <w:t xml:space="preserve"> In</w:t>
      </w:r>
      <w:r w:rsidR="000A0F9E" w:rsidRPr="00E1253A">
        <w:rPr>
          <w:color w:val="000000" w:themeColor="text1"/>
        </w:rPr>
        <w:t xml:space="preserve"> Section II, I </w:t>
      </w:r>
      <w:r w:rsidR="0076710E" w:rsidRPr="00E1253A">
        <w:rPr>
          <w:color w:val="000000" w:themeColor="text1"/>
        </w:rPr>
        <w:t xml:space="preserve">argue for the extension of political theory to the field of corporate law and economics on the basis of the anomalous features and dimensions of political power that modern public corporations wield </w:t>
      </w:r>
      <w:r w:rsidR="00861692" w:rsidRPr="00E1253A">
        <w:rPr>
          <w:color w:val="000000" w:themeColor="text1"/>
        </w:rPr>
        <w:t xml:space="preserve">that fundamentally differentiate them from true private actors. </w:t>
      </w:r>
      <w:r w:rsidR="0076710E" w:rsidRPr="00E1253A">
        <w:rPr>
          <w:color w:val="000000" w:themeColor="text1"/>
        </w:rPr>
        <w:t>I will argue that corporate powe</w:t>
      </w:r>
      <w:r w:rsidR="00861692" w:rsidRPr="00E1253A">
        <w:rPr>
          <w:color w:val="000000" w:themeColor="text1"/>
        </w:rPr>
        <w:t xml:space="preserve">r is subject to socio-political constraints in order to remain legitimate and consistent with liberal democratic principles. </w:t>
      </w:r>
      <w:r w:rsidR="0076710E" w:rsidRPr="00E1253A">
        <w:rPr>
          <w:color w:val="000000" w:themeColor="text1"/>
        </w:rPr>
        <w:t>In Section III, I ex</w:t>
      </w:r>
      <w:r w:rsidR="000E0E36" w:rsidRPr="00E1253A">
        <w:rPr>
          <w:color w:val="000000" w:themeColor="text1"/>
        </w:rPr>
        <w:t xml:space="preserve">plore the </w:t>
      </w:r>
      <w:r w:rsidR="00EA2639" w:rsidRPr="00E1253A">
        <w:rPr>
          <w:color w:val="000000" w:themeColor="text1"/>
        </w:rPr>
        <w:t xml:space="preserve">legal scholarship on the question of corporate purpose and the role of </w:t>
      </w:r>
      <w:r w:rsidR="000E0E36" w:rsidRPr="00E1253A">
        <w:rPr>
          <w:color w:val="000000" w:themeColor="text1"/>
        </w:rPr>
        <w:t xml:space="preserve"> corporate governance and fiduciary duties in US jurisprudence to reveal the shortcomings of the neoclassical paradigm in</w:t>
      </w:r>
      <w:r w:rsidR="00BB5D06" w:rsidRPr="00E1253A">
        <w:rPr>
          <w:color w:val="000000" w:themeColor="text1"/>
        </w:rPr>
        <w:t xml:space="preserve"> </w:t>
      </w:r>
      <w:r w:rsidR="00D97D1C" w:rsidRPr="00E1253A">
        <w:rPr>
          <w:color w:val="000000" w:themeColor="text1"/>
        </w:rPr>
        <w:t>explaining the realities of the multifaceted nature of corporate agency relationships</w:t>
      </w:r>
      <w:r w:rsidR="006074DF" w:rsidRPr="00E1253A">
        <w:rPr>
          <w:color w:val="000000" w:themeColor="text1"/>
        </w:rPr>
        <w:t xml:space="preserve"> within and across organizations in the economy</w:t>
      </w:r>
      <w:r w:rsidR="00BB5D06" w:rsidRPr="00E1253A">
        <w:rPr>
          <w:color w:val="000000" w:themeColor="text1"/>
        </w:rPr>
        <w:t>. I will conclude this section by elucidating how United States corporate law imposes no affirmative obligation on corporate duties and directors to maximize shareholder wealth</w:t>
      </w:r>
      <w:r w:rsidR="00840C8A" w:rsidRPr="00E1253A">
        <w:rPr>
          <w:color w:val="000000" w:themeColor="text1"/>
        </w:rPr>
        <w:t xml:space="preserve">. </w:t>
      </w:r>
      <w:r w:rsidR="00BB5D06" w:rsidRPr="00E1253A">
        <w:rPr>
          <w:color w:val="000000" w:themeColor="text1"/>
        </w:rPr>
        <w:t xml:space="preserve"> </w:t>
      </w:r>
      <w:r w:rsidR="00D97D1C" w:rsidRPr="00E1253A">
        <w:rPr>
          <w:color w:val="000000" w:themeColor="text1"/>
        </w:rPr>
        <w:t xml:space="preserve">In Section </w:t>
      </w:r>
      <w:r w:rsidR="00840C8A" w:rsidRPr="00E1253A">
        <w:rPr>
          <w:color w:val="000000" w:themeColor="text1"/>
        </w:rPr>
        <w:t>IV</w:t>
      </w:r>
      <w:r w:rsidR="00D97D1C" w:rsidRPr="00E1253A">
        <w:rPr>
          <w:color w:val="000000" w:themeColor="text1"/>
        </w:rPr>
        <w:t>,</w:t>
      </w:r>
      <w:r w:rsidR="00840C8A" w:rsidRPr="00E1253A">
        <w:rPr>
          <w:color w:val="000000" w:themeColor="text1"/>
        </w:rPr>
        <w:t xml:space="preserve"> </w:t>
      </w:r>
      <w:r w:rsidR="00D97D1C" w:rsidRPr="00E1253A">
        <w:rPr>
          <w:color w:val="000000" w:themeColor="text1"/>
        </w:rPr>
        <w:t xml:space="preserve">I reveal the centrality of stakeholder relationships, long-term investment, and other </w:t>
      </w:r>
      <w:r w:rsidR="00573F76">
        <w:rPr>
          <w:color w:val="000000" w:themeColor="text1"/>
        </w:rPr>
        <w:t>sources</w:t>
      </w:r>
      <w:r w:rsidR="00D97D1C" w:rsidRPr="00E1253A">
        <w:rPr>
          <w:color w:val="000000" w:themeColor="text1"/>
        </w:rPr>
        <w:t xml:space="preserve"> of intangible value to a company’s continued success</w:t>
      </w:r>
      <w:r w:rsidR="001F386F" w:rsidRPr="00E1253A">
        <w:rPr>
          <w:color w:val="000000" w:themeColor="text1"/>
        </w:rPr>
        <w:t xml:space="preserve"> to argue that the shareholder primacy argument grounded in neoclassical economic theory has become unworkable in the modern economy. </w:t>
      </w:r>
      <w:r w:rsidR="00313222" w:rsidRPr="00E1253A">
        <w:rPr>
          <w:color w:val="000000" w:themeColor="text1"/>
        </w:rPr>
        <w:t>I will argue that t</w:t>
      </w:r>
      <w:r w:rsidR="001F386F" w:rsidRPr="00E1253A">
        <w:rPr>
          <w:color w:val="000000" w:themeColor="text1"/>
        </w:rPr>
        <w:t xml:space="preserve">he transformation of property, the explosion in digital information and radical transparency, </w:t>
      </w:r>
      <w:r w:rsidR="00313222" w:rsidRPr="00E1253A">
        <w:rPr>
          <w:color w:val="000000" w:themeColor="text1"/>
        </w:rPr>
        <w:t>and</w:t>
      </w:r>
      <w:r w:rsidR="001F386F" w:rsidRPr="00E1253A">
        <w:rPr>
          <w:color w:val="000000" w:themeColor="text1"/>
        </w:rPr>
        <w:t xml:space="preserve"> shifting power relations between </w:t>
      </w:r>
      <w:r w:rsidR="00313222" w:rsidRPr="00E1253A">
        <w:rPr>
          <w:color w:val="000000" w:themeColor="text1"/>
        </w:rPr>
        <w:t>corporate control and diverse networks</w:t>
      </w:r>
      <w:r w:rsidR="00573F76">
        <w:rPr>
          <w:color w:val="000000" w:themeColor="text1"/>
        </w:rPr>
        <w:t xml:space="preserve"> and </w:t>
      </w:r>
      <w:r w:rsidR="00313222" w:rsidRPr="00E1253A">
        <w:rPr>
          <w:color w:val="000000" w:themeColor="text1"/>
        </w:rPr>
        <w:t>coalitions of institutional</w:t>
      </w:r>
      <w:r w:rsidR="001F386F" w:rsidRPr="00E1253A">
        <w:rPr>
          <w:color w:val="000000" w:themeColor="text1"/>
        </w:rPr>
        <w:t xml:space="preserve"> investors,</w:t>
      </w:r>
      <w:r w:rsidR="00313222" w:rsidRPr="00E1253A">
        <w:rPr>
          <w:color w:val="000000" w:themeColor="text1"/>
        </w:rPr>
        <w:t xml:space="preserve"> employees, </w:t>
      </w:r>
      <w:r w:rsidR="001F386F" w:rsidRPr="00E1253A">
        <w:rPr>
          <w:color w:val="000000" w:themeColor="text1"/>
        </w:rPr>
        <w:t xml:space="preserve">NGOS, </w:t>
      </w:r>
      <w:r w:rsidR="00313222" w:rsidRPr="00E1253A">
        <w:rPr>
          <w:color w:val="000000" w:themeColor="text1"/>
        </w:rPr>
        <w:t>individuals, and even corporations advancing a new conception of corporate purpose</w:t>
      </w:r>
      <w:r w:rsidR="006074DF" w:rsidRPr="00E1253A">
        <w:rPr>
          <w:color w:val="000000" w:themeColor="text1"/>
        </w:rPr>
        <w:t xml:space="preserve"> challenge neoclassical orthodoxy</w:t>
      </w:r>
      <w:r w:rsidR="00313222" w:rsidRPr="00E1253A">
        <w:rPr>
          <w:color w:val="000000" w:themeColor="text1"/>
        </w:rPr>
        <w:t xml:space="preserve">. In </w:t>
      </w:r>
      <w:r w:rsidR="00BF44D1" w:rsidRPr="00E1253A">
        <w:rPr>
          <w:color w:val="000000" w:themeColor="text1"/>
        </w:rPr>
        <w:t xml:space="preserve">Section V, I posit that the increased demand for corporate accountability, social responsibility, business ethics, and focus on stakeholder and ESG value can be seen as developments in line with the democratic tradition </w:t>
      </w:r>
      <w:r w:rsidR="009F79F6" w:rsidRPr="00E1253A">
        <w:rPr>
          <w:color w:val="000000" w:themeColor="text1"/>
        </w:rPr>
        <w:t xml:space="preserve">to ensure the legitimacy of power in society and prevent the abuse of power. </w:t>
      </w:r>
      <w:bookmarkEnd w:id="34"/>
      <w:bookmarkEnd w:id="35"/>
      <w:r w:rsidR="009F79F6" w:rsidRPr="00E1253A">
        <w:rPr>
          <w:color w:val="000000" w:themeColor="text1"/>
        </w:rPr>
        <w:t>I conclude by offering my own interpretation of corporate purpose under United States law through an application of my political economy analysis to the realities of corporations in society today. I propose for an “enterprise-centric” conception of the modern corporation as the “nexus of relationships”</w:t>
      </w:r>
      <w:r w:rsidR="00D76BDD" w:rsidRPr="00E1253A">
        <w:rPr>
          <w:color w:val="000000" w:themeColor="text1"/>
        </w:rPr>
        <w:t xml:space="preserve"> to emphasize the socio-political dimensions of entrepreneurship as a force of long-term growth and prosperity in society.</w:t>
      </w:r>
    </w:p>
    <w:bookmarkEnd w:id="9"/>
    <w:bookmarkEnd w:id="10"/>
    <w:p w14:paraId="5BA24720" w14:textId="28789036" w:rsidR="008C3984" w:rsidRPr="00E1253A" w:rsidRDefault="008C3984" w:rsidP="0012453C">
      <w:pPr>
        <w:spacing w:line="480" w:lineRule="auto"/>
        <w:ind w:firstLine="180"/>
        <w:jc w:val="both"/>
        <w:rPr>
          <w:color w:val="000000" w:themeColor="text1"/>
        </w:rPr>
      </w:pPr>
    </w:p>
    <w:p w14:paraId="34412F66" w14:textId="43C43658" w:rsidR="008C3984" w:rsidRPr="00E1253A" w:rsidRDefault="008C3984" w:rsidP="0012453C">
      <w:pPr>
        <w:spacing w:line="480" w:lineRule="auto"/>
        <w:ind w:firstLine="180"/>
        <w:jc w:val="both"/>
        <w:rPr>
          <w:color w:val="000000" w:themeColor="text1"/>
        </w:rPr>
      </w:pPr>
    </w:p>
    <w:p w14:paraId="5965A316" w14:textId="2B2E6A05" w:rsidR="008C3984" w:rsidRPr="00E1253A" w:rsidRDefault="008C3984" w:rsidP="0012453C">
      <w:pPr>
        <w:spacing w:line="480" w:lineRule="auto"/>
        <w:ind w:firstLine="180"/>
        <w:jc w:val="both"/>
        <w:rPr>
          <w:color w:val="000000" w:themeColor="text1"/>
        </w:rPr>
      </w:pPr>
    </w:p>
    <w:p w14:paraId="2EA6124A" w14:textId="34187DDF" w:rsidR="008C3984" w:rsidRPr="00E1253A" w:rsidRDefault="008C3984" w:rsidP="0012453C">
      <w:pPr>
        <w:spacing w:line="480" w:lineRule="auto"/>
        <w:ind w:firstLine="180"/>
        <w:jc w:val="both"/>
        <w:rPr>
          <w:color w:val="000000" w:themeColor="text1"/>
        </w:rPr>
      </w:pPr>
    </w:p>
    <w:p w14:paraId="2AA19773" w14:textId="77777777" w:rsidR="008C3984" w:rsidRPr="00E1253A" w:rsidRDefault="008C3984" w:rsidP="0012453C">
      <w:pPr>
        <w:spacing w:line="480" w:lineRule="auto"/>
        <w:ind w:firstLine="180"/>
        <w:jc w:val="both"/>
        <w:rPr>
          <w:color w:val="000000" w:themeColor="text1"/>
        </w:rPr>
      </w:pPr>
    </w:p>
    <w:bookmarkEnd w:id="24"/>
    <w:bookmarkEnd w:id="25"/>
    <w:p w14:paraId="1CC40C50" w14:textId="77777777" w:rsidR="008C3984" w:rsidRPr="00E1253A" w:rsidRDefault="008C3984" w:rsidP="0012453C">
      <w:pPr>
        <w:pBdr>
          <w:top w:val="single" w:sz="4" w:space="1" w:color="auto"/>
        </w:pBdr>
        <w:spacing w:line="480" w:lineRule="auto"/>
        <w:jc w:val="both"/>
        <w:rPr>
          <w:color w:val="000000" w:themeColor="text1"/>
        </w:rPr>
      </w:pPr>
    </w:p>
    <w:p w14:paraId="323268CB" w14:textId="161F2D63" w:rsidR="007B2E8E" w:rsidRPr="00E1253A" w:rsidRDefault="007B2E8E" w:rsidP="0012453C">
      <w:pPr>
        <w:pStyle w:val="Heading1"/>
        <w:spacing w:line="480" w:lineRule="auto"/>
        <w:jc w:val="both"/>
      </w:pPr>
      <w:bookmarkStart w:id="36" w:name="OLE_LINK412"/>
      <w:bookmarkStart w:id="37" w:name="OLE_LINK413"/>
      <w:r w:rsidRPr="00E1253A">
        <w:t xml:space="preserve">Origins &amp; Features of the Corporate </w:t>
      </w:r>
      <w:r w:rsidR="008019CF" w:rsidRPr="00E1253A">
        <w:t>Institution</w:t>
      </w:r>
      <w:r w:rsidRPr="00E1253A">
        <w:t xml:space="preserve"> </w:t>
      </w:r>
      <w:bookmarkEnd w:id="36"/>
      <w:bookmarkEnd w:id="37"/>
    </w:p>
    <w:p w14:paraId="67E54E61" w14:textId="28981171" w:rsidR="008C3984" w:rsidRPr="00E1253A" w:rsidRDefault="009C3444" w:rsidP="0012453C">
      <w:pPr>
        <w:spacing w:line="480" w:lineRule="auto"/>
        <w:jc w:val="both"/>
        <w:rPr>
          <w:color w:val="000000" w:themeColor="text1"/>
        </w:rPr>
      </w:pPr>
      <w:r w:rsidRPr="00E1253A">
        <w:rPr>
          <w:color w:val="000000" w:themeColor="text1"/>
        </w:rPr>
        <w:t xml:space="preserve">In this section I will briefly outline the origins of the corporate form as a method of structuring </w:t>
      </w:r>
      <w:r w:rsidR="00EF6836" w:rsidRPr="00E1253A">
        <w:rPr>
          <w:color w:val="000000" w:themeColor="text1"/>
        </w:rPr>
        <w:t xml:space="preserve">organized </w:t>
      </w:r>
      <w:r w:rsidRPr="00E1253A">
        <w:rPr>
          <w:color w:val="000000" w:themeColor="text1"/>
        </w:rPr>
        <w:t xml:space="preserve">activity in the United States. I will elucidate the distinctive </w:t>
      </w:r>
      <w:r w:rsidR="007B544D" w:rsidRPr="00E1253A">
        <w:rPr>
          <w:color w:val="000000" w:themeColor="text1"/>
        </w:rPr>
        <w:t>features</w:t>
      </w:r>
      <w:r w:rsidRPr="00E1253A">
        <w:rPr>
          <w:color w:val="000000" w:themeColor="text1"/>
        </w:rPr>
        <w:t xml:space="preserve"> of the corporate form that differentiate it from traditional private market actors by highlighting the fundamental role of state power in reconfiguring the traditional rules of property and private contract</w:t>
      </w:r>
      <w:r w:rsidR="007B544D" w:rsidRPr="00E1253A">
        <w:rPr>
          <w:color w:val="000000" w:themeColor="text1"/>
        </w:rPr>
        <w:t xml:space="preserve">. </w:t>
      </w:r>
      <w:r w:rsidR="00E837FF" w:rsidRPr="00E1253A">
        <w:rPr>
          <w:color w:val="000000" w:themeColor="text1"/>
        </w:rPr>
        <w:t>This will reveal how</w:t>
      </w:r>
      <w:r w:rsidR="007B544D" w:rsidRPr="00E1253A">
        <w:rPr>
          <w:color w:val="000000" w:themeColor="text1"/>
        </w:rPr>
        <w:t xml:space="preserve"> </w:t>
      </w:r>
      <w:r w:rsidR="00EF6836" w:rsidRPr="00E1253A">
        <w:rPr>
          <w:color w:val="000000" w:themeColor="text1"/>
        </w:rPr>
        <w:t>the anomalous features awarded to corporate enterprises</w:t>
      </w:r>
      <w:r w:rsidR="00E837FF" w:rsidRPr="00E1253A">
        <w:rPr>
          <w:color w:val="000000" w:themeColor="text1"/>
        </w:rPr>
        <w:t xml:space="preserve"> provide unique benefits</w:t>
      </w:r>
      <w:r w:rsidR="0074228C" w:rsidRPr="00E1253A">
        <w:rPr>
          <w:color w:val="000000" w:themeColor="text1"/>
        </w:rPr>
        <w:t xml:space="preserve"> that distinctly allow these entities to</w:t>
      </w:r>
      <w:r w:rsidR="00815CCB" w:rsidRPr="00E1253A">
        <w:rPr>
          <w:color w:val="000000" w:themeColor="text1"/>
        </w:rPr>
        <w:t xml:space="preserve"> </w:t>
      </w:r>
      <w:r w:rsidR="0074228C" w:rsidRPr="00E1253A">
        <w:rPr>
          <w:color w:val="000000" w:themeColor="text1"/>
        </w:rPr>
        <w:t>accumulate large pools of financial capital</w:t>
      </w:r>
      <w:r w:rsidR="00F62970" w:rsidRPr="00E1253A">
        <w:rPr>
          <w:color w:val="000000" w:themeColor="text1"/>
        </w:rPr>
        <w:t xml:space="preserve"> </w:t>
      </w:r>
      <w:r w:rsidR="00815CCB" w:rsidRPr="00E1253A">
        <w:rPr>
          <w:color w:val="000000" w:themeColor="text1"/>
        </w:rPr>
        <w:t>allowing them</w:t>
      </w:r>
      <w:r w:rsidR="00F62970" w:rsidRPr="00E1253A">
        <w:rPr>
          <w:color w:val="000000" w:themeColor="text1"/>
        </w:rPr>
        <w:t xml:space="preserve"> achieve economies of scale</w:t>
      </w:r>
      <w:r w:rsidR="00815CCB" w:rsidRPr="00E1253A">
        <w:rPr>
          <w:color w:val="000000" w:themeColor="text1"/>
        </w:rPr>
        <w:t>.</w:t>
      </w:r>
      <w:r w:rsidR="00ED6AB6" w:rsidRPr="00E1253A">
        <w:rPr>
          <w:color w:val="000000" w:themeColor="text1"/>
        </w:rPr>
        <w:t xml:space="preserve"> I will argue that the quasi-public origin and </w:t>
      </w:r>
      <w:r w:rsidR="00AD2FAF" w:rsidRPr="00E1253A">
        <w:rPr>
          <w:color w:val="000000" w:themeColor="text1"/>
        </w:rPr>
        <w:t>public</w:t>
      </w:r>
      <w:r w:rsidR="00ED6AB6" w:rsidRPr="00E1253A">
        <w:rPr>
          <w:color w:val="000000" w:themeColor="text1"/>
        </w:rPr>
        <w:t xml:space="preserve"> </w:t>
      </w:r>
      <w:r w:rsidR="00AD2FAF" w:rsidRPr="00E1253A">
        <w:rPr>
          <w:color w:val="000000" w:themeColor="text1"/>
        </w:rPr>
        <w:t>necessity</w:t>
      </w:r>
      <w:r w:rsidR="00ED6AB6" w:rsidRPr="00E1253A">
        <w:rPr>
          <w:color w:val="000000" w:themeColor="text1"/>
        </w:rPr>
        <w:t xml:space="preserve"> </w:t>
      </w:r>
      <w:r w:rsidR="00AD2FAF" w:rsidRPr="00E1253A">
        <w:rPr>
          <w:color w:val="000000" w:themeColor="text1"/>
        </w:rPr>
        <w:t xml:space="preserve">for </w:t>
      </w:r>
      <w:r w:rsidR="00ED6AB6" w:rsidRPr="00E1253A">
        <w:rPr>
          <w:color w:val="000000" w:themeColor="text1"/>
        </w:rPr>
        <w:t xml:space="preserve">fostering capital accumulation </w:t>
      </w:r>
      <w:r w:rsidR="00F62970" w:rsidRPr="00E1253A">
        <w:rPr>
          <w:color w:val="000000" w:themeColor="text1"/>
        </w:rPr>
        <w:t xml:space="preserve">into </w:t>
      </w:r>
      <w:r w:rsidR="00ED6AB6" w:rsidRPr="00E1253A">
        <w:rPr>
          <w:color w:val="000000" w:themeColor="text1"/>
        </w:rPr>
        <w:t xml:space="preserve">enterprise-specific assets and </w:t>
      </w:r>
      <w:r w:rsidR="00F62970" w:rsidRPr="00E1253A">
        <w:rPr>
          <w:color w:val="000000" w:themeColor="text1"/>
        </w:rPr>
        <w:t>risky, long-term, and often complex projects</w:t>
      </w:r>
      <w:r w:rsidR="00ED6AB6" w:rsidRPr="00E1253A">
        <w:rPr>
          <w:color w:val="000000" w:themeColor="text1"/>
        </w:rPr>
        <w:t xml:space="preserve"> makes the corp</w:t>
      </w:r>
      <w:r w:rsidR="00AD2FAF" w:rsidRPr="00E1253A">
        <w:rPr>
          <w:color w:val="000000" w:themeColor="text1"/>
        </w:rPr>
        <w:t>orate form an indispensable vehicle for driving national development. This indispensability</w:t>
      </w:r>
      <w:r w:rsidR="00815CCB" w:rsidRPr="00E1253A">
        <w:rPr>
          <w:color w:val="000000" w:themeColor="text1"/>
        </w:rPr>
        <w:t>, along with the political dimensions of corporate power and the potential for abuse,</w:t>
      </w:r>
      <w:r w:rsidR="00AD2FAF" w:rsidRPr="00E1253A">
        <w:rPr>
          <w:color w:val="000000" w:themeColor="text1"/>
        </w:rPr>
        <w:t xml:space="preserve"> ultimately makes the corporate vehicle a natural topic of political analysis</w:t>
      </w:r>
      <w:r w:rsidR="00815CCB" w:rsidRPr="00E1253A">
        <w:rPr>
          <w:color w:val="000000" w:themeColor="text1"/>
        </w:rPr>
        <w:t xml:space="preserve">. </w:t>
      </w:r>
      <w:r w:rsidR="00AD2FAF" w:rsidRPr="00E1253A">
        <w:rPr>
          <w:color w:val="000000" w:themeColor="text1"/>
        </w:rPr>
        <w:t xml:space="preserve"> </w:t>
      </w:r>
    </w:p>
    <w:p w14:paraId="28EC2D54" w14:textId="4F0317F5" w:rsidR="007B2E8E" w:rsidRPr="00E1253A" w:rsidRDefault="007B2E8E" w:rsidP="0012453C">
      <w:pPr>
        <w:pStyle w:val="Heading2"/>
        <w:spacing w:line="480" w:lineRule="auto"/>
        <w:jc w:val="both"/>
      </w:pPr>
      <w:bookmarkStart w:id="38" w:name="OLE_LINK414"/>
      <w:bookmarkStart w:id="39" w:name="OLE_LINK415"/>
      <w:r w:rsidRPr="00E1253A">
        <w:t>Historical Origins</w:t>
      </w:r>
    </w:p>
    <w:p w14:paraId="44BAF2BD" w14:textId="67594AA6" w:rsidR="00342B3B" w:rsidRPr="00E1253A" w:rsidRDefault="00342B3B" w:rsidP="0012453C">
      <w:pPr>
        <w:spacing w:line="480" w:lineRule="auto"/>
        <w:jc w:val="both"/>
        <w:rPr>
          <w:color w:val="000000" w:themeColor="text1"/>
        </w:rPr>
      </w:pPr>
      <w:r w:rsidRPr="00E1253A">
        <w:rPr>
          <w:color w:val="000000" w:themeColor="text1"/>
        </w:rPr>
        <w:t>Although corporate enterprises dominate our 21</w:t>
      </w:r>
      <w:r w:rsidRPr="00E1253A">
        <w:rPr>
          <w:color w:val="000000" w:themeColor="text1"/>
          <w:vertAlign w:val="superscript"/>
        </w:rPr>
        <w:t>st</w:t>
      </w:r>
      <w:r w:rsidRPr="00E1253A">
        <w:rPr>
          <w:color w:val="000000" w:themeColor="text1"/>
        </w:rPr>
        <w:t xml:space="preserve"> century society, this was not always the case. In the early United States the “Jeffersonians were reluctant to encourage industrialization because they feared the consequences of large amounts of capital being assembled in any private enterprise,” with a perpetual life—acutely aware of the potential for abuse of power when economic, and in turn social and political powers, accumulate to the level of influence seen with the Dutch East India Company and Mississippi Company of the preceding era.</w:t>
      </w:r>
      <w:r w:rsidRPr="00E1253A">
        <w:rPr>
          <w:color w:val="000000" w:themeColor="text1"/>
          <w:vertAlign w:val="superscript"/>
        </w:rPr>
        <w:footnoteReference w:id="4"/>
      </w:r>
      <w:r w:rsidRPr="00E1253A">
        <w:rPr>
          <w:color w:val="000000" w:themeColor="text1"/>
        </w:rPr>
        <w:t xml:space="preserve">  In consequence, “use of the corporate form [in the early United States] was subjected to a host of restrictions, and the corporation was often regarded as a quasi-public entity” limited by a finite lifespan</w:t>
      </w:r>
      <w:bookmarkStart w:id="40" w:name="OLE_LINK236"/>
      <w:bookmarkStart w:id="41" w:name="OLE_LINK237"/>
      <w:r w:rsidRPr="00E1253A">
        <w:rPr>
          <w:color w:val="000000" w:themeColor="text1"/>
        </w:rPr>
        <w:t xml:space="preserve"> and subject to the public interest.</w:t>
      </w:r>
      <w:bookmarkStart w:id="42" w:name="OLE_LINK3"/>
      <w:bookmarkStart w:id="43" w:name="OLE_LINK4"/>
      <w:bookmarkStart w:id="44" w:name="OLE_LINK7"/>
      <w:r w:rsidRPr="00E1253A">
        <w:rPr>
          <w:color w:val="000000" w:themeColor="text1"/>
          <w:vertAlign w:val="superscript"/>
        </w:rPr>
        <w:footnoteReference w:id="5"/>
      </w:r>
      <w:bookmarkEnd w:id="40"/>
      <w:bookmarkEnd w:id="41"/>
      <w:r w:rsidRPr="00E1253A">
        <w:rPr>
          <w:color w:val="000000" w:themeColor="text1"/>
        </w:rPr>
        <w:t xml:space="preserve"> </w:t>
      </w:r>
      <w:bookmarkEnd w:id="42"/>
      <w:bookmarkEnd w:id="43"/>
      <w:bookmarkEnd w:id="44"/>
      <w:r w:rsidRPr="00E1253A">
        <w:rPr>
          <w:color w:val="000000" w:themeColor="text1"/>
        </w:rPr>
        <w:t>As Henry Carter Adams summarized in his President’s Address to the 1896 meeting of the American Economics Association, “a corporation . . . may be deﬁned in the light of history as a body created by law for the purpose of attaining public ends through an appeal to private interests”.</w:t>
      </w:r>
      <w:r w:rsidRPr="00E1253A">
        <w:rPr>
          <w:rStyle w:val="FootnoteReference"/>
          <w:color w:val="000000" w:themeColor="text1"/>
        </w:rPr>
        <w:footnoteReference w:id="6"/>
      </w:r>
      <w:r w:rsidRPr="00E1253A">
        <w:rPr>
          <w:color w:val="000000" w:themeColor="text1"/>
        </w:rPr>
        <w:t xml:space="preserve"> Thus, before the nineteenth century, “corporations were not [originally] viewed as private” institutions, and instead, “[i]t was taken for granted that they owed their existence and rights to the government that chartered them</w:t>
      </w:r>
      <w:bookmarkStart w:id="48" w:name="OLE_LINK41"/>
      <w:bookmarkStart w:id="49" w:name="OLE_LINK42"/>
      <w:r w:rsidRPr="00E1253A">
        <w:rPr>
          <w:color w:val="000000" w:themeColor="text1"/>
        </w:rPr>
        <w:t>”.</w:t>
      </w:r>
      <w:bookmarkStart w:id="50" w:name="OLE_LINK136"/>
      <w:bookmarkStart w:id="51" w:name="OLE_LINK137"/>
      <w:r w:rsidRPr="00E1253A">
        <w:rPr>
          <w:rStyle w:val="FootnoteReference"/>
          <w:color w:val="000000" w:themeColor="text1"/>
        </w:rPr>
        <w:footnoteReference w:id="7"/>
      </w:r>
      <w:bookmarkEnd w:id="48"/>
      <w:bookmarkEnd w:id="49"/>
      <w:r w:rsidRPr="00E1253A">
        <w:rPr>
          <w:color w:val="000000" w:themeColor="text1"/>
        </w:rPr>
        <w:t xml:space="preserve"> </w:t>
      </w:r>
      <w:bookmarkEnd w:id="50"/>
      <w:bookmarkEnd w:id="51"/>
      <w:r w:rsidRPr="00E1253A">
        <w:rPr>
          <w:color w:val="000000" w:themeColor="text1"/>
        </w:rPr>
        <w:t xml:space="preserve">However, corporate entities in the early United States were not public institutions either as neither their financing, staffing, nor direction came from the government. Thus, the corporate enterprise was initially viewed as quasi-public institution that was led by private initiative but was ultimately under the prerogative of sovereign control. </w:t>
      </w:r>
    </w:p>
    <w:p w14:paraId="1641F900" w14:textId="7F90E144" w:rsidR="007B2E8E" w:rsidRPr="00E1253A" w:rsidRDefault="007B2E8E" w:rsidP="0012453C">
      <w:pPr>
        <w:pStyle w:val="Heading2"/>
        <w:spacing w:line="480" w:lineRule="auto"/>
        <w:jc w:val="both"/>
      </w:pPr>
      <w:bookmarkStart w:id="57" w:name="OLE_LINK416"/>
      <w:bookmarkStart w:id="58" w:name="OLE_LINK417"/>
      <w:r w:rsidRPr="00E1253A">
        <w:t>Legal Characteristics</w:t>
      </w:r>
      <w:bookmarkEnd w:id="57"/>
      <w:bookmarkEnd w:id="58"/>
    </w:p>
    <w:bookmarkEnd w:id="38"/>
    <w:bookmarkEnd w:id="39"/>
    <w:p w14:paraId="7A89B01B" w14:textId="6DB9C4E9" w:rsidR="00342B3B" w:rsidRPr="00E1253A" w:rsidRDefault="00342B3B" w:rsidP="0012453C">
      <w:pPr>
        <w:spacing w:line="480" w:lineRule="auto"/>
        <w:jc w:val="both"/>
        <w:rPr>
          <w:color w:val="000000" w:themeColor="text1"/>
        </w:rPr>
      </w:pPr>
      <w:r w:rsidRPr="00E1253A">
        <w:rPr>
          <w:color w:val="000000" w:themeColor="text1"/>
        </w:rPr>
        <w:t>The corporate form uniquely relies on a combination of dependence on and independence from the government to achieve its immense organizational efficiency in structuring economic ventures.</w:t>
      </w:r>
      <w:r w:rsidRPr="00E1253A">
        <w:rPr>
          <w:rStyle w:val="FootnoteReference"/>
          <w:color w:val="000000" w:themeColor="text1"/>
        </w:rPr>
        <w:footnoteReference w:id="8"/>
      </w:r>
      <w:r w:rsidRPr="00E1253A">
        <w:rPr>
          <w:color w:val="000000" w:themeColor="text1"/>
        </w:rPr>
        <w:t xml:space="preserve"> According to </w:t>
      </w:r>
      <w:r w:rsidRPr="00E1253A">
        <w:rPr>
          <w:i/>
          <w:iCs/>
          <w:color w:val="000000" w:themeColor="text1"/>
        </w:rPr>
        <w:t>The Essential Elements of Corporate Law: What Is Corporate Law?</w:t>
      </w:r>
      <w:r w:rsidRPr="00E1253A">
        <w:rPr>
          <w:color w:val="000000" w:themeColor="text1"/>
        </w:rPr>
        <w:t xml:space="preserve"> “the five structural characteristics of the business corporation are: (1) legal personality, (2) limited liability, (3) transferable shares, (4) centralized management under a board structure, and (5) shared ownership by contributors of capital”.</w:t>
      </w:r>
      <w:bookmarkStart w:id="59" w:name="OLE_LINK70"/>
      <w:bookmarkStart w:id="60" w:name="OLE_LINK71"/>
      <w:bookmarkStart w:id="61" w:name="OLE_LINK58"/>
      <w:bookmarkStart w:id="62" w:name="OLE_LINK59"/>
      <w:r w:rsidRPr="00E1253A">
        <w:rPr>
          <w:rStyle w:val="FootnoteReference"/>
          <w:color w:val="000000" w:themeColor="text1"/>
        </w:rPr>
        <w:footnoteReference w:id="9"/>
      </w:r>
      <w:bookmarkEnd w:id="59"/>
      <w:bookmarkEnd w:id="60"/>
      <w:bookmarkEnd w:id="61"/>
      <w:bookmarkEnd w:id="62"/>
      <w:r w:rsidRPr="00E1253A">
        <w:rPr>
          <w:color w:val="000000" w:themeColor="text1"/>
        </w:rPr>
        <w:t xml:space="preserve"> In this section I will articulate how these government-provided privileges and anomalous features contribute to corporate success, yet also appear to run counter to principles of democracy and liberalism undergirding free-market capitalism. Through this discussion I will distinguish the corporate form from the private partnership in its form of property, governance, method of financing, and ownership rights from the traditional rules of private contracting under “free-market” liberalism</w:t>
      </w:r>
      <w:r w:rsidR="004978A9" w:rsidRPr="00E1253A">
        <w:rPr>
          <w:color w:val="000000" w:themeColor="text1"/>
        </w:rPr>
        <w:t xml:space="preserve">. </w:t>
      </w:r>
    </w:p>
    <w:p w14:paraId="0F3601B5" w14:textId="3179565E" w:rsidR="00342B3B" w:rsidRPr="00E1253A" w:rsidRDefault="00342B3B" w:rsidP="0012453C">
      <w:pPr>
        <w:spacing w:line="480" w:lineRule="auto"/>
        <w:ind w:firstLine="720"/>
        <w:jc w:val="both"/>
        <w:rPr>
          <w:color w:val="000000" w:themeColor="text1"/>
        </w:rPr>
      </w:pPr>
      <w:r w:rsidRPr="00E1253A">
        <w:rPr>
          <w:color w:val="000000" w:themeColor="text1"/>
        </w:rPr>
        <w:t>Limited liability is perhaps one of the most central distinctions between the corporate form and the contractual private partnership. This privilege intervenes in the traditional law of property and perpetually guards the assets of the corporate entity’s shareholders from any liabilities incurred by the corporation, thus limiting their individual liability to the amount invested in the company.</w:t>
      </w:r>
      <w:bookmarkStart w:id="65" w:name="OLE_LINK519"/>
      <w:bookmarkStart w:id="66" w:name="OLE_LINK520"/>
      <w:r w:rsidRPr="00E1253A">
        <w:rPr>
          <w:rStyle w:val="FootnoteReference"/>
          <w:color w:val="000000" w:themeColor="text1"/>
        </w:rPr>
        <w:footnoteReference w:id="10"/>
      </w:r>
      <w:r w:rsidRPr="00E1253A">
        <w:rPr>
          <w:color w:val="000000" w:themeColor="text1"/>
        </w:rPr>
        <w:t xml:space="preserve"> </w:t>
      </w:r>
      <w:bookmarkEnd w:id="65"/>
      <w:bookmarkEnd w:id="66"/>
      <w:r w:rsidRPr="00E1253A">
        <w:rPr>
          <w:color w:val="000000" w:themeColor="text1"/>
        </w:rPr>
        <w:t>By significantly mitigating shareholder risk, the provision of limited liability privileges greatly incentiv</w:t>
      </w:r>
      <w:r w:rsidR="00C739F3" w:rsidRPr="00E1253A">
        <w:rPr>
          <w:color w:val="000000" w:themeColor="text1"/>
        </w:rPr>
        <w:t>izes</w:t>
      </w:r>
      <w:r w:rsidRPr="00E1253A">
        <w:rPr>
          <w:color w:val="000000" w:themeColor="text1"/>
        </w:rPr>
        <w:t xml:space="preserve"> high</w:t>
      </w:r>
      <w:r w:rsidR="00C739F3" w:rsidRPr="00E1253A">
        <w:rPr>
          <w:color w:val="000000" w:themeColor="text1"/>
        </w:rPr>
        <w:t>er</w:t>
      </w:r>
      <w:r w:rsidRPr="00E1253A">
        <w:rPr>
          <w:color w:val="000000" w:themeColor="text1"/>
        </w:rPr>
        <w:t xml:space="preserve"> levels of investment into corporate ventures—in particular long-term and uncertain ventures requiring large up-front fixed costs that are too risky for most individuals to bear liability for </w:t>
      </w:r>
      <w:r w:rsidR="00C739F3" w:rsidRPr="00E1253A">
        <w:rPr>
          <w:color w:val="000000" w:themeColor="text1"/>
        </w:rPr>
        <w:t>personally, as they would</w:t>
      </w:r>
      <w:r w:rsidRPr="00E1253A">
        <w:rPr>
          <w:color w:val="000000" w:themeColor="text1"/>
        </w:rPr>
        <w:t xml:space="preserve"> under a </w:t>
      </w:r>
      <w:r w:rsidR="00C739F3" w:rsidRPr="00E1253A">
        <w:rPr>
          <w:color w:val="000000" w:themeColor="text1"/>
        </w:rPr>
        <w:t xml:space="preserve">true </w:t>
      </w:r>
      <w:r w:rsidR="00BA1AB3" w:rsidRPr="00E1253A">
        <w:rPr>
          <w:color w:val="000000" w:themeColor="text1"/>
        </w:rPr>
        <w:t>private</w:t>
      </w:r>
      <w:r w:rsidR="00C739F3" w:rsidRPr="00E1253A">
        <w:rPr>
          <w:color w:val="000000" w:themeColor="text1"/>
        </w:rPr>
        <w:t xml:space="preserve"> </w:t>
      </w:r>
      <w:r w:rsidRPr="00E1253A">
        <w:rPr>
          <w:color w:val="000000" w:themeColor="text1"/>
        </w:rPr>
        <w:t xml:space="preserve">partnership. </w:t>
      </w:r>
    </w:p>
    <w:p w14:paraId="5D390E66" w14:textId="46F9831E" w:rsidR="00256E8D" w:rsidRPr="00E1253A" w:rsidRDefault="00342B3B" w:rsidP="0012453C">
      <w:pPr>
        <w:spacing w:line="480" w:lineRule="auto"/>
        <w:ind w:firstLine="720"/>
        <w:jc w:val="both"/>
        <w:rPr>
          <w:color w:val="000000" w:themeColor="text1"/>
        </w:rPr>
      </w:pPr>
      <w:r w:rsidRPr="00E1253A">
        <w:rPr>
          <w:color w:val="000000" w:themeColor="text1"/>
        </w:rPr>
        <w:t>Legal personality, otherwise known as contractual individuality, is the second feature associa</w:t>
      </w:r>
      <w:r w:rsidR="004978A9" w:rsidRPr="00E1253A">
        <w:rPr>
          <w:color w:val="000000" w:themeColor="text1"/>
        </w:rPr>
        <w:t>ted with the corporati</w:t>
      </w:r>
      <w:r w:rsidR="005B1B81" w:rsidRPr="00E1253A">
        <w:rPr>
          <w:color w:val="000000" w:themeColor="text1"/>
        </w:rPr>
        <w:t xml:space="preserve">on </w:t>
      </w:r>
      <w:r w:rsidR="00222F39" w:rsidRPr="00E1253A">
        <w:rPr>
          <w:color w:val="000000" w:themeColor="text1"/>
        </w:rPr>
        <w:t>that allows</w:t>
      </w:r>
      <w:r w:rsidR="005B1B81" w:rsidRPr="00E1253A">
        <w:rPr>
          <w:color w:val="000000" w:themeColor="text1"/>
        </w:rPr>
        <w:t xml:space="preserve"> it to enter into contracts as</w:t>
      </w:r>
      <w:r w:rsidR="004978A9" w:rsidRPr="00E1253A">
        <w:rPr>
          <w:color w:val="000000" w:themeColor="text1"/>
        </w:rPr>
        <w:t xml:space="preserve"> </w:t>
      </w:r>
      <w:r w:rsidR="005B1B81" w:rsidRPr="00E1253A">
        <w:rPr>
          <w:color w:val="000000" w:themeColor="text1"/>
        </w:rPr>
        <w:t xml:space="preserve">its own </w:t>
      </w:r>
      <w:r w:rsidRPr="00E1253A">
        <w:rPr>
          <w:color w:val="000000" w:themeColor="text1"/>
        </w:rPr>
        <w:t xml:space="preserve">reified singular legal </w:t>
      </w:r>
      <w:r w:rsidR="00222F39" w:rsidRPr="00E1253A">
        <w:rPr>
          <w:color w:val="000000" w:themeColor="text1"/>
        </w:rPr>
        <w:t>entity</w:t>
      </w:r>
      <w:r w:rsidR="004978A9" w:rsidRPr="00E1253A">
        <w:rPr>
          <w:color w:val="000000" w:themeColor="text1"/>
        </w:rPr>
        <w:t>.</w:t>
      </w:r>
      <w:bookmarkStart w:id="67" w:name="OLE_LINK801"/>
      <w:bookmarkStart w:id="68" w:name="OLE_LINK802"/>
      <w:r w:rsidR="005B1B81" w:rsidRPr="00E1253A">
        <w:rPr>
          <w:rStyle w:val="FootnoteReference"/>
          <w:color w:val="000000" w:themeColor="text1"/>
        </w:rPr>
        <w:footnoteReference w:id="11"/>
      </w:r>
      <w:r w:rsidR="005B1B81" w:rsidRPr="00E1253A">
        <w:rPr>
          <w:color w:val="000000" w:themeColor="text1"/>
        </w:rPr>
        <w:t xml:space="preserve"> </w:t>
      </w:r>
      <w:bookmarkEnd w:id="67"/>
      <w:bookmarkEnd w:id="68"/>
      <w:r w:rsidR="004978A9" w:rsidRPr="00E1253A">
        <w:rPr>
          <w:color w:val="000000" w:themeColor="text1"/>
        </w:rPr>
        <w:t xml:space="preserve">This provides the corporate entity </w:t>
      </w:r>
      <w:r w:rsidRPr="00E1253A">
        <w:rPr>
          <w:color w:val="000000" w:themeColor="text1"/>
        </w:rPr>
        <w:t xml:space="preserve">ownership rights over corporate </w:t>
      </w:r>
      <w:r w:rsidR="004978A9" w:rsidRPr="00E1253A">
        <w:rPr>
          <w:color w:val="000000" w:themeColor="text1"/>
        </w:rPr>
        <w:t>assets and allows the representation of the firm to acquire rights to contractual, economic, and even increasingly political agency.</w:t>
      </w:r>
      <w:r w:rsidRPr="00E1253A">
        <w:rPr>
          <w:color w:val="000000" w:themeColor="text1"/>
        </w:rPr>
        <w:t xml:space="preserve"> These features </w:t>
      </w:r>
      <w:r w:rsidR="005B1B81" w:rsidRPr="00E1253A">
        <w:rPr>
          <w:color w:val="000000" w:themeColor="text1"/>
        </w:rPr>
        <w:t xml:space="preserve">appear to </w:t>
      </w:r>
      <w:r w:rsidRPr="00E1253A">
        <w:rPr>
          <w:color w:val="000000" w:themeColor="text1"/>
        </w:rPr>
        <w:t>contradict the conventional logic of private property and private contracts</w:t>
      </w:r>
      <w:r w:rsidR="005B1B81" w:rsidRPr="00E1253A">
        <w:rPr>
          <w:color w:val="000000" w:themeColor="text1"/>
        </w:rPr>
        <w:t xml:space="preserve">. For instance, </w:t>
      </w:r>
      <w:r w:rsidRPr="00E1253A">
        <w:rPr>
          <w:color w:val="000000" w:themeColor="text1"/>
        </w:rPr>
        <w:t>in a partnership</w:t>
      </w:r>
      <w:r w:rsidR="005B1B81" w:rsidRPr="00E1253A">
        <w:rPr>
          <w:color w:val="000000" w:themeColor="text1"/>
        </w:rPr>
        <w:t>,</w:t>
      </w:r>
      <w:r w:rsidRPr="00E1253A">
        <w:rPr>
          <w:color w:val="000000" w:themeColor="text1"/>
        </w:rPr>
        <w:t xml:space="preserve"> assets remain bound to each individual </w:t>
      </w:r>
      <w:r w:rsidR="005B1B81" w:rsidRPr="00E1253A">
        <w:rPr>
          <w:color w:val="000000" w:themeColor="text1"/>
        </w:rPr>
        <w:t>investing partner</w:t>
      </w:r>
      <w:r w:rsidRPr="00E1253A">
        <w:rPr>
          <w:color w:val="000000" w:themeColor="text1"/>
        </w:rPr>
        <w:t xml:space="preserve"> rather than </w:t>
      </w:r>
      <w:r w:rsidR="004978A9" w:rsidRPr="00E1253A">
        <w:rPr>
          <w:color w:val="000000" w:themeColor="text1"/>
        </w:rPr>
        <w:t xml:space="preserve">a legal abstraction of the </w:t>
      </w:r>
      <w:r w:rsidRPr="00E1253A">
        <w:rPr>
          <w:color w:val="000000" w:themeColor="text1"/>
        </w:rPr>
        <w:t>enterprise</w:t>
      </w:r>
      <w:r w:rsidR="005B1B81" w:rsidRPr="00E1253A">
        <w:rPr>
          <w:color w:val="000000" w:themeColor="text1"/>
        </w:rPr>
        <w:t xml:space="preserve"> as a whole</w:t>
      </w:r>
      <w:r w:rsidRPr="00E1253A">
        <w:rPr>
          <w:color w:val="000000" w:themeColor="text1"/>
        </w:rPr>
        <w:t xml:space="preserve">. This means under the traditional rules of </w:t>
      </w:r>
      <w:r w:rsidR="005B1B81" w:rsidRPr="00E1253A">
        <w:rPr>
          <w:color w:val="000000" w:themeColor="text1"/>
        </w:rPr>
        <w:t xml:space="preserve">free market </w:t>
      </w:r>
      <w:r w:rsidRPr="00E1253A">
        <w:rPr>
          <w:color w:val="000000" w:themeColor="text1"/>
        </w:rPr>
        <w:t>property rights, if a partner decides to leave the business, “she takes her portion of the partnership’s equity with her, which normally dissolves the partnership, and at the very least forces a buyout by the other partners, who may need to liquidate ﬁrm assets to cover the expense”.</w:t>
      </w:r>
      <w:bookmarkStart w:id="69" w:name="OLE_LINK51"/>
      <w:bookmarkStart w:id="70" w:name="OLE_LINK52"/>
      <w:bookmarkStart w:id="71" w:name="OLE_LINK198"/>
      <w:r w:rsidRPr="00E1253A">
        <w:rPr>
          <w:rStyle w:val="FootnoteReference"/>
          <w:color w:val="000000" w:themeColor="text1"/>
        </w:rPr>
        <w:footnoteReference w:id="12"/>
      </w:r>
      <w:bookmarkEnd w:id="69"/>
      <w:bookmarkEnd w:id="70"/>
      <w:bookmarkEnd w:id="71"/>
      <w:r w:rsidRPr="00E1253A">
        <w:rPr>
          <w:color w:val="000000" w:themeColor="text1"/>
        </w:rPr>
        <w:t xml:space="preserve"> In contrast, in a corporation the normal rules of property are overridden by the authority of the state such that investments in the enterprise are permanently bound to the entity. The corporation itself “owns” all assets held in the corporate name, and thus capital is “locked in” and shielded from the risk of investors withdrawing their investment—also referred to as “entity shielding” or “separate patrimony” of assets—as could occur in a partnership.</w:t>
      </w:r>
      <w:bookmarkStart w:id="72" w:name="OLE_LINK11"/>
      <w:bookmarkStart w:id="73" w:name="OLE_LINK12"/>
      <w:bookmarkStart w:id="74" w:name="OLE_LINK62"/>
      <w:bookmarkStart w:id="75" w:name="OLE_LINK63"/>
      <w:r w:rsidRPr="00E1253A">
        <w:rPr>
          <w:rStyle w:val="FootnoteReference"/>
          <w:color w:val="000000" w:themeColor="text1"/>
        </w:rPr>
        <w:footnoteReference w:id="13"/>
      </w:r>
      <w:bookmarkEnd w:id="72"/>
      <w:bookmarkEnd w:id="73"/>
      <w:r w:rsidRPr="00E1253A">
        <w:rPr>
          <w:color w:val="000000" w:themeColor="text1"/>
        </w:rPr>
        <w:t xml:space="preserve"> </w:t>
      </w:r>
      <w:bookmarkStart w:id="76" w:name="OLE_LINK60"/>
      <w:bookmarkStart w:id="77" w:name="OLE_LINK61"/>
      <w:bookmarkEnd w:id="74"/>
      <w:bookmarkEnd w:id="75"/>
      <w:r w:rsidR="005B1B81" w:rsidRPr="00E1253A">
        <w:rPr>
          <w:color w:val="000000" w:themeColor="text1"/>
        </w:rPr>
        <w:t>By se</w:t>
      </w:r>
      <w:r w:rsidRPr="00E1253A">
        <w:rPr>
          <w:color w:val="000000" w:themeColor="text1"/>
        </w:rPr>
        <w:t xml:space="preserve">vering the legal unity between </w:t>
      </w:r>
      <w:r w:rsidR="005B1B81" w:rsidRPr="00E1253A">
        <w:rPr>
          <w:color w:val="000000" w:themeColor="text1"/>
        </w:rPr>
        <w:t xml:space="preserve">financial </w:t>
      </w:r>
      <w:r w:rsidRPr="00E1253A">
        <w:rPr>
          <w:color w:val="000000" w:themeColor="text1"/>
        </w:rPr>
        <w:t xml:space="preserve">ownership and </w:t>
      </w:r>
      <w:r w:rsidR="005B1B81" w:rsidRPr="00E1253A">
        <w:rPr>
          <w:color w:val="000000" w:themeColor="text1"/>
        </w:rPr>
        <w:t xml:space="preserve">the </w:t>
      </w:r>
      <w:r w:rsidRPr="00E1253A">
        <w:rPr>
          <w:color w:val="000000" w:themeColor="text1"/>
        </w:rPr>
        <w:t>right</w:t>
      </w:r>
      <w:r w:rsidR="00FC3FA6" w:rsidRPr="00E1253A">
        <w:rPr>
          <w:color w:val="000000" w:themeColor="text1"/>
        </w:rPr>
        <w:t xml:space="preserve"> to control ones property,</w:t>
      </w:r>
      <w:r w:rsidRPr="00E1253A">
        <w:rPr>
          <w:color w:val="000000" w:themeColor="text1"/>
        </w:rPr>
        <w:t xml:space="preserve"> corporate investments </w:t>
      </w:r>
      <w:r w:rsidR="00FC3FA6" w:rsidRPr="00E1253A">
        <w:rPr>
          <w:color w:val="000000" w:themeColor="text1"/>
        </w:rPr>
        <w:t>become socialized property that is</w:t>
      </w:r>
      <w:r w:rsidRPr="00E1253A">
        <w:rPr>
          <w:color w:val="000000" w:themeColor="text1"/>
        </w:rPr>
        <w:t xml:space="preserve"> perpetually loc</w:t>
      </w:r>
      <w:r w:rsidR="00FC3FA6" w:rsidRPr="00E1253A">
        <w:rPr>
          <w:color w:val="000000" w:themeColor="text1"/>
        </w:rPr>
        <w:t xml:space="preserve">ked in to the enterprise under the discretion of corporate directors and managers. The implications of the dissolution of the unity of traditional or active property will be further explored </w:t>
      </w:r>
      <w:r w:rsidR="00256E8D" w:rsidRPr="00E1253A">
        <w:rPr>
          <w:color w:val="000000" w:themeColor="text1"/>
        </w:rPr>
        <w:t>later.</w:t>
      </w:r>
      <w:r w:rsidR="00FC3FA6" w:rsidRPr="00E1253A">
        <w:rPr>
          <w:color w:val="000000" w:themeColor="text1"/>
        </w:rPr>
        <w:t xml:space="preserve"> </w:t>
      </w:r>
    </w:p>
    <w:p w14:paraId="58B1F97A" w14:textId="77777777" w:rsidR="005C2BB4" w:rsidRPr="00E1253A" w:rsidRDefault="00342B3B" w:rsidP="0012453C">
      <w:pPr>
        <w:spacing w:line="480" w:lineRule="auto"/>
        <w:ind w:firstLine="720"/>
        <w:jc w:val="both"/>
        <w:rPr>
          <w:color w:val="000000" w:themeColor="text1"/>
        </w:rPr>
      </w:pPr>
      <w:r w:rsidRPr="00E1253A">
        <w:rPr>
          <w:color w:val="000000" w:themeColor="text1"/>
        </w:rPr>
        <w:t>Corporate property and ownership interests differ from traditional property rights in the sense that investors own shares but don’t own the actual corporate assets—they rather have an intangible claim on the enterprise’s future cash flows or residual profits.</w:t>
      </w:r>
      <w:r w:rsidR="00FC3FA6" w:rsidRPr="00E1253A">
        <w:rPr>
          <w:rStyle w:val="FootnoteReference"/>
          <w:color w:val="000000" w:themeColor="text1"/>
        </w:rPr>
        <w:footnoteReference w:id="14"/>
      </w:r>
      <w:r w:rsidR="00FC3FA6" w:rsidRPr="00E1253A">
        <w:rPr>
          <w:color w:val="000000" w:themeColor="text1"/>
        </w:rPr>
        <w:t xml:space="preserve">  </w:t>
      </w:r>
      <w:r w:rsidR="006D0207" w:rsidRPr="00E1253A">
        <w:rPr>
          <w:color w:val="000000" w:themeColor="text1"/>
        </w:rPr>
        <w:t>In recent years, business corporations have paid out more money to shareholders, through share buybacks and dividend distributions than they have raised from shareholders by issuing [new] stock, and thus [t]he notion that shareholders contribute capital to corporations is thus blind to reality in the majority of cases” where investors merely repurchase an outstanding equity on the secondary markets.</w:t>
      </w:r>
      <w:r w:rsidR="006D0207" w:rsidRPr="00E1253A">
        <w:rPr>
          <w:color w:val="000000" w:themeColor="text1"/>
          <w:vertAlign w:val="superscript"/>
        </w:rPr>
        <w:footnoteReference w:id="15"/>
      </w:r>
      <w:r w:rsidRPr="00E1253A">
        <w:rPr>
          <w:color w:val="000000" w:themeColor="text1"/>
        </w:rPr>
        <w:t xml:space="preserve"> </w:t>
      </w:r>
    </w:p>
    <w:p w14:paraId="746CF1CA" w14:textId="36E89C8E" w:rsidR="00342B3B" w:rsidRPr="00E1253A" w:rsidRDefault="00342B3B" w:rsidP="0012453C">
      <w:pPr>
        <w:spacing w:line="480" w:lineRule="auto"/>
        <w:ind w:firstLine="720"/>
        <w:jc w:val="both"/>
        <w:rPr>
          <w:color w:val="000000" w:themeColor="text1"/>
        </w:rPr>
      </w:pPr>
      <w:r w:rsidRPr="00E1253A">
        <w:rPr>
          <w:color w:val="000000" w:themeColor="text1"/>
        </w:rPr>
        <w:t xml:space="preserve">Shared ownership and transferability, are the third and fourth characteristics which “permits the firm to conduct business uninterruptedly as the identity of its owners changes [when shares are traded on secondary markets], thus avoiding the complications of member withdrawal that are common among, for example, partnerships, cooperatives, and </w:t>
      </w:r>
      <w:r w:rsidR="005C2BB4" w:rsidRPr="00E1253A">
        <w:rPr>
          <w:color w:val="000000" w:themeColor="text1"/>
        </w:rPr>
        <w:t>mutual</w:t>
      </w:r>
      <w:r w:rsidRPr="00E1253A">
        <w:rPr>
          <w:color w:val="000000" w:themeColor="text1"/>
        </w:rPr>
        <w:t>”.</w:t>
      </w:r>
      <w:r w:rsidRPr="00E1253A">
        <w:rPr>
          <w:rStyle w:val="FootnoteReference"/>
          <w:color w:val="000000" w:themeColor="text1"/>
        </w:rPr>
        <w:footnoteReference w:id="16"/>
      </w:r>
      <w:r w:rsidRPr="00E1253A">
        <w:rPr>
          <w:color w:val="000000" w:themeColor="text1"/>
        </w:rPr>
        <w:t xml:space="preserve"> This “in turn enhances the liquidity of shareholders’ interests and makes it easier for shareholders to construct and maintain diversified investment portfolios”, hence reducing implied risk necessary for fostering large-scale capital accumulation</w:t>
      </w:r>
      <w:r w:rsidR="005C2BB4" w:rsidRPr="00E1253A">
        <w:rPr>
          <w:color w:val="000000" w:themeColor="text1"/>
        </w:rPr>
        <w:t xml:space="preserve">—especially </w:t>
      </w:r>
      <w:r w:rsidRPr="00E1253A">
        <w:rPr>
          <w:color w:val="000000" w:themeColor="text1"/>
        </w:rPr>
        <w:t>through access to</w:t>
      </w:r>
      <w:r w:rsidR="005C2BB4" w:rsidRPr="00E1253A">
        <w:rPr>
          <w:color w:val="000000" w:themeColor="text1"/>
        </w:rPr>
        <w:t xml:space="preserve"> deep pools of</w:t>
      </w:r>
      <w:r w:rsidRPr="00E1253A">
        <w:rPr>
          <w:color w:val="000000" w:themeColor="text1"/>
        </w:rPr>
        <w:t xml:space="preserve"> public capital markets.</w:t>
      </w:r>
      <w:r w:rsidRPr="00E1253A">
        <w:rPr>
          <w:rStyle w:val="FootnoteReference"/>
          <w:color w:val="000000" w:themeColor="text1"/>
        </w:rPr>
        <w:footnoteReference w:id="17"/>
      </w:r>
      <w:r w:rsidRPr="00E1253A">
        <w:rPr>
          <w:color w:val="000000" w:themeColor="text1"/>
        </w:rPr>
        <w:t xml:space="preserve"> While corporate securities are freely exchanged on the secondary market at little cost and owners change, the corporation and its in long-term investments stably persist. This is a key element that makes the corporate form so attractive for pooling capital into risky long-term projects requiring large up-front investment into enterprise-specific assets, or assets that cannot be withdrawn from the company without destroying much of their value. </w:t>
      </w:r>
      <w:bookmarkEnd w:id="76"/>
      <w:bookmarkEnd w:id="77"/>
      <w:r w:rsidRPr="00E1253A">
        <w:rPr>
          <w:color w:val="000000" w:themeColor="text1"/>
        </w:rPr>
        <w:t>The “combination [of] asset lock-in and entity shielding that provides the protection from liquidation”, also “lowers the cost of capital by making assets secure and increases productivity by allowing assets to be specialized,” in a manner partnerships under the law of private contract are not so effective at facilitating.</w:t>
      </w:r>
      <w:r w:rsidRPr="00E1253A">
        <w:rPr>
          <w:rStyle w:val="FootnoteReference"/>
          <w:color w:val="000000" w:themeColor="text1"/>
        </w:rPr>
        <w:footnoteReference w:id="18"/>
      </w:r>
      <w:r w:rsidRPr="00E1253A">
        <w:rPr>
          <w:color w:val="000000" w:themeColor="text1"/>
        </w:rPr>
        <w:t xml:space="preserve"> This intervention in the rules of property allows for the corporation to serve as an institutional trust whereby investment is committed to the long-term benefit of the company, and the risk of this investment is widely </w:t>
      </w:r>
      <w:r w:rsidR="006D0207" w:rsidRPr="00E1253A">
        <w:rPr>
          <w:color w:val="000000" w:themeColor="text1"/>
        </w:rPr>
        <w:t>dispersed among a broader equity base</w:t>
      </w:r>
      <w:r w:rsidRPr="00E1253A">
        <w:rPr>
          <w:color w:val="000000" w:themeColor="text1"/>
        </w:rPr>
        <w:t xml:space="preserve"> and hence greatly reduced. </w:t>
      </w:r>
    </w:p>
    <w:p w14:paraId="1284B8F6" w14:textId="6E1F7F64" w:rsidR="00342B3B" w:rsidRPr="00E1253A" w:rsidRDefault="00342B3B" w:rsidP="0012453C">
      <w:pPr>
        <w:spacing w:line="480" w:lineRule="auto"/>
        <w:ind w:firstLine="180"/>
        <w:jc w:val="both"/>
        <w:rPr>
          <w:color w:val="000000" w:themeColor="text1"/>
        </w:rPr>
      </w:pPr>
      <w:bookmarkStart w:id="78" w:name="OLE_LINK578"/>
      <w:bookmarkStart w:id="79" w:name="OLE_LINK579"/>
      <w:r w:rsidRPr="00E1253A">
        <w:rPr>
          <w:color w:val="000000" w:themeColor="text1"/>
        </w:rPr>
        <w:t xml:space="preserve">The centralized management of the corporation under a board structure is the final key characteristic of the corporation that provides directors—and management—the authority and discretion to efficiently manage corporate employees and assets for the organization as a whole. </w:t>
      </w:r>
      <w:r w:rsidR="006D0207" w:rsidRPr="00E1253A">
        <w:rPr>
          <w:color w:val="000000" w:themeColor="text1"/>
        </w:rPr>
        <w:t>The right to exercise collective sovereignty over the employees within a corporation is key to</w:t>
      </w:r>
      <w:r w:rsidR="0030311B" w:rsidRPr="00E1253A">
        <w:rPr>
          <w:color w:val="000000" w:themeColor="text1"/>
        </w:rPr>
        <w:t>wards</w:t>
      </w:r>
      <w:r w:rsidR="006D0207" w:rsidRPr="00E1253A">
        <w:rPr>
          <w:color w:val="000000" w:themeColor="text1"/>
        </w:rPr>
        <w:t xml:space="preserve"> facil</w:t>
      </w:r>
      <w:r w:rsidR="0030311B" w:rsidRPr="00E1253A">
        <w:rPr>
          <w:color w:val="000000" w:themeColor="text1"/>
        </w:rPr>
        <w:t xml:space="preserve">itating cooperation and </w:t>
      </w:r>
      <w:r w:rsidR="006D0207" w:rsidRPr="00E1253A">
        <w:rPr>
          <w:color w:val="000000" w:themeColor="text1"/>
        </w:rPr>
        <w:t xml:space="preserve">organizational activity, however, inevitably infringes on individual agency in the process. </w:t>
      </w:r>
      <w:bookmarkStart w:id="80" w:name="OLE_LINK711"/>
      <w:bookmarkStart w:id="81" w:name="OLE_LINK712"/>
      <w:r w:rsidR="00B92385" w:rsidRPr="00E1253A">
        <w:rPr>
          <w:color w:val="000000" w:themeColor="text1"/>
        </w:rPr>
        <w:t xml:space="preserve">The implications </w:t>
      </w:r>
      <w:r w:rsidR="006D0207" w:rsidRPr="00E1253A">
        <w:rPr>
          <w:color w:val="000000" w:themeColor="text1"/>
        </w:rPr>
        <w:t xml:space="preserve">of these governing powers </w:t>
      </w:r>
      <w:r w:rsidR="0030311B" w:rsidRPr="00E1253A">
        <w:rPr>
          <w:color w:val="000000" w:themeColor="text1"/>
        </w:rPr>
        <w:t xml:space="preserve">and the imbalance of power </w:t>
      </w:r>
      <w:r w:rsidR="006D0207" w:rsidRPr="00E1253A">
        <w:rPr>
          <w:color w:val="000000" w:themeColor="text1"/>
        </w:rPr>
        <w:t xml:space="preserve">on </w:t>
      </w:r>
      <w:r w:rsidR="0030311B" w:rsidRPr="00E1253A">
        <w:rPr>
          <w:color w:val="000000" w:themeColor="text1"/>
        </w:rPr>
        <w:t xml:space="preserve">the exercise of </w:t>
      </w:r>
      <w:r w:rsidR="00B92385" w:rsidRPr="00E1253A">
        <w:rPr>
          <w:color w:val="000000" w:themeColor="text1"/>
        </w:rPr>
        <w:t xml:space="preserve">individual freedom and </w:t>
      </w:r>
      <w:r w:rsidR="0030311B" w:rsidRPr="00E1253A">
        <w:rPr>
          <w:color w:val="000000" w:themeColor="text1"/>
        </w:rPr>
        <w:t xml:space="preserve">agency in society </w:t>
      </w:r>
      <w:r w:rsidR="00B92385" w:rsidRPr="00E1253A">
        <w:rPr>
          <w:color w:val="000000" w:themeColor="text1"/>
        </w:rPr>
        <w:t>will be furth</w:t>
      </w:r>
      <w:r w:rsidR="0030311B" w:rsidRPr="00E1253A">
        <w:rPr>
          <w:color w:val="000000" w:themeColor="text1"/>
        </w:rPr>
        <w:t>er addressed in the following sections</w:t>
      </w:r>
      <w:bookmarkStart w:id="82" w:name="OLE_LINK713"/>
      <w:bookmarkStart w:id="83" w:name="OLE_LINK714"/>
      <w:bookmarkStart w:id="84" w:name="OLE_LINK153"/>
      <w:bookmarkStart w:id="85" w:name="OLE_LINK154"/>
      <w:bookmarkStart w:id="86" w:name="OLE_LINK709"/>
      <w:bookmarkStart w:id="87" w:name="OLE_LINK710"/>
      <w:bookmarkEnd w:id="78"/>
      <w:bookmarkEnd w:id="79"/>
      <w:r w:rsidR="00F111CC" w:rsidRPr="00E1253A">
        <w:rPr>
          <w:color w:val="000000" w:themeColor="text1"/>
        </w:rPr>
        <w:t>.</w:t>
      </w:r>
    </w:p>
    <w:bookmarkEnd w:id="80"/>
    <w:bookmarkEnd w:id="81"/>
    <w:bookmarkEnd w:id="82"/>
    <w:bookmarkEnd w:id="83"/>
    <w:bookmarkEnd w:id="84"/>
    <w:bookmarkEnd w:id="85"/>
    <w:bookmarkEnd w:id="86"/>
    <w:bookmarkEnd w:id="87"/>
    <w:p w14:paraId="552C2B84" w14:textId="5293F400" w:rsidR="00E5489B" w:rsidRPr="00E1253A" w:rsidRDefault="00E5489B" w:rsidP="0012453C">
      <w:pPr>
        <w:spacing w:line="480" w:lineRule="auto"/>
        <w:jc w:val="both"/>
        <w:rPr>
          <w:color w:val="000000" w:themeColor="text1"/>
        </w:rPr>
      </w:pPr>
    </w:p>
    <w:p w14:paraId="110484F6" w14:textId="77777777" w:rsidR="00256E8D" w:rsidRPr="00E1253A" w:rsidRDefault="00256E8D" w:rsidP="0012453C">
      <w:pPr>
        <w:pBdr>
          <w:top w:val="single" w:sz="4" w:space="1" w:color="auto"/>
        </w:pBdr>
        <w:spacing w:line="480" w:lineRule="auto"/>
        <w:jc w:val="both"/>
        <w:rPr>
          <w:color w:val="000000" w:themeColor="text1"/>
        </w:rPr>
      </w:pPr>
    </w:p>
    <w:p w14:paraId="11675BA7" w14:textId="5DE15573" w:rsidR="00034B8A" w:rsidRPr="00E1253A" w:rsidRDefault="006E4757" w:rsidP="0012453C">
      <w:pPr>
        <w:pStyle w:val="Heading1"/>
        <w:spacing w:line="480" w:lineRule="auto"/>
        <w:jc w:val="both"/>
      </w:pPr>
      <w:r w:rsidRPr="00E1253A">
        <w:t>Political Theory of Corporate Powers</w:t>
      </w:r>
    </w:p>
    <w:p w14:paraId="0314C4E7" w14:textId="56F1EC00" w:rsidR="0026431D" w:rsidRPr="00E1253A" w:rsidRDefault="006E4757" w:rsidP="0012453C">
      <w:pPr>
        <w:spacing w:line="480" w:lineRule="auto"/>
        <w:ind w:firstLine="180"/>
        <w:jc w:val="both"/>
        <w:rPr>
          <w:color w:val="000000" w:themeColor="text1"/>
          <w:sz w:val="18"/>
          <w:szCs w:val="18"/>
        </w:rPr>
      </w:pPr>
      <w:r w:rsidRPr="00E1253A">
        <w:rPr>
          <w:color w:val="000000" w:themeColor="text1"/>
        </w:rPr>
        <w:t>The modern public corporation</w:t>
      </w:r>
      <w:r w:rsidR="00034B8A" w:rsidRPr="00E1253A">
        <w:rPr>
          <w:color w:val="000000" w:themeColor="text1"/>
        </w:rPr>
        <w:t xml:space="preserve"> wields immense power. The revenues of large companies often rival those of national governments. In 2015, 69 of the largest 100 corporate and government entities ranked by revenues, and 10 of the largest 30 entities, were corporations.</w:t>
      </w:r>
      <w:bookmarkStart w:id="88" w:name="OLE_LINK74"/>
      <w:bookmarkStart w:id="89" w:name="OLE_LINK75"/>
      <w:bookmarkStart w:id="90" w:name="OLE_LINK609"/>
      <w:bookmarkStart w:id="91" w:name="OLE_LINK610"/>
      <w:r w:rsidR="003E0138" w:rsidRPr="00E1253A">
        <w:rPr>
          <w:rStyle w:val="FootnoteReference"/>
          <w:color w:val="000000" w:themeColor="text1"/>
        </w:rPr>
        <w:t xml:space="preserve"> </w:t>
      </w:r>
      <w:r w:rsidR="003E0138" w:rsidRPr="00E1253A">
        <w:rPr>
          <w:rStyle w:val="FootnoteReference"/>
          <w:color w:val="000000" w:themeColor="text1"/>
        </w:rPr>
        <w:footnoteReference w:id="19"/>
      </w:r>
      <w:bookmarkEnd w:id="88"/>
      <w:bookmarkEnd w:id="89"/>
      <w:r w:rsidR="003E0138" w:rsidRPr="00E1253A">
        <w:rPr>
          <w:color w:val="000000" w:themeColor="text1"/>
          <w:sz w:val="18"/>
          <w:szCs w:val="18"/>
        </w:rPr>
        <w:t xml:space="preserve"> </w:t>
      </w:r>
      <w:bookmarkEnd w:id="90"/>
      <w:bookmarkEnd w:id="91"/>
      <w:r w:rsidR="00034B8A" w:rsidRPr="00E1253A">
        <w:rPr>
          <w:color w:val="000000" w:themeColor="text1"/>
        </w:rPr>
        <w:t>Some of these large corporations have advanced private security forces, “public relations offices that dwarfed a US presidential campaign headquarters, more lawyers than the US Justice Department, and enough money to capture (through campaign donations, lobbying, or even explicit bribes) a majority of the elected representatives”.</w:t>
      </w:r>
      <w:r w:rsidRPr="00E1253A">
        <w:rPr>
          <w:rStyle w:val="FootnoteReference"/>
          <w:color w:val="000000" w:themeColor="text1"/>
        </w:rPr>
        <w:footnoteReference w:id="20"/>
      </w:r>
      <w:r w:rsidRPr="00E1253A">
        <w:rPr>
          <w:color w:val="000000" w:themeColor="text1"/>
        </w:rPr>
        <w:t xml:space="preserve"> </w:t>
      </w:r>
      <w:r w:rsidR="00034B8A" w:rsidRPr="00E1253A">
        <w:rPr>
          <w:color w:val="000000" w:themeColor="text1"/>
        </w:rPr>
        <w:t>In economic terms, “a firm’s size and the level of concentration within a market affect positively all the crucial factors that determine a firm’s ability to influence the political system”, with any and all concentration of economic power in general having this effect.</w:t>
      </w:r>
      <w:r w:rsidR="003E0138" w:rsidRPr="00E1253A">
        <w:rPr>
          <w:rStyle w:val="FootnoteReference"/>
          <w:color w:val="000000" w:themeColor="text1"/>
        </w:rPr>
        <w:footnoteReference w:id="21"/>
      </w:r>
    </w:p>
    <w:p w14:paraId="59C04AA6" w14:textId="6C5B1A20" w:rsidR="00DA625E" w:rsidRPr="00E1253A" w:rsidRDefault="006E4757" w:rsidP="007218AD">
      <w:pPr>
        <w:spacing w:line="480" w:lineRule="auto"/>
        <w:ind w:firstLine="720"/>
        <w:jc w:val="both"/>
        <w:rPr>
          <w:color w:val="000000" w:themeColor="text1"/>
        </w:rPr>
      </w:pPr>
      <w:r w:rsidRPr="00E1253A">
        <w:rPr>
          <w:color w:val="000000" w:themeColor="text1"/>
        </w:rPr>
        <w:t>Political theorists have long</w:t>
      </w:r>
      <w:r w:rsidR="00034B8A" w:rsidRPr="00E1253A">
        <w:rPr>
          <w:color w:val="000000" w:themeColor="text1"/>
        </w:rPr>
        <w:t xml:space="preserve"> argue</w:t>
      </w:r>
      <w:r w:rsidRPr="00E1253A">
        <w:rPr>
          <w:color w:val="000000" w:themeColor="text1"/>
        </w:rPr>
        <w:t>d</w:t>
      </w:r>
      <w:r w:rsidR="00034B8A" w:rsidRPr="00E1253A">
        <w:rPr>
          <w:color w:val="000000" w:themeColor="text1"/>
        </w:rPr>
        <w:t xml:space="preserve"> that the interaction of concentrated corporate power and politics “</w:t>
      </w:r>
      <w:r w:rsidR="00694277">
        <w:rPr>
          <w:color w:val="000000" w:themeColor="text1"/>
        </w:rPr>
        <w:t>is</w:t>
      </w:r>
      <w:r w:rsidR="00034B8A" w:rsidRPr="00E1253A">
        <w:rPr>
          <w:color w:val="000000" w:themeColor="text1"/>
        </w:rPr>
        <w:t xml:space="preserve"> a threat to the functioning of the free market economy and to economic prosperity it can generate, and a threat to democracy as well”.</w:t>
      </w:r>
      <w:r w:rsidRPr="00E1253A">
        <w:rPr>
          <w:rStyle w:val="FootnoteReference"/>
          <w:color w:val="000000" w:themeColor="text1"/>
        </w:rPr>
        <w:footnoteReference w:id="22"/>
      </w:r>
      <w:r w:rsidR="0026431D" w:rsidRPr="00E1253A">
        <w:rPr>
          <w:color w:val="000000" w:themeColor="text1"/>
        </w:rPr>
        <w:t xml:space="preserve"> </w:t>
      </w:r>
      <w:r w:rsidRPr="00E1253A">
        <w:rPr>
          <w:color w:val="000000" w:themeColor="text1"/>
        </w:rPr>
        <w:t>The largest modern corporations have facilitated a massive concentration of economic</w:t>
      </w:r>
      <w:r w:rsidR="007218AD" w:rsidRPr="00E1253A">
        <w:rPr>
          <w:color w:val="000000" w:themeColor="text1"/>
        </w:rPr>
        <w:t>—</w:t>
      </w:r>
      <w:r w:rsidRPr="00E1253A">
        <w:rPr>
          <w:color w:val="000000" w:themeColor="text1"/>
        </w:rPr>
        <w:t>and</w:t>
      </w:r>
      <w:r w:rsidR="007218AD" w:rsidRPr="00E1253A">
        <w:rPr>
          <w:color w:val="000000" w:themeColor="text1"/>
        </w:rPr>
        <w:t xml:space="preserve"> </w:t>
      </w:r>
      <w:r w:rsidRPr="00E1253A">
        <w:rPr>
          <w:color w:val="000000" w:themeColor="text1"/>
        </w:rPr>
        <w:t>political</w:t>
      </w:r>
      <w:r w:rsidR="007218AD" w:rsidRPr="00E1253A">
        <w:rPr>
          <w:color w:val="000000" w:themeColor="text1"/>
        </w:rPr>
        <w:t>—</w:t>
      </w:r>
      <w:r w:rsidRPr="00E1253A">
        <w:rPr>
          <w:color w:val="000000" w:themeColor="text1"/>
        </w:rPr>
        <w:t>power</w:t>
      </w:r>
      <w:r w:rsidR="007218AD" w:rsidRPr="00E1253A">
        <w:rPr>
          <w:color w:val="000000" w:themeColor="text1"/>
        </w:rPr>
        <w:t xml:space="preserve"> </w:t>
      </w:r>
      <w:r w:rsidRPr="00E1253A">
        <w:rPr>
          <w:color w:val="000000" w:themeColor="text1"/>
        </w:rPr>
        <w:t>in the hands of a few people, who are hardly accountable to anyone</w:t>
      </w:r>
      <w:r w:rsidR="00DA625E" w:rsidRPr="00E1253A">
        <w:rPr>
          <w:color w:val="000000" w:themeColor="text1"/>
        </w:rPr>
        <w:t>. Yet in contemporary neo-classical economics, the commonly “prevailing view of the firm ignores all these elements of politics and power” and instead, “the firm is a simple ‘nexus of contracts’ with no objectives or life separate from those of its contracting parties”.</w:t>
      </w:r>
      <w:r w:rsidR="00DA625E" w:rsidRPr="00E1253A">
        <w:rPr>
          <w:rStyle w:val="FootnoteReference"/>
          <w:color w:val="000000" w:themeColor="text1"/>
        </w:rPr>
        <w:footnoteReference w:id="23"/>
      </w:r>
      <w:r w:rsidR="00DA625E" w:rsidRPr="00E1253A">
        <w:rPr>
          <w:color w:val="000000" w:themeColor="text1"/>
        </w:rPr>
        <w:t xml:space="preserve"> Although this model might be a reasonable approximation for small or closely-held private corporations, it certainly does not accurately describe the giant global corporations of today.</w:t>
      </w:r>
      <w:r w:rsidR="00DA625E" w:rsidRPr="00E1253A">
        <w:rPr>
          <w:rStyle w:val="FootnoteReference"/>
          <w:color w:val="000000" w:themeColor="text1"/>
        </w:rPr>
        <w:footnoteReference w:id="24"/>
      </w:r>
      <w:r w:rsidR="00DA625E" w:rsidRPr="00E1253A">
        <w:rPr>
          <w:color w:val="000000" w:themeColor="text1"/>
        </w:rPr>
        <w:t xml:space="preserve"> </w:t>
      </w:r>
      <w:r w:rsidR="0012798B" w:rsidRPr="00E1253A">
        <w:rPr>
          <w:color w:val="000000" w:themeColor="text1"/>
        </w:rPr>
        <w:t>In this section I will theoretically differentiate the modern corporate institution from both public and private bodies</w:t>
      </w:r>
      <w:r w:rsidRPr="00E1253A">
        <w:rPr>
          <w:color w:val="000000" w:themeColor="text1"/>
        </w:rPr>
        <w:t xml:space="preserve">, and will </w:t>
      </w:r>
      <w:r w:rsidR="0012798B" w:rsidRPr="00E1253A">
        <w:rPr>
          <w:color w:val="000000" w:themeColor="text1"/>
        </w:rPr>
        <w:t>argue for the necessity of a political conception of the firm that recognize the institutional power and governing role corporations play in the broader political economy</w:t>
      </w:r>
      <w:r w:rsidR="0026431D" w:rsidRPr="00E1253A">
        <w:rPr>
          <w:color w:val="000000" w:themeColor="text1"/>
        </w:rPr>
        <w:t>. As a quasi-public entity wielding significant political power, I will argue we need new concepts to deal with corporate enterprises as their own distinct entity</w:t>
      </w:r>
      <w:r w:rsidR="00F111CC" w:rsidRPr="00E1253A">
        <w:rPr>
          <w:color w:val="000000" w:themeColor="text1"/>
        </w:rPr>
        <w:t xml:space="preserve"> separate from </w:t>
      </w:r>
      <w:r w:rsidR="007218AD" w:rsidRPr="00E1253A">
        <w:rPr>
          <w:color w:val="000000" w:themeColor="text1"/>
        </w:rPr>
        <w:t>both</w:t>
      </w:r>
      <w:r w:rsidR="00F111CC" w:rsidRPr="00E1253A">
        <w:rPr>
          <w:color w:val="000000" w:themeColor="text1"/>
        </w:rPr>
        <w:t xml:space="preserve"> purely private or public actors</w:t>
      </w:r>
      <w:r w:rsidR="0026431D" w:rsidRPr="00E1253A">
        <w:rPr>
          <w:color w:val="000000" w:themeColor="text1"/>
        </w:rPr>
        <w:t>.</w:t>
      </w:r>
    </w:p>
    <w:p w14:paraId="1B92F3E5" w14:textId="77777777" w:rsidR="007218AD" w:rsidRPr="00E1253A" w:rsidRDefault="007218AD" w:rsidP="007218AD">
      <w:pPr>
        <w:spacing w:line="480" w:lineRule="auto"/>
        <w:ind w:firstLine="720"/>
        <w:jc w:val="both"/>
        <w:rPr>
          <w:color w:val="000000" w:themeColor="text1"/>
          <w:sz w:val="13"/>
          <w:szCs w:val="13"/>
        </w:rPr>
      </w:pPr>
    </w:p>
    <w:p w14:paraId="133557E9" w14:textId="6DBEC7DA" w:rsidR="00DA625E" w:rsidRPr="00E1253A" w:rsidRDefault="00DA625E" w:rsidP="0012453C">
      <w:pPr>
        <w:pStyle w:val="Heading2"/>
        <w:numPr>
          <w:ilvl w:val="1"/>
          <w:numId w:val="21"/>
        </w:numPr>
        <w:spacing w:line="480" w:lineRule="auto"/>
        <w:contextualSpacing w:val="0"/>
        <w:jc w:val="both"/>
      </w:pPr>
      <w:r w:rsidRPr="00E1253A">
        <w:t>Poli</w:t>
      </w:r>
      <w:r w:rsidR="00C023F1" w:rsidRPr="00E1253A">
        <w:t>tical Dimensions of the Modern Corporation</w:t>
      </w:r>
    </w:p>
    <w:p w14:paraId="2387718D" w14:textId="2750DE96" w:rsidR="002F2734" w:rsidRPr="00E1253A" w:rsidRDefault="00C023F1" w:rsidP="0012453C">
      <w:pPr>
        <w:spacing w:line="480" w:lineRule="auto"/>
        <w:jc w:val="both"/>
        <w:rPr>
          <w:color w:val="000000" w:themeColor="text1"/>
        </w:rPr>
      </w:pPr>
      <w:r w:rsidRPr="00E1253A">
        <w:rPr>
          <w:color w:val="000000" w:themeColor="text1"/>
        </w:rPr>
        <w:t xml:space="preserve">There are </w:t>
      </w:r>
      <w:r w:rsidR="00F111CC" w:rsidRPr="00E1253A">
        <w:rPr>
          <w:color w:val="000000" w:themeColor="text1"/>
        </w:rPr>
        <w:t xml:space="preserve">a number of </w:t>
      </w:r>
      <w:r w:rsidRPr="00E1253A">
        <w:rPr>
          <w:color w:val="000000" w:themeColor="text1"/>
        </w:rPr>
        <w:t xml:space="preserve">problems with placing corporations within the sphere of private contract divorced </w:t>
      </w:r>
      <w:r w:rsidR="006067C0" w:rsidRPr="00E1253A">
        <w:rPr>
          <w:color w:val="000000" w:themeColor="text1"/>
        </w:rPr>
        <w:t xml:space="preserve">from its quasi-public nature. </w:t>
      </w:r>
      <w:r w:rsidRPr="00E1253A">
        <w:rPr>
          <w:color w:val="000000" w:themeColor="text1"/>
        </w:rPr>
        <w:t>Unlike private bodies, such as families and voluntary associations, “corporations cannot be formed without civil government, depending on it for their contractual individuality, their form of property, and their governing authority”.</w:t>
      </w:r>
      <w:bookmarkStart w:id="96" w:name="OLE_LINK238"/>
      <w:bookmarkStart w:id="97" w:name="OLE_LINK239"/>
      <w:r w:rsidRPr="00E1253A">
        <w:rPr>
          <w:color w:val="000000" w:themeColor="text1"/>
          <w:vertAlign w:val="superscript"/>
        </w:rPr>
        <w:footnoteReference w:id="25"/>
      </w:r>
      <w:bookmarkEnd w:id="96"/>
      <w:bookmarkEnd w:id="97"/>
      <w:r w:rsidRPr="00E1253A">
        <w:rPr>
          <w:color w:val="000000" w:themeColor="text1"/>
        </w:rPr>
        <w:t xml:space="preserve"> The necessary constitutive role of government in creating this legal construct</w:t>
      </w:r>
      <w:r w:rsidR="00F111CC" w:rsidRPr="00E1253A">
        <w:rPr>
          <w:color w:val="000000" w:themeColor="text1"/>
        </w:rPr>
        <w:t>, the anomalous features that allow it to accumulate so much wealth, and the existence of significant forms of power all support the</w:t>
      </w:r>
      <w:r w:rsidRPr="00E1253A">
        <w:rPr>
          <w:color w:val="000000" w:themeColor="text1"/>
        </w:rPr>
        <w:t xml:space="preserve"> political </w:t>
      </w:r>
      <w:r w:rsidR="00F111CC" w:rsidRPr="00E1253A">
        <w:rPr>
          <w:color w:val="000000" w:themeColor="text1"/>
        </w:rPr>
        <w:t>analysis</w:t>
      </w:r>
      <w:r w:rsidRPr="00E1253A">
        <w:rPr>
          <w:color w:val="000000" w:themeColor="text1"/>
        </w:rPr>
        <w:t xml:space="preserve"> of the corporation as a major institution</w:t>
      </w:r>
      <w:r w:rsidR="00F111CC" w:rsidRPr="00E1253A">
        <w:rPr>
          <w:color w:val="000000" w:themeColor="text1"/>
        </w:rPr>
        <w:t xml:space="preserve"> in society</w:t>
      </w:r>
      <w:r w:rsidRPr="00E1253A">
        <w:rPr>
          <w:color w:val="000000" w:themeColor="text1"/>
        </w:rPr>
        <w:t xml:space="preserve">. </w:t>
      </w:r>
      <w:r w:rsidR="002F2734" w:rsidRPr="00E1253A">
        <w:rPr>
          <w:color w:val="000000" w:themeColor="text1"/>
        </w:rPr>
        <w:t xml:space="preserve">In this section I will explore the basis of a political theory of the corporation by theoretically differentiating the corporate enterprise from private </w:t>
      </w:r>
      <w:r w:rsidR="00C2153E" w:rsidRPr="00E1253A">
        <w:rPr>
          <w:color w:val="000000" w:themeColor="text1"/>
        </w:rPr>
        <w:t>actors and</w:t>
      </w:r>
      <w:r w:rsidR="002F2734" w:rsidRPr="00E1253A">
        <w:rPr>
          <w:color w:val="000000" w:themeColor="text1"/>
        </w:rPr>
        <w:t xml:space="preserve"> revealing the political implications of such massive concentrations of wealth and power</w:t>
      </w:r>
      <w:r w:rsidR="006067C0" w:rsidRPr="00E1253A">
        <w:rPr>
          <w:color w:val="000000" w:themeColor="text1"/>
        </w:rPr>
        <w:t xml:space="preserve"> in democratic society</w:t>
      </w:r>
      <w:r w:rsidR="002F2734" w:rsidRPr="00E1253A">
        <w:rPr>
          <w:color w:val="000000" w:themeColor="text1"/>
        </w:rPr>
        <w:t xml:space="preserve">. </w:t>
      </w:r>
    </w:p>
    <w:p w14:paraId="18879584" w14:textId="77777777" w:rsidR="002F2734" w:rsidRPr="00E1253A" w:rsidRDefault="00C023F1" w:rsidP="0012453C">
      <w:pPr>
        <w:spacing w:line="480" w:lineRule="auto"/>
        <w:ind w:firstLine="720"/>
        <w:jc w:val="both"/>
        <w:rPr>
          <w:color w:val="000000" w:themeColor="text1"/>
        </w:rPr>
      </w:pPr>
      <w:r w:rsidRPr="00E1253A">
        <w:rPr>
          <w:color w:val="000000" w:themeColor="text1"/>
        </w:rPr>
        <w:t>Ciepley defends the political theory of the corporation on the basis of two primary premises: corporations are governmental (meaning “government-like”) in operation; and corporations are governmental in provenance (meaning “of” government or derived from government). They are governmental in their operations where “the business corporation is a form of constitutional republic—a shareholder republic—with a similar governance structure and a comparable range of powers”.</w:t>
      </w:r>
      <w:r w:rsidRPr="00E1253A">
        <w:rPr>
          <w:color w:val="000000" w:themeColor="text1"/>
          <w:vertAlign w:val="superscript"/>
        </w:rPr>
        <w:footnoteReference w:id="26"/>
      </w:r>
      <w:r w:rsidRPr="00E1253A">
        <w:rPr>
          <w:color w:val="000000" w:themeColor="text1"/>
        </w:rPr>
        <w:t xml:space="preserve"> Likewise, they are governmental in provenance as “the government is their co-creator and continual prop, supplying them with their contractual individuality, their form of property, and their governing authority”.</w:t>
      </w:r>
      <w:r w:rsidRPr="00E1253A">
        <w:rPr>
          <w:color w:val="000000" w:themeColor="text1"/>
          <w:vertAlign w:val="superscript"/>
        </w:rPr>
        <w:footnoteReference w:id="27"/>
      </w:r>
      <w:r w:rsidRPr="00E1253A">
        <w:rPr>
          <w:color w:val="000000" w:themeColor="text1"/>
        </w:rPr>
        <w:t xml:space="preserve"> Where corporations are dependent on the authority of the state for its economically advantageous legal privileges, this undermines a private conceptualization of corporations as exempt from duties to the society that enfranchises its very existence and prosperity.</w:t>
      </w:r>
    </w:p>
    <w:p w14:paraId="07163803" w14:textId="0F312D5D" w:rsidR="00DA625E" w:rsidRPr="00E1253A" w:rsidRDefault="00DA625E" w:rsidP="0012453C">
      <w:pPr>
        <w:spacing w:line="480" w:lineRule="auto"/>
        <w:ind w:firstLine="720"/>
        <w:jc w:val="both"/>
        <w:rPr>
          <w:color w:val="000000" w:themeColor="text1"/>
        </w:rPr>
      </w:pPr>
      <w:r w:rsidRPr="00E1253A">
        <w:rPr>
          <w:color w:val="000000" w:themeColor="text1"/>
        </w:rPr>
        <w:t xml:space="preserve">Mitchell has </w:t>
      </w:r>
      <w:r w:rsidR="002F2734" w:rsidRPr="00E1253A">
        <w:rPr>
          <w:color w:val="000000" w:themeColor="text1"/>
        </w:rPr>
        <w:t xml:space="preserve">also </w:t>
      </w:r>
      <w:r w:rsidRPr="00E1253A">
        <w:rPr>
          <w:color w:val="000000" w:themeColor="text1"/>
        </w:rPr>
        <w:t>advanced the application of political theory to corporate behavior to understand the institutional power and public-policy features of modern corporations. Mitchell states, one can “differentiate between institutions with respect to the amount of power they possess, assessed in terms of the size of the community affected”, claiming by this measure, “the large corporation has become the most important political institution in the contemporary political order”, further stating that “production, consumption, [and] even significant aspects of state action, fall within the corporate orbit”.</w:t>
      </w:r>
      <w:bookmarkStart w:id="98" w:name="OLE_LINK91"/>
      <w:bookmarkStart w:id="99" w:name="OLE_LINK90"/>
      <w:r w:rsidRPr="00E1253A">
        <w:rPr>
          <w:rStyle w:val="FootnoteReference"/>
          <w:color w:val="000000" w:themeColor="text1"/>
        </w:rPr>
        <w:footnoteReference w:id="28"/>
      </w:r>
      <w:bookmarkEnd w:id="98"/>
      <w:bookmarkEnd w:id="99"/>
      <w:r w:rsidR="00984FE7" w:rsidRPr="00E1253A">
        <w:rPr>
          <w:color w:val="000000" w:themeColor="text1"/>
        </w:rPr>
        <w:t xml:space="preserve"> </w:t>
      </w:r>
      <w:r w:rsidRPr="00E1253A">
        <w:rPr>
          <w:color w:val="000000" w:themeColor="text1"/>
        </w:rPr>
        <w:t>Mitchel also specifically points to a number of governmental functions that have been regularly outsourced to corporate enterprises including “responsibility for providing financial assistance for the old or for those in ill health” and even what were once thought of as “core” state responsibilities, “like law and order may now be abdicated to the “private” sector as corporations have begun to build, buy, and run prisons (for example, Corrections Corporations of America)”.</w:t>
      </w:r>
      <w:r w:rsidRPr="00E1253A">
        <w:rPr>
          <w:rStyle w:val="FootnoteReference"/>
          <w:color w:val="000000" w:themeColor="text1"/>
        </w:rPr>
        <w:footnoteReference w:id="29"/>
      </w:r>
    </w:p>
    <w:p w14:paraId="61C1C75A" w14:textId="3F4BF419" w:rsidR="00C2153E" w:rsidRPr="00E1253A" w:rsidRDefault="00DA625E" w:rsidP="00204682">
      <w:pPr>
        <w:spacing w:line="480" w:lineRule="auto"/>
        <w:ind w:firstLine="720"/>
        <w:jc w:val="both"/>
        <w:rPr>
          <w:color w:val="000000" w:themeColor="text1"/>
        </w:rPr>
      </w:pPr>
      <w:bookmarkStart w:id="100" w:name="OLE_LINK14"/>
      <w:bookmarkStart w:id="101" w:name="OLE_LINK15"/>
      <w:r w:rsidRPr="00E1253A">
        <w:rPr>
          <w:color w:val="000000" w:themeColor="text1"/>
        </w:rPr>
        <w:t>In a perfectly competitive world, “the economic power of firms stems only from the past specific investments”, and the “potential magnitude of this economic power is limited and does not benefit much from the support of political power”.</w:t>
      </w:r>
      <w:r w:rsidRPr="00E1253A">
        <w:rPr>
          <w:rStyle w:val="FootnoteReference"/>
          <w:color w:val="000000" w:themeColor="text1"/>
        </w:rPr>
        <w:footnoteReference w:id="30"/>
      </w:r>
      <w:r w:rsidRPr="00E1253A">
        <w:rPr>
          <w:color w:val="000000" w:themeColor="text1"/>
        </w:rPr>
        <w:t xml:space="preserve"> Thus, under neo-classical understandings of the firm, lobbying is merely limited to firms trying to escape regulation or that are seeking government contracts and thus hold no authority or power of fiat. Zingales states, “one can argue whether such a world ever existed, but cannot argue that this is not the world we live in today… in the last two decades more than 75 percent of US industries experienced an increase in concentration levels, with the Herfindahl index increasing by more than 50 percent on average… and during this time, the size of the average publicly listed company in the United States tripled in market capitalization: from $1.2 billion to $3.7 billion in 2016 dollars”.</w:t>
      </w:r>
      <w:r w:rsidRPr="00E1253A">
        <w:rPr>
          <w:rStyle w:val="FootnoteReference"/>
          <w:color w:val="000000" w:themeColor="text1"/>
        </w:rPr>
        <w:footnoteReference w:id="31"/>
      </w:r>
      <w:r w:rsidRPr="00E1253A">
        <w:rPr>
          <w:color w:val="000000" w:themeColor="text1"/>
        </w:rPr>
        <w:t xml:space="preserve"> </w:t>
      </w:r>
      <w:r w:rsidR="00C2153E" w:rsidRPr="00E1253A">
        <w:rPr>
          <w:color w:val="000000" w:themeColor="text1"/>
        </w:rPr>
        <w:t>Zingales attributes this phenomenon of extreme concentration to a reduction in the birth rate of new firms, along with a very high level of merger activity accounting for over $2 trillion in value each year over the past two decades.</w:t>
      </w:r>
      <w:r w:rsidR="00C2153E" w:rsidRPr="00E1253A">
        <w:rPr>
          <w:rStyle w:val="FootnoteReference"/>
          <w:color w:val="000000" w:themeColor="text1"/>
        </w:rPr>
        <w:footnoteReference w:id="32"/>
      </w:r>
      <w:r w:rsidR="00C2153E" w:rsidRPr="00E1253A">
        <w:rPr>
          <w:color w:val="000000" w:themeColor="text1"/>
        </w:rPr>
        <w:t xml:space="preserve"> He also attributes the rise in concentration to the increased role of “winner-take-all industries, driven by the proliferation of information-intensive goods that have high fixed and low marginal costs”, and particularly those with significant digital information synergies.</w:t>
      </w:r>
      <w:r w:rsidR="00C2153E" w:rsidRPr="00E1253A">
        <w:rPr>
          <w:rStyle w:val="FootnoteReference"/>
          <w:color w:val="000000" w:themeColor="text1"/>
        </w:rPr>
        <w:footnoteReference w:id="33"/>
      </w:r>
      <w:r w:rsidR="00C2153E" w:rsidRPr="00E1253A">
        <w:rPr>
          <w:color w:val="000000" w:themeColor="text1"/>
        </w:rPr>
        <w:t xml:space="preserve"> </w:t>
      </w:r>
      <w:r w:rsidR="00FE6BDC" w:rsidRPr="00E1253A">
        <w:rPr>
          <w:color w:val="000000" w:themeColor="text1"/>
        </w:rPr>
        <w:t xml:space="preserve">These factors all negatively impact competition in the economy by drowning out new businesses, and reducing consumer welfare through less innovation and higher costs. Size and market power, in of itself, lead to political influence and social power. </w:t>
      </w:r>
    </w:p>
    <w:bookmarkEnd w:id="100"/>
    <w:bookmarkEnd w:id="101"/>
    <w:p w14:paraId="6B4C3F6C" w14:textId="78745D0D" w:rsidR="00DA625E" w:rsidRPr="00E1253A" w:rsidRDefault="00C2153E" w:rsidP="0012453C">
      <w:pPr>
        <w:spacing w:line="480" w:lineRule="auto"/>
        <w:ind w:firstLine="720"/>
        <w:jc w:val="both"/>
        <w:rPr>
          <w:color w:val="000000" w:themeColor="text1"/>
        </w:rPr>
      </w:pPr>
      <w:r w:rsidRPr="00E1253A">
        <w:rPr>
          <w:color w:val="000000" w:themeColor="text1"/>
        </w:rPr>
        <w:t xml:space="preserve">The relative </w:t>
      </w:r>
      <w:r w:rsidR="00204682" w:rsidRPr="00E1253A">
        <w:rPr>
          <w:color w:val="000000" w:themeColor="text1"/>
        </w:rPr>
        <w:t xml:space="preserve">power between the modern </w:t>
      </w:r>
      <w:r w:rsidRPr="00E1253A">
        <w:rPr>
          <w:color w:val="000000" w:themeColor="text1"/>
        </w:rPr>
        <w:t>corporation</w:t>
      </w:r>
      <w:r w:rsidR="00204682" w:rsidRPr="00E1253A">
        <w:rPr>
          <w:color w:val="000000" w:themeColor="text1"/>
        </w:rPr>
        <w:t xml:space="preserve"> and the individual and</w:t>
      </w:r>
      <w:r w:rsidRPr="00E1253A">
        <w:rPr>
          <w:color w:val="000000" w:themeColor="text1"/>
        </w:rPr>
        <w:t xml:space="preserve"> has drifted further</w:t>
      </w:r>
      <w:r w:rsidR="00204682" w:rsidRPr="00E1253A">
        <w:rPr>
          <w:color w:val="000000" w:themeColor="text1"/>
        </w:rPr>
        <w:t xml:space="preserve"> that ever undermining individual agency.</w:t>
      </w:r>
      <w:r w:rsidRPr="00E1253A">
        <w:rPr>
          <w:color w:val="000000" w:themeColor="text1"/>
        </w:rPr>
        <w:t xml:space="preserve"> </w:t>
      </w:r>
      <w:r w:rsidR="002F2734" w:rsidRPr="00E1253A">
        <w:rPr>
          <w:color w:val="000000" w:themeColor="text1"/>
        </w:rPr>
        <w:t>Beyond pure economic power, the modern corporation yields significant “instrumental power”, traditionally in the form of business lobbying; “structural power”, which can “include locational choice sets, the ability to transfer risks to suppliers, and generally the ways in which business gets things onto or keeps them off the policy agenda;” and “discursive power,” which refers to the “ability by business and business associations to frame and deﬁne public interest issues in their favor – that is, to shape ideas that then come to be taken for granted as the way things should be done, even for non-business entities like governments”.</w:t>
      </w:r>
      <w:r w:rsidR="002F2734" w:rsidRPr="00E1253A">
        <w:rPr>
          <w:color w:val="000000" w:themeColor="text1"/>
          <w:vertAlign w:val="superscript"/>
        </w:rPr>
        <w:footnoteReference w:id="34"/>
      </w:r>
      <w:r w:rsidR="001E49E8" w:rsidRPr="00E1253A">
        <w:rPr>
          <w:color w:val="000000" w:themeColor="text1"/>
        </w:rPr>
        <w:t xml:space="preserve"> </w:t>
      </w:r>
      <w:r w:rsidR="002F2734" w:rsidRPr="00E1253A">
        <w:rPr>
          <w:color w:val="000000" w:themeColor="text1"/>
        </w:rPr>
        <w:t xml:space="preserve">The decision-making structures guiding corporation decision are thus, highly relevant, from an economic, political, and social point of view. By placing corporations into the realm of private contracts, this fails to address the broader international role corporations now play in shaping the trajectory of our planet. In the context of major conglomerates such as Amazon, Google, and Facebook to name a few, there are no perfect substitutes in the market or even near substitutes. This is a significant deviation from the highly stylized neoliberal economic theories of atomistic perfect competition, and the abuses of power are no longer restricted to merely price and quantity market manipulation. </w:t>
      </w:r>
    </w:p>
    <w:p w14:paraId="5436DF97" w14:textId="780FFC1B" w:rsidR="00DF15DB" w:rsidRPr="00E1253A" w:rsidRDefault="0026431D" w:rsidP="0012453C">
      <w:pPr>
        <w:spacing w:line="480" w:lineRule="auto"/>
        <w:ind w:firstLine="720"/>
        <w:jc w:val="both"/>
        <w:rPr>
          <w:color w:val="000000" w:themeColor="text1"/>
        </w:rPr>
      </w:pPr>
      <w:bookmarkStart w:id="102" w:name="OLE_LINK36"/>
      <w:bookmarkStart w:id="103" w:name="OLE_LINK37"/>
      <w:r w:rsidRPr="00E1253A">
        <w:rPr>
          <w:color w:val="000000" w:themeColor="text1"/>
        </w:rPr>
        <w:t xml:space="preserve">The anomalous features of the corporate form and puzzling legal history of the modern firm supports the proposition that we do not </w:t>
      </w:r>
      <w:r w:rsidR="00C40472" w:rsidRPr="00E1253A">
        <w:rPr>
          <w:color w:val="000000" w:themeColor="text1"/>
        </w:rPr>
        <w:t xml:space="preserve">yet </w:t>
      </w:r>
      <w:r w:rsidRPr="00E1253A">
        <w:rPr>
          <w:color w:val="000000" w:themeColor="text1"/>
        </w:rPr>
        <w:t>have the concepts with which to deal with private aggregations of power</w:t>
      </w:r>
      <w:r w:rsidR="00C40472" w:rsidRPr="00E1253A">
        <w:rPr>
          <w:color w:val="000000" w:themeColor="text1"/>
        </w:rPr>
        <w:t xml:space="preserve">. </w:t>
      </w:r>
      <w:r w:rsidRPr="00E1253A">
        <w:rPr>
          <w:color w:val="000000" w:themeColor="text1"/>
        </w:rPr>
        <w:t>To find such concepts, I draw from the insights of Foucault (2002) and those further developed by Veldman (2013), where “political power is not so much the potential for direct application of force or coercion, but rather, it is woven together with forms of subjectivity that are constituted within domains of knowledge that take shape within particular political conditions”.</w:t>
      </w:r>
      <w:r w:rsidRPr="00E1253A">
        <w:rPr>
          <w:rStyle w:val="FootnoteReference"/>
          <w:color w:val="000000" w:themeColor="text1"/>
        </w:rPr>
        <w:footnoteReference w:id="35"/>
      </w:r>
      <w:r w:rsidRPr="00E1253A">
        <w:rPr>
          <w:color w:val="000000" w:themeColor="text1"/>
        </w:rPr>
        <w:t xml:space="preserve"> Veldman specifically analyzed the link between the “development of the corporate form as a succession of ideas about ‘subjectivity’,” and the “political, legal and economic ﬁelds in which it developed</w:t>
      </w:r>
      <w:r w:rsidR="00C40472" w:rsidRPr="00E1253A">
        <w:rPr>
          <w:color w:val="000000" w:themeColor="text1"/>
        </w:rPr>
        <w:t>”.</w:t>
      </w:r>
      <w:r w:rsidRPr="00E1253A">
        <w:rPr>
          <w:color w:val="000000" w:themeColor="text1"/>
        </w:rPr>
        <w:t xml:space="preserve"> </w:t>
      </w:r>
      <w:bookmarkStart w:id="106" w:name="OLE_LINK747"/>
      <w:bookmarkStart w:id="107" w:name="OLE_LINK748"/>
      <w:r w:rsidR="00C40472" w:rsidRPr="00E1253A">
        <w:rPr>
          <w:color w:val="000000" w:themeColor="text1"/>
        </w:rPr>
        <w:t>How we conceive of the nature of corporations, their purpose, and their powers ultimately shape</w:t>
      </w:r>
      <w:r w:rsidR="00933D1C" w:rsidRPr="00E1253A">
        <w:rPr>
          <w:color w:val="000000" w:themeColor="text1"/>
        </w:rPr>
        <w:t>s</w:t>
      </w:r>
      <w:r w:rsidR="00C40472" w:rsidRPr="00E1253A">
        <w:rPr>
          <w:color w:val="000000" w:themeColor="text1"/>
        </w:rPr>
        <w:t xml:space="preserve"> our assessment of their behavior.</w:t>
      </w:r>
      <w:bookmarkEnd w:id="106"/>
      <w:bookmarkEnd w:id="107"/>
      <w:r w:rsidR="00C40472" w:rsidRPr="00E1253A">
        <w:rPr>
          <w:color w:val="000000" w:themeColor="text1"/>
        </w:rPr>
        <w:t xml:space="preserve"> Veldman specifically </w:t>
      </w:r>
      <w:r w:rsidRPr="00E1253A">
        <w:rPr>
          <w:color w:val="000000" w:themeColor="text1"/>
        </w:rPr>
        <w:t>demonstrated how theoretical shifts</w:t>
      </w:r>
      <w:r w:rsidR="00C40472" w:rsidRPr="00E1253A">
        <w:rPr>
          <w:color w:val="000000" w:themeColor="text1"/>
        </w:rPr>
        <w:t xml:space="preserve"> </w:t>
      </w:r>
      <w:r w:rsidRPr="00E1253A">
        <w:rPr>
          <w:color w:val="000000" w:themeColor="text1"/>
        </w:rPr>
        <w:t>are intimately connected to “shifting ideas of ‘subjectivity’ [with substantive] implications for power within the constitution of these ﬁelds”.</w:t>
      </w:r>
      <w:r w:rsidRPr="00E1253A">
        <w:rPr>
          <w:rStyle w:val="FootnoteReference"/>
          <w:color w:val="000000" w:themeColor="text1"/>
        </w:rPr>
        <w:footnoteReference w:id="36"/>
      </w:r>
      <w:r w:rsidRPr="00E1253A">
        <w:rPr>
          <w:color w:val="000000" w:themeColor="text1"/>
        </w:rPr>
        <w:t xml:space="preserve"> </w:t>
      </w:r>
      <w:bookmarkEnd w:id="102"/>
      <w:bookmarkEnd w:id="103"/>
      <w:r w:rsidRPr="00E1253A">
        <w:rPr>
          <w:color w:val="000000" w:themeColor="text1"/>
        </w:rPr>
        <w:t>Theoretical understandings of the development of subjectivity in the legal domain in particular are highly relevant given that “juridical practices are the most important social practices to locate the emergence of subjectivity (Foucault, 2002, p. 4),” and the  creation of different ideas of ‘subjectivity’ in this domain, “marks a distinctly political act by creating practices and regimes of truth that ‘mark out in reality that which does not exist and legitimately submits it to the division between true and false’”.</w:t>
      </w:r>
      <w:r w:rsidRPr="00E1253A">
        <w:rPr>
          <w:rStyle w:val="FootnoteReference"/>
          <w:color w:val="000000" w:themeColor="text1"/>
        </w:rPr>
        <w:footnoteReference w:id="37"/>
      </w:r>
      <w:r w:rsidRPr="00E1253A">
        <w:rPr>
          <w:color w:val="000000" w:themeColor="text1"/>
        </w:rPr>
        <w:t xml:space="preserve"> </w:t>
      </w:r>
      <w:r w:rsidR="00E74863" w:rsidRPr="00E1253A">
        <w:rPr>
          <w:color w:val="000000" w:themeColor="text1"/>
        </w:rPr>
        <w:t>Th</w:t>
      </w:r>
      <w:r w:rsidR="00C40472" w:rsidRPr="00E1253A">
        <w:rPr>
          <w:color w:val="000000" w:themeColor="text1"/>
        </w:rPr>
        <w:t xml:space="preserve">e application of a neoclassical conception of the firm as a profit-maximizing machine </w:t>
      </w:r>
      <w:r w:rsidR="00E74863" w:rsidRPr="00E1253A">
        <w:rPr>
          <w:color w:val="000000" w:themeColor="text1"/>
        </w:rPr>
        <w:t xml:space="preserve">over, say </w:t>
      </w:r>
      <w:r w:rsidR="00C40472" w:rsidRPr="00E1253A">
        <w:rPr>
          <w:color w:val="000000" w:themeColor="text1"/>
        </w:rPr>
        <w:t>a political conception of the firm as a social institution</w:t>
      </w:r>
      <w:r w:rsidR="00E74863" w:rsidRPr="00E1253A">
        <w:rPr>
          <w:color w:val="000000" w:themeColor="text1"/>
        </w:rPr>
        <w:t>,</w:t>
      </w:r>
      <w:r w:rsidR="00C40472" w:rsidRPr="00E1253A">
        <w:rPr>
          <w:color w:val="000000" w:themeColor="text1"/>
        </w:rPr>
        <w:t xml:space="preserve"> can result in vastly different </w:t>
      </w:r>
      <w:r w:rsidR="00E74863" w:rsidRPr="00E1253A">
        <w:rPr>
          <w:color w:val="000000" w:themeColor="text1"/>
        </w:rPr>
        <w:t>interpretations about the nature of corporations. Thus, the dominant paradigm during a given era has wide legal and economic implications to the degree that it enters into judicial realm—and even the public consciousness, to a lesser and slower degree.</w:t>
      </w:r>
    </w:p>
    <w:p w14:paraId="38B7F56F" w14:textId="56C86F27" w:rsidR="00034B8A" w:rsidRPr="00E1253A" w:rsidRDefault="00DA625E" w:rsidP="0012453C">
      <w:pPr>
        <w:spacing w:line="480" w:lineRule="auto"/>
        <w:ind w:firstLine="720"/>
        <w:jc w:val="both"/>
        <w:rPr>
          <w:color w:val="000000" w:themeColor="text1"/>
        </w:rPr>
      </w:pPr>
      <w:r w:rsidRPr="00E1253A">
        <w:rPr>
          <w:color w:val="000000" w:themeColor="text1"/>
        </w:rPr>
        <w:t>The corporate form allows for the representation of social bodies of citizens through the conduit of a reified singular legal construct. The centralized control over the corporation places governing authority over the assets as well as employees in the hands of corporate directors and managers under a board structure. Although necessary for organized activity, the exercise of control and power over individuals invariably infringes upon individual freedom. In the following subsections I will explore the quintessentially political nature of</w:t>
      </w:r>
      <w:r w:rsidR="00E74863" w:rsidRPr="00E1253A">
        <w:rPr>
          <w:color w:val="000000" w:themeColor="text1"/>
        </w:rPr>
        <w:t xml:space="preserve"> the corporation </w:t>
      </w:r>
      <w:r w:rsidRPr="00E1253A">
        <w:rPr>
          <w:color w:val="000000" w:themeColor="text1"/>
        </w:rPr>
        <w:t xml:space="preserve">by revealing </w:t>
      </w:r>
      <w:r w:rsidR="00E74863" w:rsidRPr="00E1253A">
        <w:rPr>
          <w:color w:val="000000" w:themeColor="text1"/>
        </w:rPr>
        <w:t>the impact of sociopolitical trends on the</w:t>
      </w:r>
      <w:r w:rsidRPr="00E1253A">
        <w:rPr>
          <w:color w:val="000000" w:themeColor="text1"/>
        </w:rPr>
        <w:t xml:space="preserve"> </w:t>
      </w:r>
      <w:r w:rsidR="00E74863" w:rsidRPr="00E1253A">
        <w:rPr>
          <w:color w:val="000000" w:themeColor="text1"/>
        </w:rPr>
        <w:t>nature of corporate governance</w:t>
      </w:r>
      <w:r w:rsidR="00BE3976" w:rsidRPr="00E1253A">
        <w:rPr>
          <w:color w:val="000000" w:themeColor="text1"/>
        </w:rPr>
        <w:t>, and the political construction of the economy</w:t>
      </w:r>
      <w:r w:rsidR="00E74863" w:rsidRPr="00E1253A">
        <w:rPr>
          <w:color w:val="000000" w:themeColor="text1"/>
        </w:rPr>
        <w:t xml:space="preserve">. </w:t>
      </w:r>
      <w:r w:rsidRPr="00E1253A">
        <w:rPr>
          <w:color w:val="000000" w:themeColor="text1"/>
        </w:rPr>
        <w:t xml:space="preserve">I will analyze the role of corporate governance in liberal democratic society as an institutional process necessary to ensure individual freedom, autonomy, and agency that cannot be divorced from the socio-political realties of the world. </w:t>
      </w:r>
    </w:p>
    <w:p w14:paraId="781F6C50" w14:textId="77777777" w:rsidR="000D0981" w:rsidRPr="00E1253A" w:rsidRDefault="000D0981" w:rsidP="0012453C">
      <w:pPr>
        <w:spacing w:line="480" w:lineRule="auto"/>
        <w:jc w:val="both"/>
        <w:rPr>
          <w:color w:val="000000" w:themeColor="text1"/>
        </w:rPr>
      </w:pPr>
    </w:p>
    <w:p w14:paraId="688B2D80" w14:textId="49AEB55C" w:rsidR="000D0981" w:rsidRPr="00E1253A" w:rsidRDefault="000D0981" w:rsidP="0012453C">
      <w:pPr>
        <w:pStyle w:val="Heading2"/>
        <w:numPr>
          <w:ilvl w:val="1"/>
          <w:numId w:val="21"/>
        </w:numPr>
        <w:spacing w:line="480" w:lineRule="auto"/>
        <w:contextualSpacing w:val="0"/>
        <w:jc w:val="both"/>
      </w:pPr>
      <w:bookmarkStart w:id="108" w:name="OLE_LINK607"/>
      <w:bookmarkStart w:id="109" w:name="OLE_LINK608"/>
      <w:r w:rsidRPr="00E1253A">
        <w:t>Legitimacy of Corporate Power</w:t>
      </w:r>
    </w:p>
    <w:bookmarkEnd w:id="108"/>
    <w:bookmarkEnd w:id="109"/>
    <w:p w14:paraId="3E5D6BD4" w14:textId="5CC4E31D" w:rsidR="000D0981" w:rsidRPr="00E1253A" w:rsidRDefault="000D0981" w:rsidP="0012453C">
      <w:pPr>
        <w:spacing w:line="480" w:lineRule="auto"/>
        <w:jc w:val="both"/>
        <w:rPr>
          <w:color w:val="000000" w:themeColor="text1"/>
        </w:rPr>
      </w:pPr>
      <w:r w:rsidRPr="00E1253A">
        <w:rPr>
          <w:color w:val="000000" w:themeColor="text1"/>
        </w:rPr>
        <w:t>Legitimacy is “what is needed to justify, in moral terms, the wielding of such enormous, monopolistic power”.</w:t>
      </w:r>
      <w:bookmarkStart w:id="110" w:name="OLE_LINK589"/>
      <w:bookmarkStart w:id="111" w:name="OLE_LINK590"/>
      <w:bookmarkStart w:id="112" w:name="OLE_LINK591"/>
      <w:r w:rsidRPr="00E1253A">
        <w:rPr>
          <w:rStyle w:val="FootnoteReference"/>
          <w:color w:val="000000" w:themeColor="text1"/>
        </w:rPr>
        <w:footnoteReference w:id="38"/>
      </w:r>
      <w:r w:rsidRPr="00E1253A">
        <w:rPr>
          <w:color w:val="000000" w:themeColor="text1"/>
        </w:rPr>
        <w:t xml:space="preserve"> </w:t>
      </w:r>
      <w:bookmarkEnd w:id="110"/>
      <w:bookmarkEnd w:id="111"/>
      <w:bookmarkEnd w:id="112"/>
      <w:r w:rsidRPr="00E1253A">
        <w:rPr>
          <w:color w:val="000000" w:themeColor="text1"/>
        </w:rPr>
        <w:t xml:space="preserve">Although the concept of legitimacy is traditionally associated with the power of government, it may be applied to the context of corporations because power and legitimacy are </w:t>
      </w:r>
      <w:r w:rsidR="00933D1C" w:rsidRPr="00E1253A">
        <w:rPr>
          <w:color w:val="000000" w:themeColor="text1"/>
        </w:rPr>
        <w:t>intrinsically</w:t>
      </w:r>
      <w:r w:rsidRPr="00E1253A">
        <w:rPr>
          <w:color w:val="000000" w:themeColor="text1"/>
        </w:rPr>
        <w:t xml:space="preserve"> linked</w:t>
      </w:r>
      <w:r w:rsidR="00933D1C" w:rsidRPr="00E1253A">
        <w:rPr>
          <w:color w:val="000000" w:themeColor="text1"/>
        </w:rPr>
        <w:t xml:space="preserve"> phenomena in society</w:t>
      </w:r>
      <w:r w:rsidRPr="00E1253A">
        <w:rPr>
          <w:color w:val="000000" w:themeColor="text1"/>
        </w:rPr>
        <w:t>. For instance, governments hold “powers in a unified, monopolistic manner,” and the “monopoly on legislative and police powers… brings with it the potential for its own abuse—[giving] rise to the challenge of legitimacy”.</w:t>
      </w:r>
      <w:bookmarkStart w:id="113" w:name="OLE_LINK749"/>
      <w:bookmarkStart w:id="114" w:name="OLE_LINK750"/>
      <w:r w:rsidRPr="00E1253A">
        <w:rPr>
          <w:rStyle w:val="FootnoteReference"/>
          <w:color w:val="000000" w:themeColor="text1"/>
        </w:rPr>
        <w:footnoteReference w:id="39"/>
      </w:r>
      <w:bookmarkEnd w:id="113"/>
      <w:bookmarkEnd w:id="114"/>
      <w:r w:rsidR="00933D1C" w:rsidRPr="00E1253A">
        <w:rPr>
          <w:color w:val="000000" w:themeColor="text1"/>
        </w:rPr>
        <w:t xml:space="preserve"> </w:t>
      </w:r>
      <w:r w:rsidRPr="00E1253A">
        <w:rPr>
          <w:color w:val="000000" w:themeColor="text1"/>
        </w:rPr>
        <w:t>Cary Congolianse has argued “the existence of power wielded by corporations means that the question of legitimacy can be [validly] applied to the private sector,” as corporate power, or more precisely managerial power, can also be abused.</w:t>
      </w:r>
      <w:r w:rsidR="00933D1C" w:rsidRPr="00E1253A">
        <w:rPr>
          <w:rStyle w:val="FootnoteReference"/>
          <w:color w:val="000000" w:themeColor="text1"/>
        </w:rPr>
        <w:footnoteReference w:id="40"/>
      </w:r>
      <w:r w:rsidR="00933D1C" w:rsidRPr="00E1253A">
        <w:rPr>
          <w:color w:val="000000" w:themeColor="text1"/>
        </w:rPr>
        <w:t xml:space="preserve">  </w:t>
      </w:r>
      <w:r w:rsidRPr="00E1253A">
        <w:rPr>
          <w:color w:val="000000" w:themeColor="text1"/>
        </w:rPr>
        <w:t xml:space="preserve"> Corporations exert enormous power that affects people’s lives in important ways that include direct power over employees, but also business decisions with far-reaching ramifications.  </w:t>
      </w:r>
    </w:p>
    <w:p w14:paraId="41579366" w14:textId="5DFA7F39" w:rsidR="008E041B" w:rsidRPr="00E1253A" w:rsidRDefault="000D0981" w:rsidP="0012453C">
      <w:pPr>
        <w:spacing w:line="480" w:lineRule="auto"/>
        <w:ind w:firstLine="720"/>
        <w:jc w:val="both"/>
        <w:rPr>
          <w:color w:val="000000" w:themeColor="text1"/>
        </w:rPr>
      </w:pPr>
      <w:r w:rsidRPr="00E1253A">
        <w:rPr>
          <w:color w:val="000000" w:themeColor="text1"/>
        </w:rPr>
        <w:t>The centralized control of a corporation provides management with governing authority over corporate employees and assets under the oversight of a board structure. The utility of productive organizations is naturally related to economic performance, and thus managerial authority has traditionally been justified on the basis of performance. Pierre has argued that in democratic capitalist societies the authority to direct and concentrate individual energies into productive enterprises can be viewed as the “entrepreneurial force”</w:t>
      </w:r>
      <w:r w:rsidR="002F2734" w:rsidRPr="00E1253A">
        <w:rPr>
          <w:color w:val="000000" w:themeColor="text1"/>
        </w:rPr>
        <w:t xml:space="preserve"> </w:t>
      </w:r>
      <w:r w:rsidR="00933D1C" w:rsidRPr="00E1253A">
        <w:rPr>
          <w:color w:val="000000" w:themeColor="text1"/>
        </w:rPr>
        <w:t>that drives and sustains</w:t>
      </w:r>
      <w:r w:rsidR="008E041B" w:rsidRPr="00E1253A">
        <w:rPr>
          <w:color w:val="000000" w:themeColor="text1"/>
        </w:rPr>
        <w:t xml:space="preserve"> </w:t>
      </w:r>
      <w:r w:rsidR="002F2734" w:rsidRPr="00E1253A">
        <w:rPr>
          <w:color w:val="000000" w:themeColor="text1"/>
        </w:rPr>
        <w:t>business</w:t>
      </w:r>
      <w:r w:rsidRPr="00E1253A">
        <w:rPr>
          <w:color w:val="000000" w:themeColor="text1"/>
        </w:rPr>
        <w:t xml:space="preserve">. </w:t>
      </w:r>
      <w:r w:rsidR="008E041B" w:rsidRPr="00E1253A">
        <w:rPr>
          <w:color w:val="000000" w:themeColor="text1"/>
        </w:rPr>
        <w:t xml:space="preserve">He argues that the  ‘entrepreneurial spirit’ </w:t>
      </w:r>
      <w:r w:rsidR="00F153AB" w:rsidRPr="00E1253A">
        <w:rPr>
          <w:color w:val="000000" w:themeColor="text1"/>
        </w:rPr>
        <w:t>as</w:t>
      </w:r>
      <w:r w:rsidR="008E041B" w:rsidRPr="00E1253A">
        <w:rPr>
          <w:color w:val="000000" w:themeColor="text1"/>
        </w:rPr>
        <w:t xml:space="preserve"> handed down, as it were, from the creator of the business</w:t>
      </w:r>
      <w:r w:rsidR="00F153AB" w:rsidRPr="00E1253A">
        <w:rPr>
          <w:color w:val="000000" w:themeColor="text1"/>
        </w:rPr>
        <w:t xml:space="preserve">, </w:t>
      </w:r>
      <w:r w:rsidR="008E041B" w:rsidRPr="00E1253A">
        <w:rPr>
          <w:color w:val="000000" w:themeColor="text1"/>
        </w:rPr>
        <w:t>is</w:t>
      </w:r>
      <w:r w:rsidR="00F153AB" w:rsidRPr="00E1253A">
        <w:rPr>
          <w:color w:val="000000" w:themeColor="text1"/>
        </w:rPr>
        <w:t xml:space="preserve"> </w:t>
      </w:r>
      <w:r w:rsidR="008E041B" w:rsidRPr="00E1253A">
        <w:rPr>
          <w:color w:val="000000" w:themeColor="text1"/>
        </w:rPr>
        <w:t>viewed by liberal society as the natural reference for exercising authority over the corporation. However, he states that in “order to understand why the entrepreneur is considered to be the locus of legitimate power in the corporation, [one must] place the question of corporate governance in the context of modern society and its definition of the extent and the limits of acceptable governance</w:t>
      </w:r>
      <w:r w:rsidR="00F153AB" w:rsidRPr="00E1253A">
        <w:rPr>
          <w:color w:val="000000" w:themeColor="text1"/>
        </w:rPr>
        <w:t xml:space="preserve">”. Without this context, </w:t>
      </w:r>
      <w:r w:rsidR="008E041B" w:rsidRPr="00E1253A">
        <w:rPr>
          <w:color w:val="000000" w:themeColor="text1"/>
        </w:rPr>
        <w:t>o</w:t>
      </w:r>
      <w:r w:rsidR="00F153AB" w:rsidRPr="00E1253A">
        <w:rPr>
          <w:color w:val="000000" w:themeColor="text1"/>
        </w:rPr>
        <w:t>ne</w:t>
      </w:r>
      <w:r w:rsidR="008E041B" w:rsidRPr="00E1253A">
        <w:rPr>
          <w:color w:val="000000" w:themeColor="text1"/>
        </w:rPr>
        <w:t xml:space="preserve"> would be unable to discern the socio-political determinants of corporate governance regimes in distinct points in time.</w:t>
      </w:r>
    </w:p>
    <w:p w14:paraId="23F30FD6" w14:textId="65C01948" w:rsidR="000D0981" w:rsidRPr="00E1253A" w:rsidRDefault="000D0981" w:rsidP="0012453C">
      <w:pPr>
        <w:spacing w:line="480" w:lineRule="auto"/>
        <w:ind w:firstLine="720"/>
        <w:jc w:val="both"/>
        <w:rPr>
          <w:color w:val="000000" w:themeColor="text1"/>
        </w:rPr>
      </w:pPr>
      <w:r w:rsidRPr="00E1253A">
        <w:rPr>
          <w:color w:val="000000" w:themeColor="text1"/>
        </w:rPr>
        <w:t xml:space="preserve">Pierre states, the entrepreneurial force is legitimate if it leads to performance, however, notes </w:t>
      </w:r>
      <w:bookmarkStart w:id="115" w:name="OLE_LINK594"/>
      <w:bookmarkStart w:id="116" w:name="OLE_LINK595"/>
      <w:r w:rsidRPr="00E1253A">
        <w:rPr>
          <w:color w:val="000000" w:themeColor="text1"/>
        </w:rPr>
        <w:t xml:space="preserve">“in providing direction to collective activity, the entrepreneurial force invariably </w:t>
      </w:r>
      <w:r w:rsidR="002F2734" w:rsidRPr="00E1253A">
        <w:rPr>
          <w:color w:val="000000" w:themeColor="text1"/>
        </w:rPr>
        <w:t xml:space="preserve">[also] </w:t>
      </w:r>
      <w:r w:rsidRPr="00E1253A">
        <w:rPr>
          <w:color w:val="000000" w:themeColor="text1"/>
        </w:rPr>
        <w:t>impinges upon the autonomy of the individual, either inside the corporation or through the actions of the corporation… [and thus,] contradicts individual freedom, the principle upon which modern liberal society has been built”.</w:t>
      </w:r>
      <w:r w:rsidRPr="00E1253A">
        <w:rPr>
          <w:color w:val="000000" w:themeColor="text1"/>
          <w:vertAlign w:val="superscript"/>
        </w:rPr>
        <w:footnoteReference w:id="41"/>
      </w:r>
      <w:r w:rsidRPr="00E1253A">
        <w:rPr>
          <w:color w:val="000000" w:themeColor="text1"/>
        </w:rPr>
        <w:t xml:space="preserve"> </w:t>
      </w:r>
      <w:bookmarkEnd w:id="115"/>
      <w:bookmarkEnd w:id="116"/>
      <w:r w:rsidRPr="00E1253A">
        <w:rPr>
          <w:color w:val="000000" w:themeColor="text1"/>
        </w:rPr>
        <w:t>He argues, “the institutions, the rules, and the practices of governance that are considered legitimate in modern society are those that prevent power from being concentrated, because the concentration of power bears the seeds of oppression for all”, and thus the “power to govern therefore has to be fragmented to ensure the freedom of the individual”.</w:t>
      </w:r>
      <w:r w:rsidRPr="00E1253A">
        <w:rPr>
          <w:color w:val="000000" w:themeColor="text1"/>
          <w:vertAlign w:val="superscript"/>
        </w:rPr>
        <w:footnoteReference w:id="42"/>
      </w:r>
      <w:r w:rsidRPr="00E1253A">
        <w:rPr>
          <w:color w:val="000000" w:themeColor="text1"/>
        </w:rPr>
        <w:t xml:space="preserve"> </w:t>
      </w:r>
    </w:p>
    <w:p w14:paraId="6D0E5C8C" w14:textId="1C4DC215" w:rsidR="00653D5C" w:rsidRPr="00E1253A" w:rsidRDefault="000D0981" w:rsidP="0012453C">
      <w:pPr>
        <w:spacing w:line="480" w:lineRule="auto"/>
        <w:ind w:firstLine="720"/>
        <w:jc w:val="both"/>
        <w:rPr>
          <w:color w:val="000000" w:themeColor="text1"/>
        </w:rPr>
      </w:pPr>
      <w:r w:rsidRPr="00E1253A">
        <w:rPr>
          <w:color w:val="000000" w:themeColor="text1"/>
        </w:rPr>
        <w:t>In response to the threat to freedom posed by the entrepreneurial force</w:t>
      </w:r>
      <w:bookmarkStart w:id="117" w:name="OLE_LINK580"/>
      <w:bookmarkStart w:id="118" w:name="OLE_LINK581"/>
      <w:r w:rsidRPr="00E1253A">
        <w:rPr>
          <w:color w:val="000000" w:themeColor="text1"/>
        </w:rPr>
        <w:t xml:space="preserve">, </w:t>
      </w:r>
      <w:r w:rsidR="008E041B" w:rsidRPr="00E1253A">
        <w:rPr>
          <w:color w:val="000000" w:themeColor="text1"/>
        </w:rPr>
        <w:t>Pierre</w:t>
      </w:r>
      <w:r w:rsidRPr="00E1253A">
        <w:rPr>
          <w:color w:val="000000" w:themeColor="text1"/>
        </w:rPr>
        <w:t xml:space="preserve"> argues liberal democratic politics naturally developed a second balancing forc</w:t>
      </w:r>
      <w:r w:rsidR="001553EF" w:rsidRPr="00E1253A">
        <w:rPr>
          <w:color w:val="000000" w:themeColor="text1"/>
        </w:rPr>
        <w:t>e</w:t>
      </w:r>
      <w:r w:rsidRPr="00E1253A">
        <w:rPr>
          <w:color w:val="000000" w:themeColor="text1"/>
        </w:rPr>
        <w:t>: social fragmentation.</w:t>
      </w:r>
      <w:r w:rsidR="00080805" w:rsidRPr="00E1253A">
        <w:rPr>
          <w:color w:val="000000" w:themeColor="text1"/>
        </w:rPr>
        <w:t xml:space="preserve"> T</w:t>
      </w:r>
      <w:r w:rsidRPr="00E1253A">
        <w:rPr>
          <w:color w:val="000000" w:themeColor="text1"/>
        </w:rPr>
        <w:t xml:space="preserve">he </w:t>
      </w:r>
      <w:r w:rsidR="00080805" w:rsidRPr="00E1253A">
        <w:rPr>
          <w:color w:val="000000" w:themeColor="text1"/>
        </w:rPr>
        <w:t>“</w:t>
      </w:r>
      <w:r w:rsidRPr="00E1253A">
        <w:rPr>
          <w:color w:val="000000" w:themeColor="text1"/>
        </w:rPr>
        <w:t>tension between the individual and the collective</w:t>
      </w:r>
      <w:r w:rsidR="008E041B" w:rsidRPr="00E1253A">
        <w:rPr>
          <w:color w:val="000000" w:themeColor="text1"/>
        </w:rPr>
        <w:t>”</w:t>
      </w:r>
      <w:r w:rsidRPr="00E1253A">
        <w:rPr>
          <w:color w:val="000000" w:themeColor="text1"/>
        </w:rPr>
        <w:t xml:space="preserve"> can be articulated in terms of </w:t>
      </w:r>
      <w:r w:rsidR="008E041B" w:rsidRPr="00E1253A">
        <w:rPr>
          <w:color w:val="000000" w:themeColor="text1"/>
        </w:rPr>
        <w:t xml:space="preserve">these </w:t>
      </w:r>
      <w:r w:rsidRPr="00E1253A">
        <w:rPr>
          <w:color w:val="000000" w:themeColor="text1"/>
        </w:rPr>
        <w:t xml:space="preserve">two opposing forces: </w:t>
      </w:r>
      <w:r w:rsidR="008E041B" w:rsidRPr="00E1253A">
        <w:rPr>
          <w:color w:val="000000" w:themeColor="text1"/>
        </w:rPr>
        <w:t>“</w:t>
      </w:r>
      <w:r w:rsidRPr="00E1253A">
        <w:rPr>
          <w:color w:val="000000" w:themeColor="text1"/>
        </w:rPr>
        <w:t>that of the entrepreneur, a force essential to the process of directing, canalizing, and organizing the energies of individuals in modern society, and that of social fragmentation, a force that, over time, tends to divide interests, balance those of some against those of others, and introduce an ever greater number of actors to the exercise of authority and/or control”.</w:t>
      </w:r>
      <w:r w:rsidRPr="00E1253A">
        <w:rPr>
          <w:color w:val="000000" w:themeColor="text1"/>
          <w:vertAlign w:val="superscript"/>
        </w:rPr>
        <w:footnoteReference w:id="43"/>
      </w:r>
      <w:r w:rsidRPr="00E1253A">
        <w:rPr>
          <w:color w:val="000000" w:themeColor="text1"/>
        </w:rPr>
        <w:t xml:space="preserve"> While the entrepreneurial power tends to prevent the dispersion of energies, social fragmentation tends to prevent their concentration because “too much entrepreneurial force can be highly performing, but also oppressive; [while] too much fragmentation ensures individual freedom, but also reduces efficiency”.</w:t>
      </w:r>
      <w:r w:rsidRPr="00E1253A">
        <w:rPr>
          <w:color w:val="000000" w:themeColor="text1"/>
          <w:vertAlign w:val="superscript"/>
        </w:rPr>
        <w:footnoteReference w:id="44"/>
      </w:r>
      <w:r w:rsidRPr="00E1253A">
        <w:rPr>
          <w:color w:val="000000" w:themeColor="text1"/>
        </w:rPr>
        <w:t xml:space="preserve"> From </w:t>
      </w:r>
      <w:r w:rsidR="009777F9" w:rsidRPr="00E1253A">
        <w:rPr>
          <w:color w:val="000000" w:themeColor="text1"/>
        </w:rPr>
        <w:t>an</w:t>
      </w:r>
      <w:r w:rsidRPr="00E1253A">
        <w:rPr>
          <w:color w:val="000000" w:themeColor="text1"/>
        </w:rPr>
        <w:t xml:space="preserve"> equilibrium between entrepreneurial force and social fragmentation, Pierre argues that corporate governance that is both legitimate and performing ultimately emerge</w:t>
      </w:r>
      <w:r w:rsidR="009777F9" w:rsidRPr="00E1253A">
        <w:rPr>
          <w:color w:val="000000" w:themeColor="text1"/>
        </w:rPr>
        <w:t>s. The balance of forces between these pressures is useful for understanding the nature and evolution of corporate governance.</w:t>
      </w:r>
      <w:r w:rsidRPr="00E1253A">
        <w:rPr>
          <w:color w:val="000000" w:themeColor="text1"/>
        </w:rPr>
        <w:t xml:space="preserve"> He claims the “two defining features of capitalism—the function of the entrepreneur and the system of governance—are thus shown to be linked by the same question: how to direct the productive action of people who want to stay autonomous and free</w:t>
      </w:r>
      <w:bookmarkStart w:id="119" w:name="OLE_LINK678"/>
      <w:bookmarkStart w:id="120" w:name="OLE_LINK679"/>
      <w:r w:rsidRPr="00E1253A">
        <w:rPr>
          <w:color w:val="000000" w:themeColor="text1"/>
        </w:rPr>
        <w:t>”.</w:t>
      </w:r>
      <w:bookmarkStart w:id="121" w:name="OLE_LINK680"/>
      <w:bookmarkStart w:id="122" w:name="OLE_LINK681"/>
      <w:r w:rsidRPr="00E1253A">
        <w:rPr>
          <w:color w:val="000000" w:themeColor="text1"/>
          <w:vertAlign w:val="superscript"/>
        </w:rPr>
        <w:footnoteReference w:id="45"/>
      </w:r>
      <w:r w:rsidR="009777F9" w:rsidRPr="00E1253A">
        <w:rPr>
          <w:color w:val="000000" w:themeColor="text1"/>
        </w:rPr>
        <w:t xml:space="preserve"> </w:t>
      </w:r>
      <w:bookmarkEnd w:id="119"/>
      <w:bookmarkEnd w:id="120"/>
      <w:bookmarkEnd w:id="121"/>
      <w:bookmarkEnd w:id="122"/>
    </w:p>
    <w:p w14:paraId="2B0DCC3C" w14:textId="728D07A4" w:rsidR="000D0981" w:rsidRPr="00E1253A" w:rsidRDefault="00653D5C" w:rsidP="00204682">
      <w:pPr>
        <w:spacing w:line="480" w:lineRule="auto"/>
        <w:ind w:firstLine="720"/>
        <w:jc w:val="both"/>
        <w:rPr>
          <w:color w:val="000000" w:themeColor="text1"/>
        </w:rPr>
      </w:pPr>
      <w:r w:rsidRPr="00E1253A">
        <w:rPr>
          <w:color w:val="000000" w:themeColor="text1"/>
        </w:rPr>
        <w:t>Legitimacy in government, on the other hand, is usually conceptualized in two main ways: procedural and substantive legitimacy. Procedural legitimacy is “defined in terms of democratic accountability, with elections being the principal defining characteristic, and also in terms of institutional arrangements like separation of powers, transparency, and rule of law principles intended to combat abuses of power”.</w:t>
      </w:r>
      <w:bookmarkStart w:id="123" w:name="OLE_LINK637"/>
      <w:bookmarkStart w:id="124" w:name="OLE_LINK638"/>
      <w:bookmarkStart w:id="125" w:name="OLE_LINK640"/>
      <w:bookmarkStart w:id="126" w:name="OLE_LINK641"/>
      <w:r w:rsidR="006F0F2B" w:rsidRPr="00E1253A">
        <w:rPr>
          <w:color w:val="000000" w:themeColor="text1"/>
          <w:vertAlign w:val="superscript"/>
        </w:rPr>
        <w:footnoteReference w:id="46"/>
      </w:r>
      <w:bookmarkEnd w:id="123"/>
      <w:bookmarkEnd w:id="124"/>
      <w:bookmarkEnd w:id="125"/>
      <w:bookmarkEnd w:id="126"/>
      <w:r w:rsidRPr="00E1253A">
        <w:rPr>
          <w:color w:val="000000" w:themeColor="text1"/>
        </w:rPr>
        <w:t xml:space="preserve"> Substantive legitimacy, in contrast, is usually “defined in terms of rights, typically rights enshrined within a constitution that makes certain actions off limits even to an otherwise procedurally legitimate legislature</w:t>
      </w:r>
      <w:r w:rsidR="006F0F2B" w:rsidRPr="00E1253A">
        <w:rPr>
          <w:color w:val="000000" w:themeColor="text1"/>
        </w:rPr>
        <w:t>”.</w:t>
      </w:r>
      <w:r w:rsidR="006F0F2B" w:rsidRPr="00E1253A">
        <w:rPr>
          <w:color w:val="000000" w:themeColor="text1"/>
          <w:vertAlign w:val="superscript"/>
        </w:rPr>
        <w:footnoteReference w:id="47"/>
      </w:r>
      <w:r w:rsidR="006F0F2B" w:rsidRPr="00E1253A">
        <w:rPr>
          <w:color w:val="000000" w:themeColor="text1"/>
        </w:rPr>
        <w:t xml:space="preserve"> </w:t>
      </w:r>
      <w:r w:rsidRPr="00E1253A">
        <w:rPr>
          <w:color w:val="000000" w:themeColor="text1"/>
        </w:rPr>
        <w:t xml:space="preserve"> </w:t>
      </w:r>
      <w:r w:rsidR="006F0F2B" w:rsidRPr="00E1253A">
        <w:rPr>
          <w:color w:val="000000" w:themeColor="text1"/>
        </w:rPr>
        <w:t>Congolese has interestingly found that there is in fact a clear parallel between corporate and government legitimacy.</w:t>
      </w:r>
      <w:r w:rsidR="006F0F2B" w:rsidRPr="00E1253A">
        <w:rPr>
          <w:b/>
          <w:bCs/>
          <w:color w:val="000000" w:themeColor="text1"/>
        </w:rPr>
        <w:t xml:space="preserve"> </w:t>
      </w:r>
      <w:r w:rsidR="006F0F2B" w:rsidRPr="00E1253A">
        <w:rPr>
          <w:color w:val="000000" w:themeColor="text1"/>
        </w:rPr>
        <w:t>She states that “c</w:t>
      </w:r>
      <w:r w:rsidRPr="00E1253A">
        <w:rPr>
          <w:color w:val="000000" w:themeColor="text1"/>
        </w:rPr>
        <w:t>orporate governance, the assignment of separate powers to management, shareholders, and boards of directors, the procedures for selecting and removing members of boards of directors, and so forth</w:t>
      </w:r>
      <w:r w:rsidR="006F0F2B" w:rsidRPr="00E1253A">
        <w:rPr>
          <w:color w:val="000000" w:themeColor="text1"/>
        </w:rPr>
        <w:t>” is akin to the processes of procedural legitimacy in democratic politics.</w:t>
      </w:r>
      <w:bookmarkStart w:id="127" w:name="OLE_LINK642"/>
      <w:bookmarkStart w:id="128" w:name="OLE_LINK643"/>
      <w:r w:rsidR="006F0F2B" w:rsidRPr="00E1253A">
        <w:rPr>
          <w:color w:val="000000" w:themeColor="text1"/>
          <w:vertAlign w:val="superscript"/>
        </w:rPr>
        <w:footnoteReference w:id="48"/>
      </w:r>
      <w:r w:rsidR="006F0F2B" w:rsidRPr="00E1253A">
        <w:rPr>
          <w:color w:val="000000" w:themeColor="text1"/>
        </w:rPr>
        <w:t xml:space="preserve"> </w:t>
      </w:r>
      <w:bookmarkEnd w:id="127"/>
      <w:bookmarkEnd w:id="128"/>
      <w:r w:rsidR="006F0F2B" w:rsidRPr="00E1253A">
        <w:rPr>
          <w:color w:val="000000" w:themeColor="text1"/>
        </w:rPr>
        <w:t xml:space="preserve">Likewise, she argues substantive legitimacy parallels corporate regulation that is </w:t>
      </w:r>
      <w:r w:rsidRPr="00E1253A">
        <w:rPr>
          <w:color w:val="000000" w:themeColor="text1"/>
        </w:rPr>
        <w:t>imposed by governmen</w:t>
      </w:r>
      <w:r w:rsidR="006F0F2B" w:rsidRPr="00E1253A">
        <w:rPr>
          <w:color w:val="000000" w:themeColor="text1"/>
        </w:rPr>
        <w:t>t which can find,</w:t>
      </w:r>
      <w:r w:rsidRPr="00E1253A">
        <w:rPr>
          <w:color w:val="000000" w:themeColor="text1"/>
        </w:rPr>
        <w:t xml:space="preserve"> </w:t>
      </w:r>
      <w:r w:rsidR="006F0F2B" w:rsidRPr="00E1253A">
        <w:rPr>
          <w:color w:val="000000" w:themeColor="text1"/>
        </w:rPr>
        <w:t>“</w:t>
      </w:r>
      <w:r w:rsidRPr="00E1253A">
        <w:rPr>
          <w:color w:val="000000" w:themeColor="text1"/>
        </w:rPr>
        <w:t>even properly constituted corporations with fully functioning boards of directors (a test of procedural legitimacy) cannot take actions that will pollute the environment, treat their workers badly, or take money from investors</w:t>
      </w:r>
      <w:r w:rsidR="006F0F2B" w:rsidRPr="00E1253A">
        <w:rPr>
          <w:color w:val="000000" w:themeColor="text1"/>
        </w:rPr>
        <w:t>..</w:t>
      </w:r>
      <w:r w:rsidRPr="00E1253A">
        <w:rPr>
          <w:color w:val="000000" w:themeColor="text1"/>
        </w:rPr>
        <w:t>.</w:t>
      </w:r>
      <w:r w:rsidR="006F0F2B" w:rsidRPr="00E1253A">
        <w:rPr>
          <w:color w:val="000000" w:themeColor="text1"/>
        </w:rPr>
        <w:t xml:space="preserve"> [using]</w:t>
      </w:r>
      <w:r w:rsidRPr="00E1253A">
        <w:rPr>
          <w:color w:val="000000" w:themeColor="text1"/>
        </w:rPr>
        <w:t xml:space="preserve"> </w:t>
      </w:r>
      <w:r w:rsidR="006F0F2B" w:rsidRPr="00E1253A">
        <w:rPr>
          <w:color w:val="000000" w:themeColor="text1"/>
        </w:rPr>
        <w:t>r</w:t>
      </w:r>
      <w:r w:rsidRPr="00E1253A">
        <w:rPr>
          <w:color w:val="000000" w:themeColor="text1"/>
        </w:rPr>
        <w:t xml:space="preserve">egulation </w:t>
      </w:r>
      <w:r w:rsidR="006F0F2B" w:rsidRPr="00E1253A">
        <w:rPr>
          <w:color w:val="000000" w:themeColor="text1"/>
        </w:rPr>
        <w:t>[to place]</w:t>
      </w:r>
      <w:r w:rsidRPr="00E1253A">
        <w:rPr>
          <w:color w:val="000000" w:themeColor="text1"/>
        </w:rPr>
        <w:t xml:space="preserve"> side constraints on corporate managers in a way conceptually parallel to the side constraints that constitutions place on legislatures</w:t>
      </w:r>
      <w:r w:rsidR="006F0F2B" w:rsidRPr="00E1253A">
        <w:rPr>
          <w:color w:val="000000" w:themeColor="text1"/>
        </w:rPr>
        <w:t>”</w:t>
      </w:r>
      <w:r w:rsidRPr="00E1253A">
        <w:rPr>
          <w:color w:val="000000" w:themeColor="text1"/>
        </w:rPr>
        <w:t>.</w:t>
      </w:r>
      <w:bookmarkStart w:id="129" w:name="OLE_LINK646"/>
      <w:bookmarkStart w:id="130" w:name="OLE_LINK647"/>
      <w:r w:rsidR="006F0F2B" w:rsidRPr="00E1253A">
        <w:rPr>
          <w:color w:val="000000" w:themeColor="text1"/>
          <w:vertAlign w:val="superscript"/>
        </w:rPr>
        <w:footnoteReference w:id="49"/>
      </w:r>
      <w:r w:rsidR="006F0F2B" w:rsidRPr="00E1253A">
        <w:rPr>
          <w:color w:val="000000" w:themeColor="text1"/>
        </w:rPr>
        <w:t xml:space="preserve"> </w:t>
      </w:r>
      <w:bookmarkEnd w:id="129"/>
      <w:bookmarkEnd w:id="130"/>
      <w:r w:rsidR="006F0F2B" w:rsidRPr="00E1253A">
        <w:rPr>
          <w:color w:val="000000" w:themeColor="text1"/>
        </w:rPr>
        <w:t xml:space="preserve">Moreover, a number of developments over recent years in terms of promoting transparency, the separation of powers, voting power, and codes of ethics have </w:t>
      </w:r>
      <w:r w:rsidR="00A46566" w:rsidRPr="00E1253A">
        <w:rPr>
          <w:color w:val="000000" w:themeColor="text1"/>
        </w:rPr>
        <w:t xml:space="preserve">been increasingly applied to the corporate realm. </w:t>
      </w:r>
      <w:r w:rsidRPr="00E1253A">
        <w:rPr>
          <w:color w:val="000000" w:themeColor="text1"/>
        </w:rPr>
        <w:t xml:space="preserve"> </w:t>
      </w:r>
    </w:p>
    <w:p w14:paraId="19F8AE9E" w14:textId="4C910581" w:rsidR="00810A51" w:rsidRPr="00E1253A" w:rsidRDefault="00204682" w:rsidP="0012453C">
      <w:pPr>
        <w:spacing w:line="480" w:lineRule="auto"/>
        <w:ind w:firstLine="720"/>
        <w:jc w:val="both"/>
        <w:rPr>
          <w:color w:val="000000" w:themeColor="text1"/>
        </w:rPr>
      </w:pPr>
      <w:r w:rsidRPr="00E1253A">
        <w:rPr>
          <w:color w:val="000000" w:themeColor="text1"/>
        </w:rPr>
        <w:t>Neoclassical economic theory</w:t>
      </w:r>
      <w:r w:rsidR="009777F9" w:rsidRPr="00E1253A">
        <w:rPr>
          <w:color w:val="000000" w:themeColor="text1"/>
        </w:rPr>
        <w:t xml:space="preserve"> </w:t>
      </w:r>
      <w:r w:rsidR="000D0981" w:rsidRPr="00E1253A">
        <w:rPr>
          <w:color w:val="000000" w:themeColor="text1"/>
        </w:rPr>
        <w:t xml:space="preserve">assumes corporate governance converges </w:t>
      </w:r>
      <w:r w:rsidR="009777F9" w:rsidRPr="00E1253A">
        <w:rPr>
          <w:color w:val="000000" w:themeColor="text1"/>
        </w:rPr>
        <w:t>toward an optimal free market regime</w:t>
      </w:r>
      <w:r w:rsidR="000D0981" w:rsidRPr="00E1253A">
        <w:rPr>
          <w:color w:val="000000" w:themeColor="text1"/>
        </w:rPr>
        <w:t xml:space="preserve"> that minimizes agency costs and maximizes economic performance. However, </w:t>
      </w:r>
      <w:r w:rsidR="009777F9" w:rsidRPr="00E1253A">
        <w:rPr>
          <w:color w:val="000000" w:themeColor="text1"/>
        </w:rPr>
        <w:t xml:space="preserve">in reality the </w:t>
      </w:r>
      <w:r w:rsidR="000D0981" w:rsidRPr="00E1253A">
        <w:rPr>
          <w:color w:val="000000" w:themeColor="text1"/>
        </w:rPr>
        <w:t xml:space="preserve">dynamic </w:t>
      </w:r>
      <w:r w:rsidR="003A63A6" w:rsidRPr="00E1253A">
        <w:rPr>
          <w:color w:val="000000" w:themeColor="text1"/>
        </w:rPr>
        <w:t>nature</w:t>
      </w:r>
      <w:r w:rsidR="000D0981" w:rsidRPr="00E1253A">
        <w:rPr>
          <w:color w:val="000000" w:themeColor="text1"/>
        </w:rPr>
        <w:t xml:space="preserve"> of governance as an iterative process implies as many potential models of governance exist as there are “equilibria between the performance demanded by the entrepreneurial force and the legitimacy assured by social fragmentation”.</w:t>
      </w:r>
      <w:r w:rsidR="000D0981" w:rsidRPr="00E1253A">
        <w:rPr>
          <w:color w:val="000000" w:themeColor="text1"/>
          <w:vertAlign w:val="superscript"/>
        </w:rPr>
        <w:footnoteReference w:id="50"/>
      </w:r>
      <w:r w:rsidR="000D0981" w:rsidRPr="00E1253A">
        <w:rPr>
          <w:color w:val="000000" w:themeColor="text1"/>
        </w:rPr>
        <w:t xml:space="preserve"> When considering the development of myriad and often differing corporate governance regimes across the world, it is important to note that there does not appear to be a converge</w:t>
      </w:r>
      <w:r w:rsidR="003A63A6" w:rsidRPr="00E1253A">
        <w:rPr>
          <w:color w:val="000000" w:themeColor="text1"/>
        </w:rPr>
        <w:t>nce</w:t>
      </w:r>
      <w:r w:rsidR="000D0981" w:rsidRPr="00E1253A">
        <w:rPr>
          <w:color w:val="000000" w:themeColor="text1"/>
        </w:rPr>
        <w:t xml:space="preserve"> toward the same rules and institutions across all societies independent of their socio-political context. </w:t>
      </w:r>
      <w:r w:rsidR="00653D5C" w:rsidRPr="00E1253A">
        <w:rPr>
          <w:color w:val="000000" w:themeColor="text1"/>
        </w:rPr>
        <w:t xml:space="preserve">It has been frequently argued that the neoclassical paradigm, </w:t>
      </w:r>
      <w:r w:rsidR="0076693C" w:rsidRPr="00E1253A">
        <w:rPr>
          <w:color w:val="000000" w:themeColor="text1"/>
        </w:rPr>
        <w:t>reﬂect</w:t>
      </w:r>
      <w:r w:rsidR="00653D5C" w:rsidRPr="00E1253A">
        <w:rPr>
          <w:color w:val="000000" w:themeColor="text1"/>
        </w:rPr>
        <w:t>s “</w:t>
      </w:r>
      <w:r w:rsidR="0076693C" w:rsidRPr="00E1253A">
        <w:rPr>
          <w:color w:val="000000" w:themeColor="text1"/>
        </w:rPr>
        <w:t>an inherent functionalism grounded in the scientiﬁc pretensions of the “law and economics” movement, a tendency contributing to a convergence bias – an expectation that rational actors grappling with the same (or substantially similar) problems in different countries will eventually converge on the optimal regulatory response</w:t>
      </w:r>
      <w:r w:rsidR="00653D5C" w:rsidRPr="00E1253A">
        <w:rPr>
          <w:color w:val="000000" w:themeColor="text1"/>
        </w:rPr>
        <w:t>”.</w:t>
      </w:r>
      <w:bookmarkStart w:id="131" w:name="OLE_LINK289"/>
      <w:bookmarkStart w:id="132" w:name="OLE_LINK290"/>
      <w:r w:rsidR="00A46566" w:rsidRPr="00E1253A">
        <w:rPr>
          <w:color w:val="000000" w:themeColor="text1"/>
          <w:vertAlign w:val="superscript"/>
        </w:rPr>
        <w:footnoteReference w:id="51"/>
      </w:r>
      <w:r w:rsidR="00A46566" w:rsidRPr="00E1253A">
        <w:rPr>
          <w:color w:val="000000" w:themeColor="text1"/>
        </w:rPr>
        <w:t xml:space="preserve"> </w:t>
      </w:r>
      <w:bookmarkEnd w:id="131"/>
      <w:bookmarkEnd w:id="132"/>
      <w:r w:rsidR="00653D5C" w:rsidRPr="00E1253A">
        <w:rPr>
          <w:color w:val="000000" w:themeColor="text1"/>
        </w:rPr>
        <w:t xml:space="preserve">Bruner specifically investigated governance regimes across developed common law nations with a </w:t>
      </w:r>
      <w:r w:rsidR="00A46566" w:rsidRPr="00E1253A">
        <w:rPr>
          <w:color w:val="000000" w:themeColor="text1"/>
        </w:rPr>
        <w:t>long view</w:t>
      </w:r>
      <w:r w:rsidR="00653D5C" w:rsidRPr="00E1253A">
        <w:rPr>
          <w:color w:val="000000" w:themeColor="text1"/>
        </w:rPr>
        <w:t xml:space="preserve"> to understand the possibility of objective economic criteria driving regulatory isomorphism. He ultimately concluded that this theory, “</w:t>
      </w:r>
      <w:r w:rsidR="0076693C" w:rsidRPr="00E1253A">
        <w:rPr>
          <w:color w:val="000000" w:themeColor="text1"/>
        </w:rPr>
        <w:t>is contradicted by enduring differences in levels of shareholder orientation across common-law jurisdictions, and particularly by the fact that the corporate governance system of the United States – the world’s predominant capital market – has remained a consistent outlier in this respect for several decades</w:t>
      </w:r>
      <w:r w:rsidR="00653D5C" w:rsidRPr="00E1253A">
        <w:rPr>
          <w:color w:val="000000" w:themeColor="text1"/>
        </w:rPr>
        <w:t>”.</w:t>
      </w:r>
      <w:bookmarkStart w:id="133" w:name="OLE_LINK756"/>
      <w:bookmarkStart w:id="134" w:name="OLE_LINK757"/>
      <w:r w:rsidR="00A46566" w:rsidRPr="00E1253A">
        <w:rPr>
          <w:color w:val="000000" w:themeColor="text1"/>
          <w:vertAlign w:val="superscript"/>
        </w:rPr>
        <w:footnoteReference w:id="52"/>
      </w:r>
      <w:r w:rsidR="00A46566" w:rsidRPr="00E1253A">
        <w:rPr>
          <w:color w:val="000000" w:themeColor="text1"/>
        </w:rPr>
        <w:t xml:space="preserve"> </w:t>
      </w:r>
      <w:bookmarkEnd w:id="133"/>
      <w:bookmarkEnd w:id="134"/>
    </w:p>
    <w:p w14:paraId="638A98E4" w14:textId="12B2364C" w:rsidR="000747D1" w:rsidRPr="00E1253A" w:rsidRDefault="003A63A6" w:rsidP="0012453C">
      <w:pPr>
        <w:spacing w:line="480" w:lineRule="auto"/>
        <w:ind w:firstLine="720"/>
        <w:jc w:val="both"/>
        <w:rPr>
          <w:color w:val="000000" w:themeColor="text1"/>
        </w:rPr>
      </w:pPr>
      <w:r w:rsidRPr="00E1253A">
        <w:rPr>
          <w:color w:val="000000" w:themeColor="text1"/>
        </w:rPr>
        <w:t xml:space="preserve">Perhaps most interesting is </w:t>
      </w:r>
      <w:r w:rsidR="00341BB0" w:rsidRPr="00E1253A">
        <w:rPr>
          <w:color w:val="000000" w:themeColor="text1"/>
        </w:rPr>
        <w:t>Bruner’s</w:t>
      </w:r>
      <w:r w:rsidRPr="00E1253A">
        <w:rPr>
          <w:color w:val="000000" w:themeColor="text1"/>
        </w:rPr>
        <w:t xml:space="preserve"> finding that U.S. corporate law “has long remained ambivalent regarding the degree to which shareholders’ interests proxy for the larger public interest, adhering to an ambiguous formulation of ﬁduciary duties owed simultaneously to ‘the corporation and its stockholders,’ and giving boards substantial discretion to favor the interests of other stakeholders in responding to hostile takeover attempts”.</w:t>
      </w:r>
      <w:bookmarkStart w:id="135" w:name="OLE_LINK446"/>
      <w:bookmarkStart w:id="136" w:name="OLE_LINK447"/>
      <w:r w:rsidR="000747D1" w:rsidRPr="00E1253A">
        <w:rPr>
          <w:color w:val="000000" w:themeColor="text1"/>
          <w:vertAlign w:val="superscript"/>
        </w:rPr>
        <w:footnoteReference w:id="53"/>
      </w:r>
      <w:r w:rsidR="000747D1" w:rsidRPr="00E1253A">
        <w:rPr>
          <w:color w:val="000000" w:themeColor="text1"/>
        </w:rPr>
        <w:t xml:space="preserve"> </w:t>
      </w:r>
      <w:bookmarkEnd w:id="135"/>
      <w:bookmarkEnd w:id="136"/>
      <w:r w:rsidRPr="00E1253A">
        <w:rPr>
          <w:color w:val="000000" w:themeColor="text1"/>
        </w:rPr>
        <w:t xml:space="preserve"> </w:t>
      </w:r>
      <w:r w:rsidR="000747D1" w:rsidRPr="00E1253A">
        <w:rPr>
          <w:color w:val="000000" w:themeColor="text1"/>
        </w:rPr>
        <w:t>He notes that a</w:t>
      </w:r>
      <w:r w:rsidRPr="00E1253A">
        <w:rPr>
          <w:color w:val="000000" w:themeColor="text1"/>
        </w:rPr>
        <w:t xml:space="preserve">lthough </w:t>
      </w:r>
      <w:r w:rsidR="000747D1" w:rsidRPr="00E1253A">
        <w:rPr>
          <w:color w:val="000000" w:themeColor="text1"/>
        </w:rPr>
        <w:t>American</w:t>
      </w:r>
      <w:r w:rsidRPr="00E1253A">
        <w:rPr>
          <w:color w:val="000000" w:themeColor="text1"/>
        </w:rPr>
        <w:t xml:space="preserve"> shareholders </w:t>
      </w:r>
      <w:r w:rsidR="000747D1" w:rsidRPr="00E1253A">
        <w:rPr>
          <w:color w:val="000000" w:themeColor="text1"/>
        </w:rPr>
        <w:t>“</w:t>
      </w:r>
      <w:r w:rsidRPr="00E1253A">
        <w:rPr>
          <w:color w:val="000000" w:themeColor="text1"/>
        </w:rPr>
        <w:t>undoubtedly possess far greater capacity to sue after the fact for breaches of ﬁduciary duty, the considerable corporate governance authority possessed by shareholders in Australia, Canada, and the United Kingdom permits more direct and substantial shareholder inﬂuence over corporate affairs than one ﬁnds in the United States</w:t>
      </w:r>
      <w:r w:rsidR="000747D1" w:rsidRPr="00E1253A">
        <w:rPr>
          <w:color w:val="000000" w:themeColor="text1"/>
        </w:rPr>
        <w:t>”</w:t>
      </w:r>
      <w:r w:rsidR="00341BB0" w:rsidRPr="00E1253A">
        <w:rPr>
          <w:color w:val="000000" w:themeColor="text1"/>
        </w:rPr>
        <w:t xml:space="preserve"> despite the normative associations of shareholder primacy and greed in American society</w:t>
      </w:r>
      <w:r w:rsidR="000747D1" w:rsidRPr="00E1253A">
        <w:rPr>
          <w:color w:val="000000" w:themeColor="text1"/>
        </w:rPr>
        <w:t>.</w:t>
      </w:r>
      <w:bookmarkStart w:id="137" w:name="OLE_LINK758"/>
      <w:bookmarkStart w:id="138" w:name="OLE_LINK759"/>
      <w:r w:rsidR="000747D1" w:rsidRPr="00E1253A">
        <w:rPr>
          <w:color w:val="000000" w:themeColor="text1"/>
          <w:vertAlign w:val="superscript"/>
        </w:rPr>
        <w:footnoteReference w:id="54"/>
      </w:r>
      <w:r w:rsidR="000747D1" w:rsidRPr="00E1253A">
        <w:rPr>
          <w:color w:val="000000" w:themeColor="text1"/>
        </w:rPr>
        <w:t xml:space="preserve"> </w:t>
      </w:r>
      <w:bookmarkEnd w:id="137"/>
      <w:bookmarkEnd w:id="138"/>
      <w:r w:rsidR="000747D1" w:rsidRPr="00E1253A">
        <w:rPr>
          <w:color w:val="000000" w:themeColor="text1"/>
        </w:rPr>
        <w:t xml:space="preserve">  </w:t>
      </w:r>
    </w:p>
    <w:p w14:paraId="746A1B39" w14:textId="06E6565F" w:rsidR="000747D1" w:rsidRPr="00E1253A" w:rsidRDefault="00810A51" w:rsidP="0012453C">
      <w:pPr>
        <w:spacing w:line="480" w:lineRule="auto"/>
        <w:ind w:firstLine="720"/>
        <w:jc w:val="both"/>
        <w:rPr>
          <w:color w:val="000000" w:themeColor="text1"/>
        </w:rPr>
      </w:pPr>
      <w:r w:rsidRPr="00E1253A">
        <w:rPr>
          <w:color w:val="000000" w:themeColor="text1"/>
        </w:rPr>
        <w:t xml:space="preserve">Even more interesting is Bruner’s conclusions behind these perplexing differences. He argues that the varied “approaches </w:t>
      </w:r>
      <w:r w:rsidR="000747D1" w:rsidRPr="00E1253A">
        <w:rPr>
          <w:color w:val="000000" w:themeColor="text1"/>
        </w:rPr>
        <w:t xml:space="preserve">to social welfare policy embraced by the common-law jurisdictions in question, presenting evidence that the degree of shareholder orientation exhibited by the corporate governance system, on the one hand, and the degree of external </w:t>
      </w:r>
      <w:r w:rsidRPr="00E1253A">
        <w:rPr>
          <w:color w:val="000000" w:themeColor="text1"/>
        </w:rPr>
        <w:t>‘</w:t>
      </w:r>
      <w:r w:rsidR="000747D1" w:rsidRPr="00E1253A">
        <w:rPr>
          <w:color w:val="000000" w:themeColor="text1"/>
        </w:rPr>
        <w:t>welfare state</w:t>
      </w:r>
      <w:r w:rsidRPr="00E1253A">
        <w:rPr>
          <w:color w:val="000000" w:themeColor="text1"/>
        </w:rPr>
        <w:t xml:space="preserve">’ </w:t>
      </w:r>
      <w:r w:rsidR="000747D1" w:rsidRPr="00E1253A">
        <w:rPr>
          <w:color w:val="000000" w:themeColor="text1"/>
        </w:rPr>
        <w:t>protections, on the other, reﬂect a single, broader political equilibrium within each country</w:t>
      </w:r>
      <w:r w:rsidRPr="00E1253A">
        <w:rPr>
          <w:color w:val="000000" w:themeColor="text1"/>
        </w:rPr>
        <w:t>”</w:t>
      </w:r>
      <w:r w:rsidR="000747D1" w:rsidRPr="00E1253A">
        <w:rPr>
          <w:color w:val="000000" w:themeColor="text1"/>
        </w:rPr>
        <w:t>.</w:t>
      </w:r>
      <w:r w:rsidRPr="00E1253A">
        <w:rPr>
          <w:color w:val="000000" w:themeColor="text1"/>
          <w:vertAlign w:val="superscript"/>
        </w:rPr>
        <w:footnoteReference w:id="55"/>
      </w:r>
      <w:r w:rsidRPr="00E1253A">
        <w:rPr>
          <w:color w:val="000000" w:themeColor="text1"/>
        </w:rPr>
        <w:t xml:space="preserve"> </w:t>
      </w:r>
      <w:r w:rsidR="000747D1" w:rsidRPr="00E1253A">
        <w:rPr>
          <w:color w:val="000000" w:themeColor="text1"/>
        </w:rPr>
        <w:t xml:space="preserve"> </w:t>
      </w:r>
    </w:p>
    <w:p w14:paraId="78CD955F" w14:textId="77777777" w:rsidR="00FF28E5" w:rsidRPr="00E1253A" w:rsidRDefault="00810A51" w:rsidP="0012453C">
      <w:pPr>
        <w:spacing w:line="480" w:lineRule="auto"/>
        <w:jc w:val="both"/>
        <w:rPr>
          <w:color w:val="000000" w:themeColor="text1"/>
        </w:rPr>
      </w:pPr>
      <w:r w:rsidRPr="00E1253A">
        <w:rPr>
          <w:color w:val="000000" w:themeColor="text1"/>
        </w:rPr>
        <w:t>He argues that these structures have been shown to historically impact the trajectory of each and every country’s corporate governance systems in profound ways.</w:t>
      </w:r>
      <w:r w:rsidRPr="00E1253A">
        <w:rPr>
          <w:color w:val="000000" w:themeColor="text1"/>
          <w:vertAlign w:val="superscript"/>
        </w:rPr>
        <w:footnoteReference w:id="56"/>
      </w:r>
      <w:r w:rsidRPr="00E1253A">
        <w:rPr>
          <w:color w:val="000000" w:themeColor="text1"/>
        </w:rPr>
        <w:t xml:space="preserve"> </w:t>
      </w:r>
      <w:r w:rsidR="00036675" w:rsidRPr="00E1253A">
        <w:rPr>
          <w:color w:val="000000" w:themeColor="text1"/>
        </w:rPr>
        <w:t>For instance, in the United States</w:t>
      </w:r>
      <w:r w:rsidR="000747D1" w:rsidRPr="00E1253A">
        <w:rPr>
          <w:color w:val="000000" w:themeColor="text1"/>
        </w:rPr>
        <w:t xml:space="preserve">, social welfare protections – notably including access to health care – have historically been linked to employment status, </w:t>
      </w:r>
      <w:r w:rsidR="00036675" w:rsidRPr="00E1253A">
        <w:rPr>
          <w:color w:val="000000" w:themeColor="text1"/>
        </w:rPr>
        <w:t>“</w:t>
      </w:r>
      <w:r w:rsidR="000747D1" w:rsidRPr="00E1253A">
        <w:rPr>
          <w:color w:val="000000" w:themeColor="text1"/>
        </w:rPr>
        <w:t>whereas the British welfare state has, since the late 1940s, provided such protections primarily through government programs</w:t>
      </w:r>
      <w:r w:rsidR="00036675" w:rsidRPr="00E1253A">
        <w:rPr>
          <w:color w:val="000000" w:themeColor="text1"/>
        </w:rPr>
        <w:t>”</w:t>
      </w:r>
      <w:r w:rsidR="000747D1" w:rsidRPr="00E1253A">
        <w:rPr>
          <w:color w:val="000000" w:themeColor="text1"/>
        </w:rPr>
        <w:t xml:space="preserve">. </w:t>
      </w:r>
      <w:r w:rsidR="00036675" w:rsidRPr="00E1253A">
        <w:rPr>
          <w:color w:val="000000" w:themeColor="text1"/>
        </w:rPr>
        <w:t xml:space="preserve">He argues that </w:t>
      </w:r>
      <w:r w:rsidR="000747D1" w:rsidRPr="00E1253A">
        <w:rPr>
          <w:color w:val="000000" w:themeColor="text1"/>
        </w:rPr>
        <w:t xml:space="preserve">the </w:t>
      </w:r>
      <w:r w:rsidR="00036675" w:rsidRPr="00E1253A">
        <w:rPr>
          <w:color w:val="000000" w:themeColor="text1"/>
        </w:rPr>
        <w:t>“</w:t>
      </w:r>
      <w:r w:rsidR="000747D1" w:rsidRPr="00E1253A">
        <w:rPr>
          <w:color w:val="000000" w:themeColor="text1"/>
        </w:rPr>
        <w:t>emergence of a shareholder-centric takeover regime in the United Kingdom – where board interference with hostile takeovers is prohibited, absent shareholder approval – reﬂects conﬁdence among Labour leaders in the 1960s that the welfare state could mitigate the effects of job loss on employee</w:t>
      </w:r>
      <w:r w:rsidR="00036675" w:rsidRPr="00E1253A">
        <w:rPr>
          <w:color w:val="000000" w:themeColor="text1"/>
        </w:rPr>
        <w:t>s”. On the other hand, in the United States he argues</w:t>
      </w:r>
      <w:r w:rsidR="000747D1" w:rsidRPr="00E1253A">
        <w:rPr>
          <w:color w:val="000000" w:themeColor="text1"/>
        </w:rPr>
        <w:t xml:space="preserve"> the </w:t>
      </w:r>
      <w:r w:rsidR="00036675" w:rsidRPr="00E1253A">
        <w:rPr>
          <w:color w:val="000000" w:themeColor="text1"/>
        </w:rPr>
        <w:t>“</w:t>
      </w:r>
      <w:r w:rsidR="000747D1" w:rsidRPr="00E1253A">
        <w:rPr>
          <w:color w:val="000000" w:themeColor="text1"/>
        </w:rPr>
        <w:t>emergence of a stakeholder-centric takeover regime in the 1980s – giving target boards substantial discretion to deploy potent defenses, regardless of shareholder wishes – reﬂects a powerful alignment of manager and labor interests, drawing substantial force from larger political concerns regarding the welfare of employees vulnerable to the loss of health care and other beneﬁts linked with their jobs</w:t>
      </w:r>
      <w:r w:rsidR="00036675" w:rsidRPr="00E1253A">
        <w:rPr>
          <w:color w:val="000000" w:themeColor="text1"/>
        </w:rPr>
        <w:t>”</w:t>
      </w:r>
      <w:r w:rsidR="000747D1" w:rsidRPr="00E1253A">
        <w:rPr>
          <w:color w:val="000000" w:themeColor="text1"/>
        </w:rPr>
        <w:t>.</w:t>
      </w:r>
      <w:r w:rsidR="00036675" w:rsidRPr="00E1253A">
        <w:rPr>
          <w:color w:val="000000" w:themeColor="text1"/>
          <w:vertAlign w:val="superscript"/>
        </w:rPr>
        <w:footnoteReference w:id="57"/>
      </w:r>
      <w:r w:rsidR="00F46440" w:rsidRPr="00E1253A">
        <w:rPr>
          <w:color w:val="000000" w:themeColor="text1"/>
        </w:rPr>
        <w:t xml:space="preserve"> </w:t>
      </w:r>
    </w:p>
    <w:p w14:paraId="6FF34D53" w14:textId="19E881F8" w:rsidR="0040002C" w:rsidRPr="00E1253A" w:rsidRDefault="00F46440" w:rsidP="0012453C">
      <w:pPr>
        <w:spacing w:line="480" w:lineRule="auto"/>
        <w:ind w:firstLine="720"/>
        <w:jc w:val="both"/>
        <w:rPr>
          <w:color w:val="000000" w:themeColor="text1"/>
        </w:rPr>
      </w:pPr>
      <w:r w:rsidRPr="00E1253A">
        <w:rPr>
          <w:color w:val="000000" w:themeColor="text1"/>
        </w:rPr>
        <w:t>Bruner argues that political dynamics exhibit a powerful force across countries, and across time. He likewise exhibits the relationship as reflected in Australia and Can</w:t>
      </w:r>
      <w:r w:rsidR="00FF28E5" w:rsidRPr="00E1253A">
        <w:rPr>
          <w:color w:val="000000" w:themeColor="text1"/>
        </w:rPr>
        <w:t>ada</w:t>
      </w:r>
      <w:r w:rsidRPr="00E1253A">
        <w:rPr>
          <w:color w:val="000000" w:themeColor="text1"/>
        </w:rPr>
        <w:t>—whom also have social welfare models—</w:t>
      </w:r>
      <w:r w:rsidR="00FF28E5" w:rsidRPr="00E1253A">
        <w:rPr>
          <w:color w:val="000000" w:themeColor="text1"/>
        </w:rPr>
        <w:t>"struck larger social and political equilibria broadly resembling those in the United Kingdom, even if each has arrived there by its own path because of unique legal, economic, historical, and cultural factors”. The effect of political dynamics on regulatory structures cannot be explained by agency cost theory as these issues remain exogenous to considerations in neoclassical economics.</w:t>
      </w:r>
      <w:bookmarkEnd w:id="117"/>
      <w:bookmarkEnd w:id="118"/>
      <w:r w:rsidR="00FF28E5" w:rsidRPr="00E1253A">
        <w:rPr>
          <w:color w:val="000000" w:themeColor="text1"/>
        </w:rPr>
        <w:t xml:space="preserve"> </w:t>
      </w:r>
      <w:r w:rsidR="0040002C" w:rsidRPr="00E1253A">
        <w:rPr>
          <w:color w:val="000000" w:themeColor="text1"/>
        </w:rPr>
        <w:t xml:space="preserve">In the following section I will </w:t>
      </w:r>
      <w:r w:rsidR="00FF28E5" w:rsidRPr="00E1253A">
        <w:rPr>
          <w:color w:val="000000" w:themeColor="text1"/>
        </w:rPr>
        <w:t>analyze</w:t>
      </w:r>
      <w:r w:rsidR="0040002C" w:rsidRPr="00E1253A">
        <w:rPr>
          <w:color w:val="000000" w:themeColor="text1"/>
        </w:rPr>
        <w:t xml:space="preserve"> the importance of the balance of socio-political forces and its context toward understanding the development of corporate power and regulation in democratic capitalist societies.</w:t>
      </w:r>
      <w:r w:rsidR="00084E23" w:rsidRPr="00E1253A">
        <w:rPr>
          <w:color w:val="000000" w:themeColor="text1"/>
        </w:rPr>
        <w:t xml:space="preserve"> I will show that concepts of the ‘free-market’ and ‘private’ sector as being apolitical are flawed as the market is fundamentally politically constructed. I will demonstrate the necessity for institutional political theory to understand how market come into existence, and dynamically evolve through the same socio-political dynamics that are reflected in the political sphere. </w:t>
      </w:r>
    </w:p>
    <w:p w14:paraId="5C71BF8E" w14:textId="77777777" w:rsidR="0040002C" w:rsidRPr="00E1253A" w:rsidRDefault="0040002C" w:rsidP="0012453C">
      <w:pPr>
        <w:spacing w:line="480" w:lineRule="auto"/>
        <w:jc w:val="both"/>
        <w:rPr>
          <w:b/>
          <w:bCs/>
          <w:color w:val="000000" w:themeColor="text1"/>
        </w:rPr>
      </w:pPr>
    </w:p>
    <w:p w14:paraId="5CD12348" w14:textId="76470B6D" w:rsidR="00A46566" w:rsidRPr="00E1253A" w:rsidRDefault="000D0981" w:rsidP="0012453C">
      <w:pPr>
        <w:pStyle w:val="Heading2"/>
        <w:numPr>
          <w:ilvl w:val="1"/>
          <w:numId w:val="21"/>
        </w:numPr>
        <w:spacing w:line="480" w:lineRule="auto"/>
        <w:contextualSpacing w:val="0"/>
        <w:jc w:val="both"/>
      </w:pPr>
      <w:r w:rsidRPr="00E1253A">
        <w:t>The Political</w:t>
      </w:r>
      <w:r w:rsidR="00BE3976" w:rsidRPr="00E1253A">
        <w:t xml:space="preserve"> Construction of the ‘Private’ Sector</w:t>
      </w:r>
      <w:r w:rsidRPr="00E1253A">
        <w:t xml:space="preserve"> </w:t>
      </w:r>
      <w:r w:rsidR="002D098C" w:rsidRPr="00E1253A">
        <w:t>Economy</w:t>
      </w:r>
    </w:p>
    <w:p w14:paraId="29093679" w14:textId="114F6FCB" w:rsidR="00C176CB" w:rsidRPr="00E1253A" w:rsidRDefault="00C25401" w:rsidP="0012453C">
      <w:pPr>
        <w:spacing w:line="480" w:lineRule="auto"/>
        <w:jc w:val="both"/>
        <w:rPr>
          <w:color w:val="000000" w:themeColor="text1"/>
        </w:rPr>
      </w:pPr>
      <w:bookmarkStart w:id="139" w:name="OLE_LINK43"/>
      <w:bookmarkStart w:id="140" w:name="OLE_LINK44"/>
      <w:r w:rsidRPr="00E1253A">
        <w:rPr>
          <w:color w:val="000000" w:themeColor="text1"/>
        </w:rPr>
        <w:t>Viewing the corporation as a fictional legal construct subject to the will of private contracts fails to recognize the fundamental transformation of corporations in society since their inception. Increasingly, our society is defined by the corporate organizations that employ vast portions of our society, produce our most necessary products and services, and shape the trajectory of national growth and prosperity. Reducing these complex economic organisms into the realm of private accountability is inefficient, socially harmful, and increasingly untenable as a descriptive theory</w:t>
      </w:r>
      <w:r w:rsidR="00C176CB" w:rsidRPr="00E1253A">
        <w:rPr>
          <w:color w:val="000000" w:themeColor="text1"/>
        </w:rPr>
        <w:t xml:space="preserve"> of the nature of our corporatist economy</w:t>
      </w:r>
      <w:r w:rsidRPr="00E1253A">
        <w:rPr>
          <w:color w:val="000000" w:themeColor="text1"/>
        </w:rPr>
        <w:t xml:space="preserve">. </w:t>
      </w:r>
      <w:r w:rsidR="00C176CB" w:rsidRPr="00E1253A">
        <w:rPr>
          <w:color w:val="000000" w:themeColor="text1"/>
        </w:rPr>
        <w:t>C</w:t>
      </w:r>
      <w:r w:rsidRPr="00E1253A">
        <w:rPr>
          <w:color w:val="000000" w:themeColor="text1"/>
        </w:rPr>
        <w:t xml:space="preserve">orporate enterprises </w:t>
      </w:r>
      <w:r w:rsidR="00C176CB" w:rsidRPr="00E1253A">
        <w:rPr>
          <w:color w:val="000000" w:themeColor="text1"/>
        </w:rPr>
        <w:t xml:space="preserve">cannot be divorced from fabric of </w:t>
      </w:r>
      <w:r w:rsidR="00084E23" w:rsidRPr="00E1253A">
        <w:rPr>
          <w:color w:val="000000" w:themeColor="text1"/>
        </w:rPr>
        <w:t>the</w:t>
      </w:r>
      <w:r w:rsidRPr="00E1253A">
        <w:rPr>
          <w:color w:val="000000" w:themeColor="text1"/>
        </w:rPr>
        <w:t xml:space="preserve"> larger political econom</w:t>
      </w:r>
      <w:r w:rsidR="00C176CB" w:rsidRPr="00E1253A">
        <w:rPr>
          <w:color w:val="000000" w:themeColor="text1"/>
        </w:rPr>
        <w:t>y</w:t>
      </w:r>
      <w:r w:rsidRPr="00E1253A">
        <w:rPr>
          <w:color w:val="000000" w:themeColor="text1"/>
        </w:rPr>
        <w:t>.</w:t>
      </w:r>
      <w:r w:rsidR="00C176CB" w:rsidRPr="00E1253A">
        <w:rPr>
          <w:color w:val="000000" w:themeColor="text1"/>
        </w:rPr>
        <w:t xml:space="preserve"> Business arises from </w:t>
      </w:r>
      <w:r w:rsidRPr="00E1253A">
        <w:rPr>
          <w:color w:val="000000" w:themeColor="text1"/>
        </w:rPr>
        <w:t>the synergy of long-term relationships</w:t>
      </w:r>
      <w:r w:rsidR="00084E23" w:rsidRPr="00E1253A">
        <w:rPr>
          <w:color w:val="000000" w:themeColor="text1"/>
        </w:rPr>
        <w:t xml:space="preserve">. </w:t>
      </w:r>
      <w:r w:rsidR="00C176CB" w:rsidRPr="00E1253A">
        <w:rPr>
          <w:color w:val="000000" w:themeColor="text1"/>
        </w:rPr>
        <w:t xml:space="preserve">A variety of actors, including government, secure mutually beneficial long-term relationships with corporate entities for a variety of purposes. </w:t>
      </w:r>
      <w:r w:rsidRPr="00E1253A">
        <w:rPr>
          <w:color w:val="000000" w:themeColor="text1"/>
        </w:rPr>
        <w:t>These relationships, however, do not occur in a vacuum of dyadic ties, but rather in a complex network of influences</w:t>
      </w:r>
      <w:r w:rsidR="00C176CB" w:rsidRPr="00E1253A">
        <w:rPr>
          <w:color w:val="000000" w:themeColor="text1"/>
        </w:rPr>
        <w:t xml:space="preserve">—with affects in terms of motives, agency structures, and rights-obligations </w:t>
      </w:r>
      <w:r w:rsidRPr="00E1253A">
        <w:rPr>
          <w:color w:val="000000" w:themeColor="text1"/>
        </w:rPr>
        <w:t>In this section I will argue that the ‘private’ market is inherently politically constructed, thus undermining the private contractual view that fails to recognize the inherent connection of the political economy</w:t>
      </w:r>
      <w:r w:rsidR="00C176CB" w:rsidRPr="00E1253A">
        <w:rPr>
          <w:color w:val="000000" w:themeColor="text1"/>
        </w:rPr>
        <w:t xml:space="preserve">, as well the </w:t>
      </w:r>
      <w:r w:rsidR="00641B7F" w:rsidRPr="00E1253A">
        <w:rPr>
          <w:color w:val="000000" w:themeColor="text1"/>
        </w:rPr>
        <w:t>institutional relations</w:t>
      </w:r>
      <w:r w:rsidRPr="00E1253A">
        <w:rPr>
          <w:color w:val="000000" w:themeColor="text1"/>
        </w:rPr>
        <w:t xml:space="preserve"> in an increasingly interconnected world.</w:t>
      </w:r>
    </w:p>
    <w:p w14:paraId="3570B17E" w14:textId="2F808A93" w:rsidR="00140190" w:rsidRPr="00E1253A" w:rsidRDefault="0094375B" w:rsidP="0012453C">
      <w:pPr>
        <w:spacing w:line="480" w:lineRule="auto"/>
        <w:ind w:firstLine="720"/>
        <w:jc w:val="both"/>
        <w:rPr>
          <w:color w:val="000000" w:themeColor="text1"/>
        </w:rPr>
      </w:pPr>
      <w:r w:rsidRPr="00E1253A">
        <w:rPr>
          <w:color w:val="000000" w:themeColor="text1"/>
        </w:rPr>
        <w:t xml:space="preserve">A number of scholars have pointed out </w:t>
      </w:r>
      <w:r w:rsidR="00B00E37" w:rsidRPr="00E1253A">
        <w:rPr>
          <w:color w:val="000000" w:themeColor="text1"/>
        </w:rPr>
        <w:t>the flaws and limitations</w:t>
      </w:r>
      <w:r w:rsidRPr="00E1253A">
        <w:rPr>
          <w:color w:val="000000" w:themeColor="text1"/>
        </w:rPr>
        <w:t xml:space="preserve"> in the neoliberal discourse</w:t>
      </w:r>
      <w:r w:rsidR="00CF13B0" w:rsidRPr="00E1253A">
        <w:rPr>
          <w:color w:val="000000" w:themeColor="text1"/>
        </w:rPr>
        <w:t xml:space="preserve"> </w:t>
      </w:r>
      <w:r w:rsidRPr="00E1253A">
        <w:rPr>
          <w:color w:val="000000" w:themeColor="text1"/>
        </w:rPr>
        <w:t xml:space="preserve">on the role of the state </w:t>
      </w:r>
      <w:r w:rsidR="00B00E37" w:rsidRPr="00E1253A">
        <w:rPr>
          <w:color w:val="000000" w:themeColor="text1"/>
        </w:rPr>
        <w:t xml:space="preserve">in markets. </w:t>
      </w:r>
      <w:r w:rsidR="00954F9B" w:rsidRPr="00E1253A">
        <w:rPr>
          <w:color w:val="000000" w:themeColor="text1"/>
        </w:rPr>
        <w:t xml:space="preserve">Specifically, the neoclassical assumption of ‘market primacy’ </w:t>
      </w:r>
      <w:r w:rsidR="00C25401" w:rsidRPr="00E1253A">
        <w:rPr>
          <w:color w:val="000000" w:themeColor="text1"/>
        </w:rPr>
        <w:t>as a ‘natural’ apolitical development predating the state</w:t>
      </w:r>
      <w:r w:rsidR="00641B7F" w:rsidRPr="00E1253A">
        <w:rPr>
          <w:color w:val="000000" w:themeColor="text1"/>
        </w:rPr>
        <w:t xml:space="preserve"> fails to recognize the political dynamics of the economy while minimizing the state into a second-rate market actor</w:t>
      </w:r>
      <w:r w:rsidR="00C25401" w:rsidRPr="00E1253A">
        <w:rPr>
          <w:color w:val="000000" w:themeColor="text1"/>
        </w:rPr>
        <w:t xml:space="preserve">. </w:t>
      </w:r>
      <w:r w:rsidR="00494F7B" w:rsidRPr="00E1253A">
        <w:rPr>
          <w:color w:val="000000" w:themeColor="text1"/>
        </w:rPr>
        <w:t xml:space="preserve"> </w:t>
      </w:r>
      <w:r w:rsidR="00B00E37" w:rsidRPr="00E1253A">
        <w:rPr>
          <w:color w:val="000000" w:themeColor="text1"/>
        </w:rPr>
        <w:t>Chang argues “markets are in the end political constructs, in the sense that they are defined by a range of formal and informal institutions that embody certain rights and obligations, whose legitimacy (and therefore whose contestability) is ultimately determined in the realm of politics”.</w:t>
      </w:r>
      <w:bookmarkStart w:id="141" w:name="OLE_LINK359"/>
      <w:bookmarkStart w:id="142" w:name="OLE_LINK360"/>
      <w:bookmarkStart w:id="143" w:name="OLE_LINK663"/>
      <w:r w:rsidR="00C25401" w:rsidRPr="00E1253A">
        <w:rPr>
          <w:rStyle w:val="FootnoteReference"/>
          <w:color w:val="000000" w:themeColor="text1"/>
          <w:shd w:val="clear" w:color="auto" w:fill="FFFFFF"/>
        </w:rPr>
        <w:footnoteReference w:id="58"/>
      </w:r>
      <w:bookmarkEnd w:id="141"/>
      <w:bookmarkEnd w:id="142"/>
      <w:bookmarkEnd w:id="143"/>
      <w:r w:rsidR="00C25401" w:rsidRPr="00E1253A">
        <w:rPr>
          <w:color w:val="000000" w:themeColor="text1"/>
        </w:rPr>
        <w:t xml:space="preserve"> </w:t>
      </w:r>
      <w:r w:rsidR="00784BB1" w:rsidRPr="00E1253A">
        <w:rPr>
          <w:color w:val="000000" w:themeColor="text1"/>
        </w:rPr>
        <w:t>Moreover, the neoclassical economic view of the “uncorrupted” market is based on a particular set of political beliefs that fail to recognize the importance of institutions, and the power of institutions to also affect people’s motivations and perceptions. Chang</w:t>
      </w:r>
      <w:r w:rsidR="00C25401" w:rsidRPr="00E1253A">
        <w:rPr>
          <w:color w:val="000000" w:themeColor="text1"/>
        </w:rPr>
        <w:t xml:space="preserve"> argues t</w:t>
      </w:r>
      <w:r w:rsidR="00954F9B" w:rsidRPr="00E1253A">
        <w:rPr>
          <w:color w:val="000000" w:themeColor="text1"/>
        </w:rPr>
        <w:t xml:space="preserve">he capitalist system is </w:t>
      </w:r>
      <w:r w:rsidR="00C25401" w:rsidRPr="00E1253A">
        <w:rPr>
          <w:color w:val="000000" w:themeColor="text1"/>
        </w:rPr>
        <w:t>“</w:t>
      </w:r>
      <w:r w:rsidR="00954F9B" w:rsidRPr="00E1253A">
        <w:rPr>
          <w:color w:val="000000" w:themeColor="text1"/>
        </w:rPr>
        <w:t>made up of a range of institutions, including the markets as institutions of exchange, the firms as institutions of production, and the state as the creator and regulator of the institutions governing their relationships (while itself being a political institution), as well as other informal institutions such as social convention”</w:t>
      </w:r>
      <w:r w:rsidR="00494F7B" w:rsidRPr="00E1253A">
        <w:rPr>
          <w:color w:val="000000" w:themeColor="text1"/>
        </w:rPr>
        <w:t xml:space="preserve">, which </w:t>
      </w:r>
      <w:r w:rsidR="00784BB1" w:rsidRPr="00E1253A">
        <w:rPr>
          <w:color w:val="000000" w:themeColor="text1"/>
        </w:rPr>
        <w:t xml:space="preserve">are neglected in the </w:t>
      </w:r>
      <w:r w:rsidR="00494F7B" w:rsidRPr="00E1253A">
        <w:rPr>
          <w:color w:val="000000" w:themeColor="text1"/>
        </w:rPr>
        <w:t xml:space="preserve"> narrowness of the neoclassical</w:t>
      </w:r>
      <w:r w:rsidR="00784BB1" w:rsidRPr="00E1253A">
        <w:rPr>
          <w:color w:val="000000" w:themeColor="text1"/>
        </w:rPr>
        <w:t xml:space="preserve"> paradigm</w:t>
      </w:r>
      <w:r w:rsidR="008C1D2B" w:rsidRPr="00E1253A">
        <w:rPr>
          <w:color w:val="000000" w:themeColor="text1"/>
        </w:rPr>
        <w:t>.</w:t>
      </w:r>
      <w:r w:rsidR="008C1D2B" w:rsidRPr="00E1253A">
        <w:rPr>
          <w:rStyle w:val="FootnoteReference"/>
          <w:color w:val="000000" w:themeColor="text1"/>
          <w:shd w:val="clear" w:color="auto" w:fill="FFFFFF"/>
        </w:rPr>
        <w:footnoteReference w:id="59"/>
      </w:r>
      <w:r w:rsidR="008C1D2B" w:rsidRPr="00E1253A">
        <w:rPr>
          <w:color w:val="000000" w:themeColor="text1"/>
        </w:rPr>
        <w:t xml:space="preserve">  In turn, this can</w:t>
      </w:r>
      <w:r w:rsidR="006B6A96" w:rsidRPr="00E1253A">
        <w:rPr>
          <w:color w:val="000000" w:themeColor="text1"/>
        </w:rPr>
        <w:t xml:space="preserve"> significantly bias our understanding of the relationships between the role of the state and institutions in the economy</w:t>
      </w:r>
      <w:r w:rsidR="00954F9B" w:rsidRPr="00E1253A">
        <w:rPr>
          <w:color w:val="000000" w:themeColor="text1"/>
        </w:rPr>
        <w:t>.</w:t>
      </w:r>
      <w:bookmarkStart w:id="148" w:name="OLE_LINK666"/>
      <w:bookmarkStart w:id="149" w:name="OLE_LINK667"/>
      <w:bookmarkStart w:id="150" w:name="OLE_LINK762"/>
      <w:r w:rsidR="00954F9B" w:rsidRPr="00E1253A">
        <w:rPr>
          <w:color w:val="000000" w:themeColor="text1"/>
        </w:rPr>
        <w:t xml:space="preserve"> </w:t>
      </w:r>
      <w:bookmarkEnd w:id="148"/>
      <w:bookmarkEnd w:id="149"/>
      <w:bookmarkEnd w:id="150"/>
    </w:p>
    <w:bookmarkEnd w:id="139"/>
    <w:bookmarkEnd w:id="140"/>
    <w:p w14:paraId="35BF6E22" w14:textId="7150FC58" w:rsidR="00954F9B" w:rsidRPr="00E1253A" w:rsidRDefault="008C1D2B" w:rsidP="0012453C">
      <w:pPr>
        <w:spacing w:line="480" w:lineRule="auto"/>
        <w:ind w:firstLine="720"/>
        <w:jc w:val="both"/>
        <w:rPr>
          <w:color w:val="000000" w:themeColor="text1"/>
        </w:rPr>
      </w:pPr>
      <w:r w:rsidRPr="00E1253A">
        <w:rPr>
          <w:color w:val="000000" w:themeColor="text1"/>
        </w:rPr>
        <w:t xml:space="preserve">A look in to the </w:t>
      </w:r>
      <w:r w:rsidR="00140190" w:rsidRPr="00E1253A">
        <w:rPr>
          <w:color w:val="000000" w:themeColor="text1"/>
        </w:rPr>
        <w:t xml:space="preserve">history of advanced countries over the last two centuries </w:t>
      </w:r>
      <w:r w:rsidRPr="00E1253A">
        <w:rPr>
          <w:color w:val="000000" w:themeColor="text1"/>
        </w:rPr>
        <w:t xml:space="preserve">moreover, </w:t>
      </w:r>
      <w:r w:rsidR="00140190" w:rsidRPr="00E1253A">
        <w:rPr>
          <w:color w:val="000000" w:themeColor="text1"/>
        </w:rPr>
        <w:t>reveals “how many of those rights that are now regarded as so “fundamental” that very few, if any, of their citizens would question them were perfectly contestable and often fiercely contested in the past—examples include the right to self-ownership (denied to slaves), the right to vote (and thus to have a say in the political modification of market outcomes), the right to minimum working hours, the right to organize and the right not to be subject to physical abuse in the workplace”.</w:t>
      </w:r>
      <w:r w:rsidRPr="00E1253A">
        <w:rPr>
          <w:color w:val="000000" w:themeColor="text1"/>
          <w:shd w:val="clear" w:color="auto" w:fill="FFFFFF"/>
        </w:rPr>
        <w:t xml:space="preserve"> </w:t>
      </w:r>
      <w:r w:rsidRPr="00E1253A">
        <w:rPr>
          <w:rStyle w:val="FootnoteReference"/>
          <w:color w:val="000000" w:themeColor="text1"/>
          <w:shd w:val="clear" w:color="auto" w:fill="FFFFFF"/>
        </w:rPr>
        <w:footnoteReference w:id="60"/>
      </w:r>
      <w:r w:rsidRPr="00E1253A">
        <w:rPr>
          <w:color w:val="000000" w:themeColor="text1"/>
        </w:rPr>
        <w:t xml:space="preserve"> </w:t>
      </w:r>
      <w:r w:rsidR="00140190" w:rsidRPr="00E1253A">
        <w:rPr>
          <w:color w:val="000000" w:themeColor="text1"/>
        </w:rPr>
        <w:t xml:space="preserve"> The more recent political struggles over rights have focused on the environment, equal treatment of sex and race, and “consumer protection are reminders that the political struggles surrounding the establishment, sustenance and modification of the rights-obligations structure underlying markets will never end”. Moreover, “there are practically no prices in reality which are not subject to “political” influences</w:t>
      </w:r>
      <w:r w:rsidR="005937D5" w:rsidRPr="00E1253A">
        <w:rPr>
          <w:color w:val="000000" w:themeColor="text1"/>
        </w:rPr>
        <w:t>”</w:t>
      </w:r>
      <w:r w:rsidR="00140190" w:rsidRPr="00E1253A">
        <w:rPr>
          <w:color w:val="000000" w:themeColor="text1"/>
        </w:rPr>
        <w:t>,</w:t>
      </w:r>
      <w:r w:rsidR="005937D5" w:rsidRPr="00E1253A">
        <w:rPr>
          <w:color w:val="000000" w:themeColor="text1"/>
        </w:rPr>
        <w:t xml:space="preserve"> as wages and interest rates remain politically determined to a very large degree and affects prices in virtually every sector. </w:t>
      </w:r>
      <w:r w:rsidR="00140190" w:rsidRPr="00E1253A">
        <w:rPr>
          <w:color w:val="000000" w:themeColor="text1"/>
        </w:rPr>
        <w:t xml:space="preserve"> </w:t>
      </w:r>
    </w:p>
    <w:p w14:paraId="2519F1CE" w14:textId="2FE8A8DA" w:rsidR="006B6A96" w:rsidRPr="00E1253A" w:rsidRDefault="006B6A96" w:rsidP="0012453C">
      <w:pPr>
        <w:spacing w:line="480" w:lineRule="auto"/>
        <w:ind w:firstLine="720"/>
        <w:jc w:val="both"/>
        <w:rPr>
          <w:color w:val="000000" w:themeColor="text1"/>
        </w:rPr>
      </w:pPr>
      <w:r w:rsidRPr="00E1253A">
        <w:rPr>
          <w:color w:val="000000" w:themeColor="text1"/>
        </w:rPr>
        <w:t xml:space="preserve">Chang </w:t>
      </w:r>
      <w:r w:rsidR="00140190" w:rsidRPr="00E1253A">
        <w:rPr>
          <w:color w:val="000000" w:themeColor="text1"/>
        </w:rPr>
        <w:t>raises attention to the</w:t>
      </w:r>
      <w:r w:rsidRPr="00E1253A">
        <w:rPr>
          <w:color w:val="000000" w:themeColor="text1"/>
        </w:rPr>
        <w:t xml:space="preserve"> </w:t>
      </w:r>
      <w:r w:rsidR="006A1A07" w:rsidRPr="00E1253A">
        <w:rPr>
          <w:color w:val="000000" w:themeColor="text1"/>
        </w:rPr>
        <w:t xml:space="preserve">another </w:t>
      </w:r>
      <w:r w:rsidRPr="00E1253A">
        <w:rPr>
          <w:color w:val="000000" w:themeColor="text1"/>
        </w:rPr>
        <w:t>key point</w:t>
      </w:r>
      <w:r w:rsidR="00140190" w:rsidRPr="00E1253A">
        <w:rPr>
          <w:color w:val="000000" w:themeColor="text1"/>
        </w:rPr>
        <w:t>, that “</w:t>
      </w:r>
      <w:r w:rsidRPr="00E1253A">
        <w:rPr>
          <w:color w:val="000000" w:themeColor="text1"/>
        </w:rPr>
        <w:t>even in the most advanced capitalist economies of today, which already have well-developed market systems on the whole, the state is constantly involved in creating new markets and thus setting up new rights and obligations necessary for their functioning, on the one hand, and modifying the existing rights-obligations structure in order to accommodate them, on the other hand</w:t>
      </w:r>
      <w:r w:rsidR="00140190" w:rsidRPr="00E1253A">
        <w:rPr>
          <w:color w:val="000000" w:themeColor="text1"/>
        </w:rPr>
        <w:t>…[with the]</w:t>
      </w:r>
      <w:r w:rsidRPr="00E1253A">
        <w:rPr>
          <w:color w:val="000000" w:themeColor="text1"/>
        </w:rPr>
        <w:t xml:space="preserve"> most prominent recent examples </w:t>
      </w:r>
      <w:r w:rsidR="00140190" w:rsidRPr="00E1253A">
        <w:rPr>
          <w:color w:val="000000" w:themeColor="text1"/>
        </w:rPr>
        <w:t>includ[ing]</w:t>
      </w:r>
      <w:r w:rsidRPr="00E1253A">
        <w:rPr>
          <w:color w:val="000000" w:themeColor="text1"/>
        </w:rPr>
        <w:t xml:space="preserve"> the creation and the restructuring of markets by the state in mobile telecommunications, computer software, electricity and Internet service provision</w:t>
      </w:r>
      <w:r w:rsidR="00140190" w:rsidRPr="00E1253A">
        <w:rPr>
          <w:color w:val="000000" w:themeColor="text1"/>
        </w:rPr>
        <w:t>”.</w:t>
      </w:r>
      <w:r w:rsidR="00140190" w:rsidRPr="00E1253A">
        <w:rPr>
          <w:rStyle w:val="FootnoteReference"/>
          <w:color w:val="000000" w:themeColor="text1"/>
          <w:shd w:val="clear" w:color="auto" w:fill="FFFFFF"/>
        </w:rPr>
        <w:footnoteReference w:id="61"/>
      </w:r>
      <w:r w:rsidR="006A1A07" w:rsidRPr="00E1253A">
        <w:rPr>
          <w:color w:val="000000" w:themeColor="text1"/>
        </w:rPr>
        <w:t xml:space="preserve"> Moreover, the notion that politics ‘corrupts’ the free market system is perhaps most seriously undermined with regard to the fundamental role of the state and non-state institutions in maintaining the stability of modern financial markets</w:t>
      </w:r>
      <w:r w:rsidR="008C1D2B" w:rsidRPr="00E1253A">
        <w:rPr>
          <w:color w:val="000000" w:themeColor="text1"/>
        </w:rPr>
        <w:t>. Specifically, the active role and political dynamics driving the state’s active management of the financial system so as to</w:t>
      </w:r>
      <w:r w:rsidR="00BE3976" w:rsidRPr="00E1253A">
        <w:rPr>
          <w:color w:val="000000" w:themeColor="text1"/>
        </w:rPr>
        <w:t xml:space="preserve"> upholding the legitimacy of the system</w:t>
      </w:r>
      <w:r w:rsidR="0040002C" w:rsidRPr="00E1253A">
        <w:rPr>
          <w:color w:val="000000" w:themeColor="text1"/>
        </w:rPr>
        <w:t xml:space="preserve"> through reforms in corporate governance laws, securities disclosures, and other trust-enhancing institutional processes.</w:t>
      </w:r>
      <w:r w:rsidR="008C1D2B" w:rsidRPr="00E1253A">
        <w:rPr>
          <w:color w:val="000000" w:themeColor="text1"/>
        </w:rPr>
        <w:t xml:space="preserve"> </w:t>
      </w:r>
      <w:r w:rsidR="0040002C" w:rsidRPr="00E1253A">
        <w:rPr>
          <w:color w:val="000000" w:themeColor="text1"/>
        </w:rPr>
        <w:t xml:space="preserve"> </w:t>
      </w:r>
    </w:p>
    <w:p w14:paraId="7AEE0049" w14:textId="178DEC4E" w:rsidR="0040002C" w:rsidRPr="00E1253A" w:rsidRDefault="0040002C" w:rsidP="0012453C">
      <w:pPr>
        <w:spacing w:line="480" w:lineRule="auto"/>
        <w:jc w:val="both"/>
        <w:rPr>
          <w:color w:val="000000" w:themeColor="text1"/>
        </w:rPr>
      </w:pPr>
    </w:p>
    <w:p w14:paraId="5BBCA573" w14:textId="69FA873A" w:rsidR="0040002C" w:rsidRPr="00E1253A" w:rsidRDefault="001E49E8" w:rsidP="0012453C">
      <w:pPr>
        <w:pStyle w:val="Heading2"/>
        <w:spacing w:line="480" w:lineRule="auto"/>
        <w:jc w:val="both"/>
      </w:pPr>
      <w:r w:rsidRPr="00E1253A">
        <w:t>Dynamism of the</w:t>
      </w:r>
      <w:r w:rsidR="0040002C" w:rsidRPr="00E1253A">
        <w:t xml:space="preserve"> Institutional Political Economy</w:t>
      </w:r>
    </w:p>
    <w:p w14:paraId="2C86A887" w14:textId="49B1A875" w:rsidR="00FE1B0B" w:rsidRPr="00E1253A" w:rsidRDefault="0040002C" w:rsidP="0012453C">
      <w:pPr>
        <w:spacing w:line="480" w:lineRule="auto"/>
        <w:jc w:val="both"/>
        <w:rPr>
          <w:color w:val="000000" w:themeColor="text1"/>
        </w:rPr>
      </w:pPr>
      <w:r w:rsidRPr="00E1253A">
        <w:rPr>
          <w:color w:val="000000" w:themeColor="text1"/>
        </w:rPr>
        <w:t xml:space="preserve">The government plays an active role in ensuring the monitoring of corporate behavior through laws, regulations, and institutional processes that have evolved over time. In this section I will analyze the implications of the interrelations between the state, institutions, publicly traded corporations, and the market more broadly. I will argue that the </w:t>
      </w:r>
      <w:r w:rsidR="00D95EF1" w:rsidRPr="00E1253A">
        <w:rPr>
          <w:color w:val="000000" w:themeColor="text1"/>
        </w:rPr>
        <w:t xml:space="preserve">interconnection between politics and economics cannot be divorced in the modern political economy. I will demonstrate how an institutional political analysis can shed insight into the evolution of corporate governance over time among individual institutions, but also across the broader interconnected political economy. </w:t>
      </w:r>
    </w:p>
    <w:p w14:paraId="588DCF54" w14:textId="4AEDBF18" w:rsidR="00FE1B0B" w:rsidRPr="00E1253A" w:rsidRDefault="00FE1B0B" w:rsidP="0012453C">
      <w:pPr>
        <w:spacing w:line="480" w:lineRule="auto"/>
        <w:ind w:firstLine="720"/>
        <w:jc w:val="both"/>
        <w:rPr>
          <w:color w:val="000000" w:themeColor="text1"/>
        </w:rPr>
      </w:pPr>
      <w:r w:rsidRPr="00E1253A">
        <w:rPr>
          <w:color w:val="000000" w:themeColor="text1"/>
        </w:rPr>
        <w:t>Pierre situates this iterative process of corporate governance in historical observations that provide insight into the power dynamics and agency relationships at play. Pierre’s thesis is that thi</w:t>
      </w:r>
      <w:r w:rsidR="00BD0842" w:rsidRPr="00E1253A">
        <w:rPr>
          <w:color w:val="000000" w:themeColor="text1"/>
        </w:rPr>
        <w:t xml:space="preserve">s </w:t>
      </w:r>
      <w:r w:rsidRPr="00E1253A">
        <w:rPr>
          <w:color w:val="000000" w:themeColor="text1"/>
        </w:rPr>
        <w:t>evolution “can be understood as the democratization of corporate governance… [as] in modern liberal society, the governance of human beings tends, over time, to democratize: the more the entrepreneurial force becomes concentrated in ever larger corporations, the greater the need for social fragmentation to maintain the legitimacy of governance – so as to ensure that corporations are governed according to the liberal spirit”.</w:t>
      </w:r>
      <w:r w:rsidRPr="00E1253A">
        <w:rPr>
          <w:color w:val="000000" w:themeColor="text1"/>
          <w:vertAlign w:val="superscript"/>
        </w:rPr>
        <w:footnoteReference w:id="62"/>
      </w:r>
      <w:r w:rsidRPr="00E1253A">
        <w:rPr>
          <w:color w:val="000000" w:themeColor="text1"/>
        </w:rPr>
        <w:t xml:space="preserve"> He specifically finds, “large corporations that dominate their markets have moved, over time, from the familial model, to the managerial model, and on to the public model”, with each model characterized by “who holds the entrepreneurial force (successively, over time: the single entrepreneur, the managerial technocracy, and shareholders) and what counterweight limits this force (successively, over time: the family, the trade union, and public opinion)”.</w:t>
      </w:r>
      <w:bookmarkStart w:id="153" w:name="OLE_LINK767"/>
      <w:bookmarkStart w:id="154" w:name="OLE_LINK768"/>
      <w:r w:rsidRPr="00E1253A">
        <w:rPr>
          <w:color w:val="000000" w:themeColor="text1"/>
          <w:vertAlign w:val="superscript"/>
        </w:rPr>
        <w:footnoteReference w:id="63"/>
      </w:r>
      <w:r w:rsidRPr="00E1253A">
        <w:rPr>
          <w:color w:val="000000" w:themeColor="text1"/>
        </w:rPr>
        <w:t xml:space="preserve"> </w:t>
      </w:r>
      <w:bookmarkEnd w:id="153"/>
      <w:bookmarkEnd w:id="154"/>
      <w:r w:rsidRPr="00E1253A">
        <w:rPr>
          <w:color w:val="000000" w:themeColor="text1"/>
        </w:rPr>
        <w:t xml:space="preserve">Pierre shows at each stage in history, the entrepreneurial force is confronted by social fragmentation, a confrontation that results in corporate governance institutions that are equilibria specific to each model and era. </w:t>
      </w:r>
    </w:p>
    <w:p w14:paraId="04E20067" w14:textId="1F32D19A" w:rsidR="009340E5" w:rsidRPr="00E1253A" w:rsidRDefault="00FE1B0B" w:rsidP="0012453C">
      <w:pPr>
        <w:spacing w:line="480" w:lineRule="auto"/>
        <w:jc w:val="both"/>
        <w:rPr>
          <w:color w:val="000000" w:themeColor="text1"/>
        </w:rPr>
      </w:pPr>
      <w:r w:rsidRPr="00E1253A">
        <w:rPr>
          <w:color w:val="000000" w:themeColor="text1"/>
        </w:rPr>
        <w:tab/>
        <w:t xml:space="preserve">The evolution of corporate governance as a political development can be stated in terms of </w:t>
      </w:r>
      <w:r w:rsidR="00B73A6F" w:rsidRPr="00E1253A">
        <w:rPr>
          <w:color w:val="000000" w:themeColor="text1"/>
        </w:rPr>
        <w:t>crises of trust</w:t>
      </w:r>
      <w:r w:rsidR="00127B91" w:rsidRPr="00E1253A">
        <w:rPr>
          <w:color w:val="000000" w:themeColor="text1"/>
        </w:rPr>
        <w:t xml:space="preserve"> and legitimacy guaranteed by the balance of the system</w:t>
      </w:r>
      <w:r w:rsidR="00B73A6F" w:rsidRPr="00E1253A">
        <w:rPr>
          <w:color w:val="000000" w:themeColor="text1"/>
        </w:rPr>
        <w:t xml:space="preserve">. During crises of trust in corporate governance, the balance of forces between the performance produced and legitimacy </w:t>
      </w:r>
      <w:r w:rsidR="009340E5" w:rsidRPr="00E1253A">
        <w:rPr>
          <w:color w:val="000000" w:themeColor="text1"/>
        </w:rPr>
        <w:t xml:space="preserve">ensured </w:t>
      </w:r>
      <w:r w:rsidR="00B73A6F" w:rsidRPr="00E1253A">
        <w:rPr>
          <w:color w:val="000000" w:themeColor="text1"/>
        </w:rPr>
        <w:t>are challenged</w:t>
      </w:r>
      <w:r w:rsidR="00C228CE" w:rsidRPr="00E1253A">
        <w:rPr>
          <w:color w:val="000000" w:themeColor="text1"/>
        </w:rPr>
        <w:t>, and ultimately redefined</w:t>
      </w:r>
      <w:r w:rsidR="00B73A6F" w:rsidRPr="00E1253A">
        <w:rPr>
          <w:color w:val="000000" w:themeColor="text1"/>
        </w:rPr>
        <w:t>.</w:t>
      </w:r>
      <w:r w:rsidR="00C228CE" w:rsidRPr="00E1253A">
        <w:rPr>
          <w:color w:val="000000" w:themeColor="text1"/>
        </w:rPr>
        <w:t xml:space="preserve"> </w:t>
      </w:r>
      <w:r w:rsidR="00306DD1" w:rsidRPr="00E1253A">
        <w:rPr>
          <w:color w:val="000000" w:themeColor="text1"/>
        </w:rPr>
        <w:t xml:space="preserve">This can be conceptualized through hypothetical evolution of </w:t>
      </w:r>
      <w:r w:rsidR="00C3205A" w:rsidRPr="00E1253A">
        <w:rPr>
          <w:color w:val="000000" w:themeColor="text1"/>
        </w:rPr>
        <w:t xml:space="preserve">a </w:t>
      </w:r>
      <w:r w:rsidR="00306DD1" w:rsidRPr="00E1253A">
        <w:rPr>
          <w:color w:val="000000" w:themeColor="text1"/>
        </w:rPr>
        <w:t>company</w:t>
      </w:r>
      <w:r w:rsidR="00FB32DE" w:rsidRPr="00E1253A">
        <w:rPr>
          <w:color w:val="000000" w:themeColor="text1"/>
        </w:rPr>
        <w:t>:</w:t>
      </w:r>
      <w:r w:rsidR="00306DD1" w:rsidRPr="00E1253A">
        <w:rPr>
          <w:color w:val="000000" w:themeColor="text1"/>
        </w:rPr>
        <w:t xml:space="preserve"> </w:t>
      </w:r>
      <w:r w:rsidR="00B73A6F" w:rsidRPr="00E1253A">
        <w:rPr>
          <w:color w:val="000000" w:themeColor="text1"/>
        </w:rPr>
        <w:t xml:space="preserve">Historically, the </w:t>
      </w:r>
      <w:r w:rsidR="00306DD1" w:rsidRPr="00E1253A">
        <w:rPr>
          <w:color w:val="000000" w:themeColor="text1"/>
        </w:rPr>
        <w:t>“</w:t>
      </w:r>
      <w:r w:rsidR="00B73A6F" w:rsidRPr="00E1253A">
        <w:rPr>
          <w:color w:val="000000" w:themeColor="text1"/>
        </w:rPr>
        <w:t>entrepreneur was a single person, owning the entirety of the property rights and hence complete sovereignty over the corporation</w:t>
      </w:r>
      <w:r w:rsidR="00306DD1" w:rsidRPr="00E1253A">
        <w:rPr>
          <w:color w:val="000000" w:themeColor="text1"/>
        </w:rPr>
        <w:t xml:space="preserve">”, and absent any fragmentation of property </w:t>
      </w:r>
      <w:r w:rsidR="00B73A6F" w:rsidRPr="00E1253A">
        <w:rPr>
          <w:color w:val="000000" w:themeColor="text1"/>
        </w:rPr>
        <w:t xml:space="preserve">ownership, </w:t>
      </w:r>
      <w:r w:rsidR="00306DD1" w:rsidRPr="00E1253A">
        <w:rPr>
          <w:color w:val="000000" w:themeColor="text1"/>
        </w:rPr>
        <w:t>“</w:t>
      </w:r>
      <w:r w:rsidR="00B73A6F" w:rsidRPr="00E1253A">
        <w:rPr>
          <w:color w:val="000000" w:themeColor="text1"/>
        </w:rPr>
        <w:t>the original entrepreneur was not constrained by any other powers and could fully exercise the right of direction</w:t>
      </w:r>
      <w:r w:rsidR="00306DD1" w:rsidRPr="00E1253A">
        <w:rPr>
          <w:color w:val="000000" w:themeColor="text1"/>
        </w:rPr>
        <w:t>”</w:t>
      </w:r>
      <w:r w:rsidR="00B73A6F" w:rsidRPr="00E1253A">
        <w:rPr>
          <w:color w:val="000000" w:themeColor="text1"/>
        </w:rPr>
        <w:t>.</w:t>
      </w:r>
      <w:r w:rsidR="00C3205A" w:rsidRPr="00E1253A">
        <w:rPr>
          <w:color w:val="000000" w:themeColor="text1"/>
          <w:vertAlign w:val="superscript"/>
        </w:rPr>
        <w:footnoteReference w:id="64"/>
      </w:r>
      <w:r w:rsidR="00C3205A" w:rsidRPr="00E1253A">
        <w:rPr>
          <w:color w:val="000000" w:themeColor="text1"/>
        </w:rPr>
        <w:t xml:space="preserve"> </w:t>
      </w:r>
      <w:r w:rsidR="00B73A6F" w:rsidRPr="00E1253A">
        <w:rPr>
          <w:color w:val="000000" w:themeColor="text1"/>
        </w:rPr>
        <w:t xml:space="preserve"> </w:t>
      </w:r>
      <w:r w:rsidR="00306DD1" w:rsidRPr="00E1253A">
        <w:rPr>
          <w:color w:val="000000" w:themeColor="text1"/>
        </w:rPr>
        <w:t>However, as an enterprise</w:t>
      </w:r>
      <w:r w:rsidR="0068403F" w:rsidRPr="00E1253A">
        <w:rPr>
          <w:color w:val="000000" w:themeColor="text1"/>
        </w:rPr>
        <w:t xml:space="preserve"> grows in size the founder must inevitabl</w:t>
      </w:r>
      <w:r w:rsidR="00C3205A" w:rsidRPr="00E1253A">
        <w:rPr>
          <w:color w:val="000000" w:themeColor="text1"/>
        </w:rPr>
        <w:t>y</w:t>
      </w:r>
      <w:r w:rsidR="0068403F" w:rsidRPr="00E1253A">
        <w:rPr>
          <w:color w:val="000000" w:themeColor="text1"/>
        </w:rPr>
        <w:t xml:space="preserve"> cede ownership and control to a greater diversity of interests and considerations required to accumulate capital and develop</w:t>
      </w:r>
      <w:r w:rsidR="00C3205A" w:rsidRPr="00E1253A">
        <w:rPr>
          <w:color w:val="000000" w:themeColor="text1"/>
        </w:rPr>
        <w:t>.</w:t>
      </w:r>
      <w:r w:rsidR="0068403F" w:rsidRPr="00E1253A">
        <w:rPr>
          <w:color w:val="000000" w:themeColor="text1"/>
        </w:rPr>
        <w:t xml:space="preserve"> Already under the force of </w:t>
      </w:r>
      <w:r w:rsidR="00306DD1" w:rsidRPr="00E1253A">
        <w:rPr>
          <w:color w:val="000000" w:themeColor="text1"/>
        </w:rPr>
        <w:t>“</w:t>
      </w:r>
      <w:r w:rsidR="0068403F" w:rsidRPr="00E1253A">
        <w:rPr>
          <w:color w:val="000000" w:themeColor="text1"/>
        </w:rPr>
        <w:t>familial governance”, the entrepreneur has to “work with a counterweight to absolute power and be attentive to the consideration of different opinions in decision making, the respect of family traditions, the defense of family and religious values, etc. [and it is] in this way, the family deprives the entrepreneur” of a part of his/her controlling power.</w:t>
      </w:r>
      <w:r w:rsidR="00C3205A" w:rsidRPr="00E1253A">
        <w:rPr>
          <w:color w:val="000000" w:themeColor="text1"/>
          <w:vertAlign w:val="superscript"/>
        </w:rPr>
        <w:footnoteReference w:id="65"/>
      </w:r>
      <w:r w:rsidR="00C3205A" w:rsidRPr="00E1253A">
        <w:rPr>
          <w:color w:val="000000" w:themeColor="text1"/>
        </w:rPr>
        <w:t xml:space="preserve"> </w:t>
      </w:r>
      <w:r w:rsidR="0068403F" w:rsidRPr="00E1253A">
        <w:rPr>
          <w:color w:val="000000" w:themeColor="text1"/>
        </w:rPr>
        <w:t>Inevitably, with</w:t>
      </w:r>
      <w:r w:rsidR="00B73A6F" w:rsidRPr="00E1253A">
        <w:rPr>
          <w:color w:val="000000" w:themeColor="text1"/>
        </w:rPr>
        <w:t xml:space="preserve"> </w:t>
      </w:r>
      <w:r w:rsidR="0068403F" w:rsidRPr="00E1253A">
        <w:rPr>
          <w:color w:val="000000" w:themeColor="text1"/>
        </w:rPr>
        <w:t>“</w:t>
      </w:r>
      <w:r w:rsidR="00B73A6F" w:rsidRPr="00E1253A">
        <w:rPr>
          <w:color w:val="000000" w:themeColor="text1"/>
        </w:rPr>
        <w:t>inheritance and transmission, property rights are dispersed, further with each generation</w:t>
      </w:r>
      <w:bookmarkStart w:id="159" w:name="OLE_LINK691"/>
      <w:bookmarkStart w:id="160" w:name="OLE_LINK692"/>
      <w:bookmarkStart w:id="161" w:name="OLE_LINK693"/>
      <w:bookmarkStart w:id="162" w:name="OLE_LINK694"/>
      <w:r w:rsidR="0068403F" w:rsidRPr="00E1253A">
        <w:rPr>
          <w:color w:val="000000" w:themeColor="text1"/>
        </w:rPr>
        <w:t>,” causing a greater fragmentation of interests.</w:t>
      </w:r>
      <w:bookmarkEnd w:id="159"/>
      <w:bookmarkEnd w:id="160"/>
      <w:bookmarkEnd w:id="161"/>
      <w:bookmarkEnd w:id="162"/>
      <w:r w:rsidR="00C3205A" w:rsidRPr="00E1253A">
        <w:rPr>
          <w:color w:val="000000" w:themeColor="text1"/>
          <w:vertAlign w:val="superscript"/>
        </w:rPr>
        <w:footnoteReference w:id="66"/>
      </w:r>
    </w:p>
    <w:p w14:paraId="69F2C40C" w14:textId="44E3E97E" w:rsidR="009340E5" w:rsidRPr="00E1253A" w:rsidRDefault="00B73A6F" w:rsidP="0012453C">
      <w:pPr>
        <w:spacing w:line="480" w:lineRule="auto"/>
        <w:ind w:firstLine="720"/>
        <w:jc w:val="both"/>
        <w:rPr>
          <w:color w:val="000000" w:themeColor="text1"/>
        </w:rPr>
      </w:pPr>
      <w:r w:rsidRPr="00E1253A">
        <w:rPr>
          <w:color w:val="000000" w:themeColor="text1"/>
        </w:rPr>
        <w:t>With the advent of the modern corporation</w:t>
      </w:r>
      <w:r w:rsidR="00FD2ADD" w:rsidRPr="00E1253A">
        <w:rPr>
          <w:color w:val="000000" w:themeColor="text1"/>
        </w:rPr>
        <w:t xml:space="preserve"> in the technocratic management phase, “t</w:t>
      </w:r>
      <w:r w:rsidRPr="00E1253A">
        <w:rPr>
          <w:color w:val="000000" w:themeColor="text1"/>
        </w:rPr>
        <w:t>he fragmentation of family capital is accompanied by the partition of property rights and the emergence of professional management</w:t>
      </w:r>
      <w:r w:rsidR="00FD2ADD" w:rsidRPr="00E1253A">
        <w:rPr>
          <w:color w:val="000000" w:themeColor="text1"/>
        </w:rPr>
        <w:t>”</w:t>
      </w:r>
      <w:r w:rsidRPr="00E1253A">
        <w:rPr>
          <w:color w:val="000000" w:themeColor="text1"/>
        </w:rPr>
        <w:t xml:space="preserve">, </w:t>
      </w:r>
      <w:r w:rsidR="00FD2ADD" w:rsidRPr="00E1253A">
        <w:rPr>
          <w:color w:val="000000" w:themeColor="text1"/>
        </w:rPr>
        <w:t>whom have</w:t>
      </w:r>
      <w:r w:rsidRPr="00E1253A">
        <w:rPr>
          <w:color w:val="000000" w:themeColor="text1"/>
        </w:rPr>
        <w:t xml:space="preserve"> the right to direct the corporation</w:t>
      </w:r>
      <w:r w:rsidR="00FD2ADD" w:rsidRPr="00E1253A">
        <w:rPr>
          <w:color w:val="000000" w:themeColor="text1"/>
        </w:rPr>
        <w:t>.</w:t>
      </w:r>
      <w:r w:rsidR="00C3205A" w:rsidRPr="00E1253A">
        <w:rPr>
          <w:color w:val="000000" w:themeColor="text1"/>
          <w:vertAlign w:val="superscript"/>
        </w:rPr>
        <w:footnoteReference w:id="67"/>
      </w:r>
      <w:r w:rsidR="00C3205A" w:rsidRPr="00E1253A">
        <w:rPr>
          <w:color w:val="000000" w:themeColor="text1"/>
        </w:rPr>
        <w:t xml:space="preserve"> </w:t>
      </w:r>
      <w:r w:rsidR="009340E5" w:rsidRPr="00E1253A">
        <w:rPr>
          <w:color w:val="000000" w:themeColor="text1"/>
        </w:rPr>
        <w:t xml:space="preserve"> </w:t>
      </w:r>
      <w:r w:rsidRPr="00E1253A">
        <w:rPr>
          <w:color w:val="000000" w:themeColor="text1"/>
        </w:rPr>
        <w:t xml:space="preserve"> </w:t>
      </w:r>
      <w:r w:rsidR="00FD2ADD" w:rsidRPr="00E1253A">
        <w:rPr>
          <w:color w:val="000000" w:themeColor="text1"/>
        </w:rPr>
        <w:t>In this stage, “</w:t>
      </w:r>
      <w:r w:rsidRPr="00E1253A">
        <w:rPr>
          <w:color w:val="000000" w:themeColor="text1"/>
        </w:rPr>
        <w:t>management collectively holds the entrepreneurial force, but they have to reach agreement over different interests, not only with respect to shareholders, but also among themselves</w:t>
      </w:r>
      <w:r w:rsidR="00FD2ADD" w:rsidRPr="00E1253A">
        <w:rPr>
          <w:color w:val="000000" w:themeColor="text1"/>
        </w:rPr>
        <w:t>,” and in an effort to bring this diversity of interests into coherent business strategy, “</w:t>
      </w:r>
      <w:r w:rsidRPr="00E1253A">
        <w:rPr>
          <w:color w:val="000000" w:themeColor="text1"/>
        </w:rPr>
        <w:t>emerge the techniques of modern administration developed with the large corporation: reporting, control, strategic planning, etc</w:t>
      </w:r>
      <w:r w:rsidR="00FD2ADD" w:rsidRPr="00E1253A">
        <w:rPr>
          <w:color w:val="000000" w:themeColor="text1"/>
        </w:rPr>
        <w:t>”.</w:t>
      </w:r>
      <w:r w:rsidR="00C3205A" w:rsidRPr="00E1253A">
        <w:rPr>
          <w:color w:val="000000" w:themeColor="text1"/>
          <w:vertAlign w:val="superscript"/>
        </w:rPr>
        <w:footnoteReference w:id="68"/>
      </w:r>
      <w:r w:rsidR="00C3205A" w:rsidRPr="00E1253A">
        <w:rPr>
          <w:color w:val="000000" w:themeColor="text1"/>
        </w:rPr>
        <w:t xml:space="preserve"> </w:t>
      </w:r>
      <w:r w:rsidR="00FD2ADD" w:rsidRPr="00E1253A">
        <w:rPr>
          <w:color w:val="000000" w:themeColor="text1"/>
        </w:rPr>
        <w:t xml:space="preserve"> </w:t>
      </w:r>
      <w:r w:rsidRPr="00E1253A">
        <w:rPr>
          <w:color w:val="000000" w:themeColor="text1"/>
        </w:rPr>
        <w:t xml:space="preserve"> Th</w:t>
      </w:r>
      <w:r w:rsidR="00FD2ADD" w:rsidRPr="00E1253A">
        <w:rPr>
          <w:color w:val="000000" w:themeColor="text1"/>
        </w:rPr>
        <w:t>rough these</w:t>
      </w:r>
      <w:r w:rsidRPr="00E1253A">
        <w:rPr>
          <w:color w:val="000000" w:themeColor="text1"/>
        </w:rPr>
        <w:t xml:space="preserve"> techniques</w:t>
      </w:r>
      <w:r w:rsidR="00FD2ADD" w:rsidRPr="00E1253A">
        <w:rPr>
          <w:color w:val="000000" w:themeColor="text1"/>
        </w:rPr>
        <w:t>, the</w:t>
      </w:r>
      <w:r w:rsidRPr="00E1253A">
        <w:rPr>
          <w:color w:val="000000" w:themeColor="text1"/>
        </w:rPr>
        <w:t xml:space="preserve"> entrepreneurial force </w:t>
      </w:r>
      <w:r w:rsidR="00FD2ADD" w:rsidRPr="00E1253A">
        <w:rPr>
          <w:color w:val="000000" w:themeColor="text1"/>
        </w:rPr>
        <w:t xml:space="preserve">is </w:t>
      </w:r>
      <w:r w:rsidRPr="00E1253A">
        <w:rPr>
          <w:color w:val="000000" w:themeColor="text1"/>
        </w:rPr>
        <w:t xml:space="preserve"> transformed into a routine that can be exercised by a managerial technocracy</w:t>
      </w:r>
      <w:r w:rsidR="00FD2ADD" w:rsidRPr="00E1253A">
        <w:rPr>
          <w:color w:val="000000" w:themeColor="text1"/>
        </w:rPr>
        <w:t xml:space="preserve">. </w:t>
      </w:r>
    </w:p>
    <w:p w14:paraId="3590ED69" w14:textId="0C7E85DA" w:rsidR="009340E5" w:rsidRPr="00E1253A" w:rsidRDefault="00FD2ADD" w:rsidP="0012453C">
      <w:pPr>
        <w:spacing w:line="480" w:lineRule="auto"/>
        <w:ind w:firstLine="720"/>
        <w:jc w:val="both"/>
        <w:rPr>
          <w:color w:val="000000" w:themeColor="text1"/>
        </w:rPr>
      </w:pPr>
      <w:r w:rsidRPr="00E1253A">
        <w:rPr>
          <w:color w:val="000000" w:themeColor="text1"/>
        </w:rPr>
        <w:t xml:space="preserve">In the final stage, “the </w:t>
      </w:r>
      <w:r w:rsidR="00B73A6F" w:rsidRPr="00E1253A">
        <w:rPr>
          <w:color w:val="000000" w:themeColor="text1"/>
        </w:rPr>
        <w:t>great growth in mass of the shareholding body and the attendant dispersion of ownership</w:t>
      </w:r>
      <w:r w:rsidRPr="00E1253A">
        <w:rPr>
          <w:color w:val="000000" w:themeColor="text1"/>
        </w:rPr>
        <w:t xml:space="preserve">… rights </w:t>
      </w:r>
      <w:r w:rsidR="00B73A6F" w:rsidRPr="00E1253A">
        <w:rPr>
          <w:color w:val="000000" w:themeColor="text1"/>
        </w:rPr>
        <w:t>among millions of rights holders, the financial markets and/or specific shareowner groups come to constitute the new locus for exercising the entrepreneurial force of direction</w:t>
      </w:r>
      <w:r w:rsidR="00C3205A" w:rsidRPr="00E1253A">
        <w:rPr>
          <w:color w:val="000000" w:themeColor="text1"/>
        </w:rPr>
        <w:t>”.</w:t>
      </w:r>
      <w:r w:rsidR="00C3205A" w:rsidRPr="00E1253A">
        <w:rPr>
          <w:color w:val="000000" w:themeColor="text1"/>
          <w:vertAlign w:val="superscript"/>
        </w:rPr>
        <w:footnoteReference w:id="69"/>
      </w:r>
      <w:r w:rsidRPr="00E1253A">
        <w:rPr>
          <w:color w:val="000000" w:themeColor="text1"/>
        </w:rPr>
        <w:t xml:space="preserve"> It is in this phase the </w:t>
      </w:r>
      <w:r w:rsidR="00C3205A" w:rsidRPr="00E1253A">
        <w:rPr>
          <w:color w:val="000000" w:themeColor="text1"/>
        </w:rPr>
        <w:t xml:space="preserve">powerful </w:t>
      </w:r>
      <w:r w:rsidRPr="00E1253A">
        <w:rPr>
          <w:color w:val="000000" w:themeColor="text1"/>
        </w:rPr>
        <w:t xml:space="preserve">modern </w:t>
      </w:r>
      <w:r w:rsidR="00C3205A" w:rsidRPr="00E1253A">
        <w:rPr>
          <w:color w:val="000000" w:themeColor="text1"/>
        </w:rPr>
        <w:t>quasi-</w:t>
      </w:r>
      <w:r w:rsidRPr="00E1253A">
        <w:rPr>
          <w:color w:val="000000" w:themeColor="text1"/>
        </w:rPr>
        <w:t>public corporation operates. Pierre argues</w:t>
      </w:r>
      <w:r w:rsidR="009340E5" w:rsidRPr="00E1253A">
        <w:rPr>
          <w:color w:val="000000" w:themeColor="text1"/>
        </w:rPr>
        <w:t>, h</w:t>
      </w:r>
      <w:r w:rsidR="00B73A6F" w:rsidRPr="00E1253A">
        <w:rPr>
          <w:color w:val="000000" w:themeColor="text1"/>
        </w:rPr>
        <w:t>ere again, we</w:t>
      </w:r>
      <w:r w:rsidR="009340E5" w:rsidRPr="00E1253A">
        <w:rPr>
          <w:color w:val="000000" w:themeColor="text1"/>
        </w:rPr>
        <w:t xml:space="preserve"> can</w:t>
      </w:r>
      <w:r w:rsidR="00B73A6F" w:rsidRPr="00E1253A">
        <w:rPr>
          <w:color w:val="000000" w:themeColor="text1"/>
        </w:rPr>
        <w:t xml:space="preserve"> </w:t>
      </w:r>
      <w:r w:rsidR="009340E5" w:rsidRPr="00E1253A">
        <w:rPr>
          <w:color w:val="000000" w:themeColor="text1"/>
        </w:rPr>
        <w:t>“</w:t>
      </w:r>
      <w:r w:rsidR="00B73A6F" w:rsidRPr="00E1253A">
        <w:rPr>
          <w:color w:val="000000" w:themeColor="text1"/>
        </w:rPr>
        <w:t>see the emergence of techniques of administration</w:t>
      </w:r>
      <w:r w:rsidR="009340E5" w:rsidRPr="00E1253A">
        <w:rPr>
          <w:color w:val="000000" w:themeColor="text1"/>
        </w:rPr>
        <w:t>”</w:t>
      </w:r>
      <w:r w:rsidR="00B73A6F" w:rsidRPr="00E1253A">
        <w:rPr>
          <w:color w:val="000000" w:themeColor="text1"/>
        </w:rPr>
        <w:t xml:space="preserve"> </w:t>
      </w:r>
      <w:r w:rsidR="009340E5" w:rsidRPr="00E1253A">
        <w:rPr>
          <w:color w:val="000000" w:themeColor="text1"/>
        </w:rPr>
        <w:t>specifically</w:t>
      </w:r>
      <w:r w:rsidR="00B73A6F" w:rsidRPr="00E1253A">
        <w:rPr>
          <w:color w:val="000000" w:themeColor="text1"/>
        </w:rPr>
        <w:t xml:space="preserve"> adapted to </w:t>
      </w:r>
      <w:r w:rsidR="009340E5" w:rsidRPr="00E1253A">
        <w:rPr>
          <w:color w:val="000000" w:themeColor="text1"/>
        </w:rPr>
        <w:t>“</w:t>
      </w:r>
      <w:r w:rsidR="00B73A6F" w:rsidRPr="00E1253A">
        <w:rPr>
          <w:color w:val="000000" w:themeColor="text1"/>
        </w:rPr>
        <w:t>ensuring coherence among divergent interests</w:t>
      </w:r>
      <w:r w:rsidR="009340E5" w:rsidRPr="00E1253A">
        <w:rPr>
          <w:color w:val="000000" w:themeColor="text1"/>
        </w:rPr>
        <w:t>, [such as]</w:t>
      </w:r>
      <w:r w:rsidR="00B73A6F" w:rsidRPr="00E1253A">
        <w:rPr>
          <w:color w:val="000000" w:themeColor="text1"/>
        </w:rPr>
        <w:t>: concentration on shareholder value, management by EVA or ROE, increased emphasis on public information and disclosure, etc</w:t>
      </w:r>
      <w:r w:rsidR="009340E5" w:rsidRPr="00E1253A">
        <w:rPr>
          <w:color w:val="000000" w:themeColor="text1"/>
        </w:rPr>
        <w:t>.”</w:t>
      </w:r>
      <w:r w:rsidR="00C3205A" w:rsidRPr="00E1253A">
        <w:rPr>
          <w:color w:val="000000" w:themeColor="text1"/>
        </w:rPr>
        <w:t>, as the locus of legitimacy has shifted to the financial markets</w:t>
      </w:r>
      <w:r w:rsidR="009340E5" w:rsidRPr="00E1253A">
        <w:rPr>
          <w:color w:val="000000" w:themeColor="text1"/>
        </w:rPr>
        <w:t>.</w:t>
      </w:r>
      <w:bookmarkStart w:id="163" w:name="OLE_LINK795"/>
      <w:bookmarkStart w:id="164" w:name="OLE_LINK796"/>
      <w:r w:rsidR="005F5CE0" w:rsidRPr="00E1253A">
        <w:rPr>
          <w:color w:val="000000" w:themeColor="text1"/>
          <w:vertAlign w:val="superscript"/>
        </w:rPr>
        <w:footnoteReference w:id="70"/>
      </w:r>
      <w:r w:rsidR="005F5CE0" w:rsidRPr="00E1253A">
        <w:rPr>
          <w:color w:val="000000" w:themeColor="text1"/>
        </w:rPr>
        <w:t xml:space="preserve"> </w:t>
      </w:r>
      <w:r w:rsidR="009340E5" w:rsidRPr="00E1253A">
        <w:rPr>
          <w:color w:val="000000" w:themeColor="text1"/>
        </w:rPr>
        <w:t xml:space="preserve"> </w:t>
      </w:r>
      <w:bookmarkEnd w:id="163"/>
      <w:bookmarkEnd w:id="164"/>
      <w:r w:rsidR="00B73A6F" w:rsidRPr="00E1253A">
        <w:rPr>
          <w:color w:val="000000" w:themeColor="text1"/>
        </w:rPr>
        <w:t xml:space="preserve"> </w:t>
      </w:r>
    </w:p>
    <w:p w14:paraId="0ADB24DE" w14:textId="380F22B0" w:rsidR="00FE1B0B" w:rsidRPr="00E1253A" w:rsidRDefault="00B73A6F" w:rsidP="00AF0FAE">
      <w:pPr>
        <w:spacing w:line="480" w:lineRule="auto"/>
        <w:ind w:firstLine="720"/>
        <w:jc w:val="both"/>
        <w:rPr>
          <w:color w:val="000000" w:themeColor="text1"/>
        </w:rPr>
      </w:pPr>
      <w:bookmarkStart w:id="167" w:name="OLE_LINK777"/>
      <w:bookmarkStart w:id="168" w:name="OLE_LINK778"/>
      <w:r w:rsidRPr="00E1253A">
        <w:rPr>
          <w:color w:val="000000" w:themeColor="text1"/>
        </w:rPr>
        <w:t>Whereas the original entrepreneur was a single person who exercised the entrepreneurial force of direction alone</w:t>
      </w:r>
      <w:bookmarkEnd w:id="167"/>
      <w:bookmarkEnd w:id="168"/>
      <w:r w:rsidRPr="00E1253A">
        <w:rPr>
          <w:color w:val="000000" w:themeColor="text1"/>
        </w:rPr>
        <w:t xml:space="preserve">, the </w:t>
      </w:r>
      <w:bookmarkStart w:id="169" w:name="OLE_LINK779"/>
      <w:bookmarkStart w:id="170" w:name="OLE_LINK780"/>
      <w:r w:rsidRPr="00E1253A">
        <w:rPr>
          <w:color w:val="000000" w:themeColor="text1"/>
        </w:rPr>
        <w:t xml:space="preserve">development of capitalism has seen the fragmentation of property </w:t>
      </w:r>
      <w:r w:rsidR="00421FC4" w:rsidRPr="00E1253A">
        <w:rPr>
          <w:color w:val="000000" w:themeColor="text1"/>
        </w:rPr>
        <w:t>ownership but</w:t>
      </w:r>
      <w:r w:rsidRPr="00E1253A">
        <w:rPr>
          <w:color w:val="000000" w:themeColor="text1"/>
        </w:rPr>
        <w:t xml:space="preserve"> has also brought about new ways of ensuring that fragmentation does not block the entrepreneurial force of direction</w:t>
      </w:r>
      <w:bookmarkEnd w:id="169"/>
      <w:bookmarkEnd w:id="170"/>
      <w:r w:rsidRPr="00E1253A">
        <w:rPr>
          <w:color w:val="000000" w:themeColor="text1"/>
        </w:rPr>
        <w:t xml:space="preserve">. </w:t>
      </w:r>
      <w:r w:rsidR="00FB32DE" w:rsidRPr="00E1253A">
        <w:rPr>
          <w:color w:val="000000" w:themeColor="text1"/>
        </w:rPr>
        <w:t>“</w:t>
      </w:r>
      <w:r w:rsidRPr="00E1253A">
        <w:rPr>
          <w:color w:val="000000" w:themeColor="text1"/>
        </w:rPr>
        <w:t xml:space="preserve">On the contrary, </w:t>
      </w:r>
      <w:bookmarkStart w:id="171" w:name="OLE_LINK781"/>
      <w:bookmarkStart w:id="172" w:name="OLE_LINK782"/>
      <w:r w:rsidRPr="00E1253A">
        <w:rPr>
          <w:color w:val="000000" w:themeColor="text1"/>
        </w:rPr>
        <w:t xml:space="preserve">the </w:t>
      </w:r>
      <w:bookmarkStart w:id="173" w:name="OLE_LINK775"/>
      <w:bookmarkStart w:id="174" w:name="OLE_LINK776"/>
      <w:r w:rsidRPr="00E1253A">
        <w:rPr>
          <w:color w:val="000000" w:themeColor="text1"/>
        </w:rPr>
        <w:t>entrepreneurial force feeds on fragmentation to provide orientation to economic activity</w:t>
      </w:r>
      <w:bookmarkEnd w:id="171"/>
      <w:bookmarkEnd w:id="172"/>
      <w:bookmarkEnd w:id="173"/>
      <w:bookmarkEnd w:id="174"/>
      <w:r w:rsidRPr="00E1253A">
        <w:rPr>
          <w:color w:val="000000" w:themeColor="text1"/>
        </w:rPr>
        <w:t>, up to the point at which further fragmentation of property ownership undermines the entrepreneurial force and gives rise to a new, better-suited model of corporate governance</w:t>
      </w:r>
      <w:r w:rsidR="009340E5" w:rsidRPr="00E1253A">
        <w:rPr>
          <w:color w:val="000000" w:themeColor="text1"/>
        </w:rPr>
        <w:t xml:space="preserve">. </w:t>
      </w:r>
      <w:bookmarkStart w:id="175" w:name="OLE_LINK698"/>
      <w:bookmarkStart w:id="176" w:name="OLE_LINK699"/>
      <w:bookmarkStart w:id="177" w:name="OLE_LINK47"/>
      <w:r w:rsidR="00DA3446" w:rsidRPr="00E1253A">
        <w:rPr>
          <w:color w:val="000000" w:themeColor="text1"/>
        </w:rPr>
        <w:t>Questions of trust, confidence, and legitimacy e</w:t>
      </w:r>
      <w:r w:rsidR="009340E5" w:rsidRPr="00E1253A">
        <w:rPr>
          <w:color w:val="000000" w:themeColor="text1"/>
        </w:rPr>
        <w:t>merges at precise moments of crisis in the history of the corporation</w:t>
      </w:r>
      <w:r w:rsidR="00FB32DE" w:rsidRPr="00E1253A">
        <w:rPr>
          <w:color w:val="000000" w:themeColor="text1"/>
        </w:rPr>
        <w:t xml:space="preserve">. At these times there is a rebalancing between the two forces. </w:t>
      </w:r>
      <w:bookmarkEnd w:id="175"/>
      <w:bookmarkEnd w:id="176"/>
      <w:bookmarkEnd w:id="177"/>
    </w:p>
    <w:p w14:paraId="44A91CAE" w14:textId="00699EB6" w:rsidR="00421FC4" w:rsidRPr="00E1253A" w:rsidRDefault="00AF0FAE" w:rsidP="0012453C">
      <w:pPr>
        <w:spacing w:line="480" w:lineRule="auto"/>
        <w:ind w:firstLine="720"/>
        <w:jc w:val="both"/>
        <w:rPr>
          <w:color w:val="000000" w:themeColor="text1"/>
        </w:rPr>
      </w:pPr>
      <w:r w:rsidRPr="00E1253A">
        <w:rPr>
          <w:color w:val="000000" w:themeColor="text1"/>
        </w:rPr>
        <w:t xml:space="preserve">The </w:t>
      </w:r>
      <w:r w:rsidR="007F086B" w:rsidRPr="00E1253A">
        <w:rPr>
          <w:color w:val="000000" w:themeColor="text1"/>
        </w:rPr>
        <w:t>government plays an active role in facilitating the stability of the economy through the regulation of corporate entities. Importantly, corporate governance has been shown to be a key factor in maintaining trust and confidence in the economy. The political logic revealed by the interplay between social fragmentation and the entrepreneurial force of control importantly shed light on the substance and evolution of corporate governance. Pierre has specifically tied the evolution of corporate governance</w:t>
      </w:r>
      <w:r w:rsidR="002B3717" w:rsidRPr="00E1253A">
        <w:rPr>
          <w:color w:val="000000" w:themeColor="text1"/>
        </w:rPr>
        <w:t xml:space="preserve"> </w:t>
      </w:r>
      <w:r w:rsidR="001844E9" w:rsidRPr="00E1253A">
        <w:rPr>
          <w:color w:val="000000" w:themeColor="text1"/>
        </w:rPr>
        <w:t>to the public confidence in the legitimacy of the political economy</w:t>
      </w:r>
      <w:r w:rsidR="002B3717" w:rsidRPr="00E1253A">
        <w:rPr>
          <w:color w:val="000000" w:themeColor="text1"/>
        </w:rPr>
        <w:t>.</w:t>
      </w:r>
      <w:r w:rsidR="001844E9" w:rsidRPr="00E1253A">
        <w:rPr>
          <w:color w:val="000000" w:themeColor="text1"/>
        </w:rPr>
        <w:t xml:space="preserve"> He argues that it is important that individuals maintain confidence in the system, as without confidence, any guarantee provided by corporate governance would be far too costly. </w:t>
      </w:r>
      <w:r w:rsidR="005C793F" w:rsidRPr="00E1253A">
        <w:rPr>
          <w:color w:val="000000" w:themeColor="text1"/>
        </w:rPr>
        <w:t>A</w:t>
      </w:r>
      <w:r w:rsidR="001844E9" w:rsidRPr="00E1253A">
        <w:rPr>
          <w:color w:val="000000" w:themeColor="text1"/>
        </w:rPr>
        <w:t xml:space="preserve"> lack of confidence </w:t>
      </w:r>
      <w:r w:rsidR="005C793F" w:rsidRPr="00E1253A">
        <w:rPr>
          <w:color w:val="000000" w:themeColor="text1"/>
        </w:rPr>
        <w:t>“</w:t>
      </w:r>
      <w:r w:rsidR="001844E9" w:rsidRPr="00E1253A">
        <w:rPr>
          <w:color w:val="000000" w:themeColor="text1"/>
        </w:rPr>
        <w:t>quickly blocks the system and stymies the entrepreneurial force of direction</w:t>
      </w:r>
      <w:r w:rsidR="005C793F" w:rsidRPr="00E1253A">
        <w:rPr>
          <w:color w:val="000000" w:themeColor="text1"/>
        </w:rPr>
        <w:t>”, just as public mistrust in the past first struck “</w:t>
      </w:r>
      <w:r w:rsidR="001844E9" w:rsidRPr="00E1253A">
        <w:rPr>
          <w:color w:val="000000" w:themeColor="text1"/>
        </w:rPr>
        <w:t>the individual entrepreneur and then the management of the modern corporatio</w:t>
      </w:r>
      <w:r w:rsidR="005C793F" w:rsidRPr="00E1253A">
        <w:rPr>
          <w:color w:val="000000" w:themeColor="text1"/>
        </w:rPr>
        <w:t>n… and now the financial markets”.</w:t>
      </w:r>
      <w:r w:rsidR="005C793F" w:rsidRPr="00E1253A">
        <w:rPr>
          <w:color w:val="000000" w:themeColor="text1"/>
          <w:vertAlign w:val="superscript"/>
        </w:rPr>
        <w:footnoteReference w:id="71"/>
      </w:r>
      <w:r w:rsidR="005C793F" w:rsidRPr="00E1253A">
        <w:rPr>
          <w:color w:val="000000" w:themeColor="text1"/>
        </w:rPr>
        <w:t xml:space="preserve"> </w:t>
      </w:r>
      <w:r w:rsidR="001844E9" w:rsidRPr="00E1253A">
        <w:rPr>
          <w:color w:val="000000" w:themeColor="text1"/>
        </w:rPr>
        <w:t>To economists and finance theorists, these variations of confidence are well known as the driving force behind speculative bubbles</w:t>
      </w:r>
      <w:r w:rsidR="00127B91" w:rsidRPr="00E1253A">
        <w:rPr>
          <w:color w:val="000000" w:themeColor="text1"/>
        </w:rPr>
        <w:t>,” in recent times.</w:t>
      </w:r>
      <w:bookmarkStart w:id="178" w:name="OLE_LINK684"/>
      <w:bookmarkStart w:id="179" w:name="OLE_LINK685"/>
      <w:r w:rsidR="005C793F" w:rsidRPr="00E1253A">
        <w:rPr>
          <w:color w:val="000000" w:themeColor="text1"/>
          <w:vertAlign w:val="superscript"/>
        </w:rPr>
        <w:footnoteReference w:id="72"/>
      </w:r>
      <w:bookmarkEnd w:id="178"/>
      <w:bookmarkEnd w:id="179"/>
      <w:r w:rsidR="002015B4" w:rsidRPr="00E1253A">
        <w:rPr>
          <w:color w:val="000000" w:themeColor="text1"/>
        </w:rPr>
        <w:t>He states,</w:t>
      </w:r>
      <w:r w:rsidR="00127B91" w:rsidRPr="00E1253A">
        <w:rPr>
          <w:color w:val="000000" w:themeColor="text1"/>
        </w:rPr>
        <w:t xml:space="preserve"> </w:t>
      </w:r>
      <w:r w:rsidR="002015B4" w:rsidRPr="00E1253A">
        <w:rPr>
          <w:color w:val="000000" w:themeColor="text1"/>
        </w:rPr>
        <w:t>“with more and more different individual interests concerned, each with its own point of view – managers, shareholders, financial intermediaries, members of society at large – the amount and the cost of information necessary to ensure adequate corporate governance become very high, [and under these] conditions, the financial markets’ role of effecting strategic choices and acting as the entrepreneurial force becomes a process driven not by deliberation, but, increasingly, by opinion”.</w:t>
      </w:r>
      <w:bookmarkStart w:id="180" w:name="OLE_LINK785"/>
      <w:bookmarkStart w:id="181" w:name="OLE_LINK786"/>
      <w:bookmarkStart w:id="182" w:name="OLE_LINK789"/>
      <w:bookmarkStart w:id="183" w:name="OLE_LINK790"/>
      <w:r w:rsidR="002015B4" w:rsidRPr="00E1253A">
        <w:rPr>
          <w:color w:val="000000" w:themeColor="text1"/>
          <w:vertAlign w:val="superscript"/>
        </w:rPr>
        <w:footnoteReference w:id="73"/>
      </w:r>
      <w:bookmarkEnd w:id="180"/>
      <w:bookmarkEnd w:id="181"/>
      <w:r w:rsidR="002015B4" w:rsidRPr="00E1253A">
        <w:rPr>
          <w:color w:val="000000" w:themeColor="text1"/>
        </w:rPr>
        <w:t xml:space="preserve"> </w:t>
      </w:r>
      <w:bookmarkEnd w:id="182"/>
      <w:bookmarkEnd w:id="183"/>
    </w:p>
    <w:p w14:paraId="59FDA99E" w14:textId="38158A0F" w:rsidR="0040002C" w:rsidRPr="00E1253A" w:rsidRDefault="002015B4" w:rsidP="0012453C">
      <w:pPr>
        <w:spacing w:line="480" w:lineRule="auto"/>
        <w:ind w:firstLine="720"/>
        <w:jc w:val="both"/>
        <w:rPr>
          <w:color w:val="000000" w:themeColor="text1"/>
          <w:vertAlign w:val="superscript"/>
        </w:rPr>
      </w:pPr>
      <w:r w:rsidRPr="00E1253A">
        <w:rPr>
          <w:color w:val="000000" w:themeColor="text1"/>
        </w:rPr>
        <w:t>Following crises in confidence the government plays a central role in reestablishing credible confidence in the economy as a whole, as well in individual corporate entities. In 1934, it was imperative for state intervention to forcefully reestablish public confidence, and Congress passed the Securities and Exchange Act. In 2003</w:t>
      </w:r>
      <w:r w:rsidR="00A1346E" w:rsidRPr="00E1253A">
        <w:rPr>
          <w:color w:val="000000" w:themeColor="text1"/>
        </w:rPr>
        <w:t>,</w:t>
      </w:r>
      <w:r w:rsidRPr="00E1253A">
        <w:rPr>
          <w:color w:val="000000" w:themeColor="text1"/>
        </w:rPr>
        <w:t xml:space="preserve"> following </w:t>
      </w:r>
      <w:r w:rsidR="00A1346E" w:rsidRPr="00E1253A">
        <w:rPr>
          <w:color w:val="000000" w:themeColor="text1"/>
        </w:rPr>
        <w:t xml:space="preserve">the burst of the ‘Dotcom Bubble’ and </w:t>
      </w:r>
      <w:r w:rsidRPr="00E1253A">
        <w:rPr>
          <w:color w:val="000000" w:themeColor="text1"/>
        </w:rPr>
        <w:t xml:space="preserve">the </w:t>
      </w:r>
      <w:r w:rsidR="00A1346E" w:rsidRPr="00E1253A">
        <w:rPr>
          <w:color w:val="000000" w:themeColor="text1"/>
        </w:rPr>
        <w:t xml:space="preserve">spate of corporate misconduct and scandals, there was similarly a necessity for state intervention “to restore public confidence in the corporate governance system, [or] in other words to strengthen the legal, institutional, and practical bases for individual confidence in the long-term </w:t>
      </w:r>
      <w:bookmarkStart w:id="184" w:name="OLE_LINK787"/>
      <w:bookmarkStart w:id="185" w:name="OLE_LINK788"/>
      <w:r w:rsidR="00A1346E" w:rsidRPr="00E1253A">
        <w:rPr>
          <w:color w:val="000000" w:themeColor="text1"/>
        </w:rPr>
        <w:t>viability of publicly quoted corporations</w:t>
      </w:r>
      <w:bookmarkEnd w:id="184"/>
      <w:bookmarkEnd w:id="185"/>
      <w:r w:rsidR="00A1346E" w:rsidRPr="00E1253A">
        <w:rPr>
          <w:color w:val="000000" w:themeColor="text1"/>
        </w:rPr>
        <w:t>”.</w:t>
      </w:r>
      <w:r w:rsidR="00127B91" w:rsidRPr="00E1253A">
        <w:rPr>
          <w:color w:val="000000" w:themeColor="text1"/>
          <w:vertAlign w:val="superscript"/>
        </w:rPr>
        <w:footnoteReference w:id="74"/>
      </w:r>
      <w:r w:rsidR="00127B91" w:rsidRPr="00E1253A">
        <w:rPr>
          <w:color w:val="000000" w:themeColor="text1"/>
        </w:rPr>
        <w:t xml:space="preserve"> </w:t>
      </w:r>
      <w:r w:rsidR="00A1346E" w:rsidRPr="00E1253A">
        <w:rPr>
          <w:color w:val="000000" w:themeColor="text1"/>
        </w:rPr>
        <w:t xml:space="preserve"> Thus, Congress passed Sarbanes-Oxley establishing new auditing and accounting standards to reestablish market confidence.</w:t>
      </w:r>
      <w:r w:rsidR="003E49F9" w:rsidRPr="00E1253A">
        <w:rPr>
          <w:color w:val="000000" w:themeColor="text1"/>
        </w:rPr>
        <w:t xml:space="preserve"> </w:t>
      </w:r>
    </w:p>
    <w:p w14:paraId="4FDF852B" w14:textId="0D670B90" w:rsidR="001608DC" w:rsidRPr="00E1253A" w:rsidRDefault="001608DC" w:rsidP="00AF0FAE">
      <w:pPr>
        <w:spacing w:line="480" w:lineRule="auto"/>
        <w:ind w:firstLine="720"/>
        <w:jc w:val="both"/>
        <w:rPr>
          <w:color w:val="000000" w:themeColor="text1"/>
        </w:rPr>
      </w:pPr>
      <w:r w:rsidRPr="00E1253A">
        <w:rPr>
          <w:color w:val="000000" w:themeColor="text1"/>
        </w:rPr>
        <w:t>In the following section I will explore the legal scholarship on corporate governance and the role of fiduciaries in effectuating corporate agency.</w:t>
      </w:r>
      <w:r w:rsidR="008550AF" w:rsidRPr="00E1253A">
        <w:rPr>
          <w:color w:val="000000" w:themeColor="text1"/>
        </w:rPr>
        <w:t xml:space="preserve"> I will elucidate the nature of fiduciary duties, and the distinct agency problems created. I will specifically consider the law and economics scholarship behind the neoclassical paradigm of the firm as a nexus of private contracts to address the shortcomings </w:t>
      </w:r>
      <w:r w:rsidR="003E49F9" w:rsidRPr="00E1253A">
        <w:rPr>
          <w:color w:val="000000" w:themeColor="text1"/>
        </w:rPr>
        <w:t xml:space="preserve">of </w:t>
      </w:r>
      <w:r w:rsidR="008550AF" w:rsidRPr="00E1253A">
        <w:rPr>
          <w:color w:val="000000" w:themeColor="text1"/>
        </w:rPr>
        <w:t>a purely economic conception of the corporation.</w:t>
      </w:r>
      <w:r w:rsidR="003E49F9" w:rsidRPr="00E1253A">
        <w:rPr>
          <w:color w:val="000000" w:themeColor="text1"/>
        </w:rPr>
        <w:t xml:space="preserve"> </w:t>
      </w:r>
    </w:p>
    <w:p w14:paraId="292B7BDF" w14:textId="77777777" w:rsidR="001608DC" w:rsidRPr="00E1253A" w:rsidRDefault="001608DC" w:rsidP="0012453C">
      <w:pPr>
        <w:spacing w:line="480" w:lineRule="auto"/>
        <w:jc w:val="both"/>
        <w:rPr>
          <w:color w:val="000000" w:themeColor="text1"/>
        </w:rPr>
      </w:pPr>
    </w:p>
    <w:p w14:paraId="73610B41" w14:textId="77777777" w:rsidR="0040002C" w:rsidRPr="00E1253A" w:rsidRDefault="0040002C" w:rsidP="0012453C">
      <w:pPr>
        <w:spacing w:line="480" w:lineRule="auto"/>
        <w:jc w:val="both"/>
        <w:rPr>
          <w:color w:val="000000" w:themeColor="text1"/>
        </w:rPr>
      </w:pPr>
    </w:p>
    <w:p w14:paraId="584534AE" w14:textId="77777777" w:rsidR="00D35A84" w:rsidRPr="00E1253A" w:rsidRDefault="00D35A84" w:rsidP="0012453C">
      <w:pPr>
        <w:pBdr>
          <w:top w:val="single" w:sz="4" w:space="1" w:color="auto"/>
        </w:pBdr>
        <w:spacing w:line="480" w:lineRule="auto"/>
        <w:jc w:val="both"/>
        <w:rPr>
          <w:color w:val="000000" w:themeColor="text1"/>
        </w:rPr>
      </w:pPr>
    </w:p>
    <w:p w14:paraId="06376972" w14:textId="66449834" w:rsidR="00B92385" w:rsidRPr="00E1253A" w:rsidRDefault="007B2E8E" w:rsidP="0012453C">
      <w:pPr>
        <w:pStyle w:val="Heading1"/>
        <w:spacing w:line="480" w:lineRule="auto"/>
        <w:jc w:val="both"/>
      </w:pPr>
      <w:r w:rsidRPr="00E1253A">
        <w:t>Corporate Purpose</w:t>
      </w:r>
      <w:r w:rsidR="000833A9" w:rsidRPr="00E1253A">
        <w:t xml:space="preserve"> </w:t>
      </w:r>
      <w:r w:rsidR="00417EE3" w:rsidRPr="00E1253A">
        <w:t>&amp; Fiduciary Duties</w:t>
      </w:r>
      <w:r w:rsidR="000833A9" w:rsidRPr="00E1253A">
        <w:t xml:space="preserve">/ </w:t>
      </w:r>
      <w:bookmarkStart w:id="186" w:name="OLE_LINK165"/>
      <w:bookmarkStart w:id="187" w:name="OLE_LINK166"/>
      <w:r w:rsidR="00311E2A" w:rsidRPr="00E1253A">
        <w:t>Decision-making</w:t>
      </w:r>
    </w:p>
    <w:p w14:paraId="767607F5" w14:textId="5F266A1E" w:rsidR="009C3444" w:rsidRPr="00E1253A" w:rsidRDefault="00B92385" w:rsidP="0012453C">
      <w:pPr>
        <w:spacing w:line="480" w:lineRule="auto"/>
        <w:jc w:val="both"/>
        <w:rPr>
          <w:color w:val="000000" w:themeColor="text1"/>
        </w:rPr>
      </w:pPr>
      <w:r w:rsidRPr="00E1253A">
        <w:rPr>
          <w:color w:val="000000" w:themeColor="text1"/>
        </w:rPr>
        <w:t xml:space="preserve">Central to corporate conduct are the role of corporate agents whom exercise collective sovereignty over the enterprise. </w:t>
      </w:r>
      <w:r w:rsidR="009C3444" w:rsidRPr="00E1253A">
        <w:rPr>
          <w:color w:val="000000" w:themeColor="text1"/>
        </w:rPr>
        <w:t>In this section I will evaluate the legal, economics, and political science literature on corporate purpose to elucidate that United States corporate fiduciary law in fact imposes no affirmative obligations on directors to maximize shareholder profits</w:t>
      </w:r>
      <w:bookmarkEnd w:id="186"/>
      <w:bookmarkEnd w:id="187"/>
      <w:r w:rsidR="009C3444" w:rsidRPr="00E1253A">
        <w:rPr>
          <w:color w:val="000000" w:themeColor="text1"/>
        </w:rPr>
        <w:t xml:space="preserve">. </w:t>
      </w:r>
      <w:r w:rsidR="00311E2A" w:rsidRPr="00E1253A">
        <w:rPr>
          <w:color w:val="000000" w:themeColor="text1"/>
        </w:rPr>
        <w:t>I will</w:t>
      </w:r>
      <w:r w:rsidR="00640D04" w:rsidRPr="00E1253A">
        <w:rPr>
          <w:color w:val="000000" w:themeColor="text1"/>
        </w:rPr>
        <w:t xml:space="preserve"> analyze the merits of the neoclassical conception of the firm as the nexus of private contracts, however, will reveal how framing the principal-agency relationship in terms of a narrow property rights analysis fails to account for the broad determinants of corporate success beyond short term financial performance. I will demonstrate that although</w:t>
      </w:r>
      <w:r w:rsidR="00741D70" w:rsidRPr="00E1253A">
        <w:rPr>
          <w:color w:val="000000" w:themeColor="text1"/>
        </w:rPr>
        <w:t xml:space="preserve"> c</w:t>
      </w:r>
      <w:r w:rsidR="009C3444" w:rsidRPr="00E1253A">
        <w:rPr>
          <w:color w:val="000000" w:themeColor="text1"/>
        </w:rPr>
        <w:t>orporate fiduciaries are legally bound to act in the interest of the corporation</w:t>
      </w:r>
      <w:r w:rsidR="00741D70" w:rsidRPr="00E1253A">
        <w:rPr>
          <w:color w:val="000000" w:themeColor="text1"/>
        </w:rPr>
        <w:t xml:space="preserve"> </w:t>
      </w:r>
      <w:r w:rsidR="009C3444" w:rsidRPr="00E1253A">
        <w:rPr>
          <w:color w:val="000000" w:themeColor="text1"/>
        </w:rPr>
        <w:t>and its shareholders</w:t>
      </w:r>
      <w:r w:rsidR="00741D70" w:rsidRPr="00E1253A">
        <w:rPr>
          <w:color w:val="000000" w:themeColor="text1"/>
        </w:rPr>
        <w:t xml:space="preserve">, </w:t>
      </w:r>
      <w:r w:rsidR="00640D04" w:rsidRPr="00E1253A">
        <w:rPr>
          <w:color w:val="000000" w:themeColor="text1"/>
        </w:rPr>
        <w:t>they</w:t>
      </w:r>
      <w:r w:rsidR="00741D70" w:rsidRPr="00E1253A">
        <w:rPr>
          <w:color w:val="000000" w:themeColor="text1"/>
        </w:rPr>
        <w:t xml:space="preserve"> are provided broad discretion</w:t>
      </w:r>
      <w:r w:rsidRPr="00E1253A">
        <w:rPr>
          <w:color w:val="000000" w:themeColor="text1"/>
        </w:rPr>
        <w:t xml:space="preserve"> in actuating this goa</w:t>
      </w:r>
      <w:r w:rsidR="00640D04" w:rsidRPr="00E1253A">
        <w:rPr>
          <w:color w:val="000000" w:themeColor="text1"/>
        </w:rPr>
        <w:t>l akin to</w:t>
      </w:r>
      <w:r w:rsidR="00E10541" w:rsidRPr="00E1253A">
        <w:rPr>
          <w:color w:val="000000" w:themeColor="text1"/>
        </w:rPr>
        <w:t xml:space="preserve"> role of</w:t>
      </w:r>
      <w:r w:rsidR="00640D04" w:rsidRPr="00E1253A">
        <w:rPr>
          <w:color w:val="000000" w:themeColor="text1"/>
        </w:rPr>
        <w:t xml:space="preserve"> a governor </w:t>
      </w:r>
      <w:r w:rsidR="00E10541" w:rsidRPr="00E1253A">
        <w:rPr>
          <w:color w:val="000000" w:themeColor="text1"/>
        </w:rPr>
        <w:t>of a state</w:t>
      </w:r>
      <w:r w:rsidR="00F93AE8" w:rsidRPr="00E1253A">
        <w:rPr>
          <w:color w:val="000000" w:themeColor="text1"/>
        </w:rPr>
        <w:t>,</w:t>
      </w:r>
      <w:r w:rsidR="00E10541" w:rsidRPr="00E1253A">
        <w:rPr>
          <w:color w:val="000000" w:themeColor="text1"/>
        </w:rPr>
        <w:t xml:space="preserve"> or trustee of a trust—rather than a surrogate bound by obedience to a singular principal.</w:t>
      </w:r>
      <w:r w:rsidR="00F93AE8" w:rsidRPr="00E1253A">
        <w:rPr>
          <w:color w:val="000000" w:themeColor="text1"/>
        </w:rPr>
        <w:t xml:space="preserve"> Thus, I will show the shortcomings of the neoclassical paradigm </w:t>
      </w:r>
      <w:r w:rsidR="004223B5" w:rsidRPr="00E1253A">
        <w:rPr>
          <w:color w:val="000000" w:themeColor="text1"/>
        </w:rPr>
        <w:t xml:space="preserve">of shareholder primacy </w:t>
      </w:r>
      <w:r w:rsidR="00F93AE8" w:rsidRPr="00E1253A">
        <w:rPr>
          <w:color w:val="000000" w:themeColor="text1"/>
        </w:rPr>
        <w:t>as an empirically inaccurate</w:t>
      </w:r>
      <w:r w:rsidR="004223B5" w:rsidRPr="00E1253A">
        <w:rPr>
          <w:color w:val="000000" w:themeColor="text1"/>
        </w:rPr>
        <w:t xml:space="preserve"> and theoretically flawed</w:t>
      </w:r>
      <w:r w:rsidR="00F93AE8" w:rsidRPr="00E1253A">
        <w:rPr>
          <w:color w:val="000000" w:themeColor="text1"/>
        </w:rPr>
        <w:t xml:space="preserve"> conception of corporate purpose. </w:t>
      </w:r>
    </w:p>
    <w:p w14:paraId="1A61B338" w14:textId="126A68BD" w:rsidR="00D44C57" w:rsidRPr="00E1253A" w:rsidRDefault="00D44C57" w:rsidP="0012453C">
      <w:pPr>
        <w:pStyle w:val="Heading2"/>
        <w:numPr>
          <w:ilvl w:val="0"/>
          <w:numId w:val="5"/>
        </w:numPr>
        <w:spacing w:line="480" w:lineRule="auto"/>
        <w:contextualSpacing w:val="0"/>
        <w:jc w:val="both"/>
      </w:pPr>
      <w:r w:rsidRPr="00E1253A">
        <w:t>Nature of Corporate Fiduciary Duties</w:t>
      </w:r>
    </w:p>
    <w:p w14:paraId="304F967E" w14:textId="47CA2C6C" w:rsidR="00342B3B" w:rsidRPr="00E1253A" w:rsidRDefault="00342B3B" w:rsidP="0012453C">
      <w:pPr>
        <w:spacing w:line="480" w:lineRule="auto"/>
        <w:jc w:val="both"/>
        <w:rPr>
          <w:color w:val="000000" w:themeColor="text1"/>
        </w:rPr>
      </w:pPr>
      <w:bookmarkStart w:id="188" w:name="OLE_LINK328"/>
      <w:bookmarkStart w:id="189" w:name="OLE_LINK329"/>
      <w:r w:rsidRPr="00E1253A">
        <w:rPr>
          <w:color w:val="000000" w:themeColor="text1"/>
        </w:rPr>
        <w:t>One of the principal motivating uses of the corporate form is the benefits of centralized managemen</w:t>
      </w:r>
      <w:r w:rsidR="00242CFD" w:rsidRPr="00E1253A">
        <w:rPr>
          <w:color w:val="000000" w:themeColor="text1"/>
        </w:rPr>
        <w:t>t</w:t>
      </w:r>
      <w:r w:rsidR="003E49F9" w:rsidRPr="00E1253A">
        <w:rPr>
          <w:color w:val="000000" w:themeColor="text1"/>
        </w:rPr>
        <w:t xml:space="preserve"> under a board structure</w:t>
      </w:r>
      <w:r w:rsidR="00242CFD" w:rsidRPr="00E1253A">
        <w:rPr>
          <w:color w:val="000000" w:themeColor="text1"/>
        </w:rPr>
        <w:t xml:space="preserve">. Under this form of governance, </w:t>
      </w:r>
      <w:r w:rsidRPr="00E1253A">
        <w:rPr>
          <w:color w:val="000000" w:themeColor="text1"/>
        </w:rPr>
        <w:t xml:space="preserve">the investors in a corporation </w:t>
      </w:r>
      <w:r w:rsidR="00242CFD" w:rsidRPr="00E1253A">
        <w:rPr>
          <w:color w:val="000000" w:themeColor="text1"/>
        </w:rPr>
        <w:t>“</w:t>
      </w:r>
      <w:r w:rsidRPr="00E1253A">
        <w:rPr>
          <w:color w:val="000000" w:themeColor="text1"/>
        </w:rPr>
        <w:t>delegate most of the authority to run the business enterprise to agents that they elect—namely the corporation’s board of directors”, whom are “unique because they cannot be legally compelled by the shareholders to take any specific course of action and can generally be removed only for cause pending the next election of directors”.</w:t>
      </w:r>
      <w:bookmarkStart w:id="190" w:name="OLE_LINK167"/>
      <w:bookmarkStart w:id="191" w:name="OLE_LINK168"/>
      <w:r w:rsidRPr="00E1253A">
        <w:rPr>
          <w:rStyle w:val="FootnoteReference"/>
          <w:color w:val="000000" w:themeColor="text1"/>
        </w:rPr>
        <w:footnoteReference w:id="75"/>
      </w:r>
      <w:r w:rsidRPr="00E1253A">
        <w:rPr>
          <w:color w:val="000000" w:themeColor="text1"/>
        </w:rPr>
        <w:t xml:space="preserve"> </w:t>
      </w:r>
      <w:bookmarkStart w:id="192" w:name="OLE_LINK221"/>
      <w:bookmarkStart w:id="193" w:name="OLE_LINK222"/>
      <w:bookmarkEnd w:id="190"/>
      <w:bookmarkEnd w:id="191"/>
      <w:r w:rsidRPr="00E1253A">
        <w:rPr>
          <w:color w:val="000000" w:themeColor="text1"/>
        </w:rPr>
        <w:t xml:space="preserve">Corporate fiduciaries exercising control over the enterprise and its resources are subjected to a host of restrictions, however, such that they act as stewards of the corporation. As the founding entrepreneur—or co-foundering entrepreneurs—inevitably step down from managing </w:t>
      </w:r>
      <w:r w:rsidR="00FE1809" w:rsidRPr="00E1253A">
        <w:rPr>
          <w:color w:val="000000" w:themeColor="text1"/>
        </w:rPr>
        <w:t xml:space="preserve">a new </w:t>
      </w:r>
      <w:r w:rsidRPr="00E1253A">
        <w:rPr>
          <w:color w:val="000000" w:themeColor="text1"/>
        </w:rPr>
        <w:t xml:space="preserve">enterprise, </w:t>
      </w:r>
      <w:r w:rsidR="00FE1809" w:rsidRPr="00E1253A">
        <w:rPr>
          <w:color w:val="000000" w:themeColor="text1"/>
        </w:rPr>
        <w:t xml:space="preserve">new managers are eventually appointed. They </w:t>
      </w:r>
      <w:r w:rsidRPr="00E1253A">
        <w:rPr>
          <w:color w:val="000000" w:themeColor="text1"/>
        </w:rPr>
        <w:t xml:space="preserve">become </w:t>
      </w:r>
      <w:r w:rsidR="00FE1809" w:rsidRPr="00E1253A">
        <w:rPr>
          <w:color w:val="000000" w:themeColor="text1"/>
        </w:rPr>
        <w:t>“</w:t>
      </w:r>
      <w:r w:rsidRPr="00E1253A">
        <w:rPr>
          <w:color w:val="000000" w:themeColor="text1"/>
        </w:rPr>
        <w:t>successors to their founder’s powers—that is, the exclusive right to control the company—while at the same time having limited ownership of shares themselves”</w:t>
      </w:r>
      <w:bookmarkEnd w:id="192"/>
      <w:bookmarkEnd w:id="193"/>
      <w:r w:rsidRPr="00E1253A">
        <w:rPr>
          <w:color w:val="000000" w:themeColor="text1"/>
        </w:rPr>
        <w:t xml:space="preserve">, </w:t>
      </w:r>
      <w:r w:rsidR="00126DB1" w:rsidRPr="00E1253A">
        <w:rPr>
          <w:color w:val="000000" w:themeColor="text1"/>
        </w:rPr>
        <w:t xml:space="preserve">ultimately causing </w:t>
      </w:r>
      <w:r w:rsidRPr="00E1253A">
        <w:rPr>
          <w:color w:val="000000" w:themeColor="text1"/>
        </w:rPr>
        <w:t>a divergence of incentives between controlling shareholders, management, and the rest of the company’s stakeholders. Fiduciary duties provide the legal framework by which corporate managers, directors, and even controlling shareholders are held legally accountable to act as trustees for the benefit of the corporate enterprise. In this section I will briefly analyze the nature of fiduciary obligations under United States law</w:t>
      </w:r>
      <w:r w:rsidR="00126DB1" w:rsidRPr="00E1253A">
        <w:rPr>
          <w:color w:val="000000" w:themeColor="text1"/>
        </w:rPr>
        <w:t xml:space="preserve"> to reveal the shortcomings of a purely economic conception of corporate duties based on a narrow interpretation of property rights. I will reveal how the neoliberal paradigm, by conflating shareholders with owners in the property sense, mistakenly misconstrue the </w:t>
      </w:r>
      <w:r w:rsidR="00D57464" w:rsidRPr="00E1253A">
        <w:rPr>
          <w:color w:val="000000" w:themeColor="text1"/>
        </w:rPr>
        <w:t xml:space="preserve">nature and extent of the </w:t>
      </w:r>
      <w:r w:rsidR="00126DB1" w:rsidRPr="00E1253A">
        <w:rPr>
          <w:color w:val="000000" w:themeColor="text1"/>
        </w:rPr>
        <w:t xml:space="preserve">agency relationship </w:t>
      </w:r>
      <w:r w:rsidR="00D57464" w:rsidRPr="00E1253A">
        <w:rPr>
          <w:color w:val="000000" w:themeColor="text1"/>
        </w:rPr>
        <w:t xml:space="preserve">between shareholders and directors as being the single relevant relation. </w:t>
      </w:r>
    </w:p>
    <w:p w14:paraId="784D1C2A" w14:textId="77777777" w:rsidR="00342B3B" w:rsidRPr="00E1253A" w:rsidRDefault="00342B3B" w:rsidP="0012453C">
      <w:pPr>
        <w:spacing w:line="480" w:lineRule="auto"/>
        <w:ind w:firstLine="720"/>
        <w:jc w:val="both"/>
        <w:rPr>
          <w:color w:val="000000" w:themeColor="text1"/>
        </w:rPr>
      </w:pPr>
      <w:bookmarkStart w:id="194" w:name="OLE_LINK46"/>
      <w:bookmarkStart w:id="195" w:name="OLE_LINK48"/>
      <w:r w:rsidRPr="00E1253A">
        <w:rPr>
          <w:color w:val="000000" w:themeColor="text1"/>
        </w:rPr>
        <w:t>In the United States the fiduciary duties of directors and officers are regulated at the state level but do follow a number of general patterns that hold across states. Corporate officers and directors owe a duty to the corporation, and through the corporation to the shareholders.</w:t>
      </w:r>
      <w:r w:rsidRPr="00E1253A">
        <w:rPr>
          <w:color w:val="000000" w:themeColor="text1"/>
          <w:vertAlign w:val="superscript"/>
        </w:rPr>
        <w:footnoteReference w:id="76"/>
      </w:r>
      <w:r w:rsidRPr="00E1253A">
        <w:rPr>
          <w:color w:val="000000" w:themeColor="text1"/>
        </w:rPr>
        <w:t xml:space="preserve"> Accordingly, these fiduciary duties can be generally subdivided into the duty of care and the duty of loyalty. The duty of care requires action “on a fully informed basis, in good faith, with due diligence and care”.</w:t>
      </w:r>
      <w:r w:rsidRPr="00E1253A">
        <w:rPr>
          <w:color w:val="000000" w:themeColor="text1"/>
          <w:vertAlign w:val="superscript"/>
        </w:rPr>
        <w:footnoteReference w:id="77"/>
      </w:r>
      <w:r w:rsidRPr="00E1253A">
        <w:rPr>
          <w:color w:val="000000" w:themeColor="text1"/>
        </w:rPr>
        <w:t xml:space="preserve"> This was elucidated in the 1985 case </w:t>
      </w:r>
      <w:r w:rsidRPr="00E1253A">
        <w:rPr>
          <w:i/>
          <w:color w:val="000000" w:themeColor="text1"/>
        </w:rPr>
        <w:t xml:space="preserve">Smith v. Van </w:t>
      </w:r>
      <w:r w:rsidRPr="00E1253A">
        <w:rPr>
          <w:color w:val="000000" w:themeColor="text1"/>
        </w:rPr>
        <w:t>Gorkem, that requires directors inform themselves “prior to making a business decision, of all material information reasonably available to them”.</w:t>
      </w:r>
      <w:r w:rsidRPr="00E1253A">
        <w:rPr>
          <w:color w:val="000000" w:themeColor="text1"/>
          <w:vertAlign w:val="superscript"/>
        </w:rPr>
        <w:footnoteReference w:id="78"/>
      </w:r>
      <w:r w:rsidRPr="00E1253A">
        <w:rPr>
          <w:color w:val="000000" w:themeColor="text1"/>
        </w:rPr>
        <w:t xml:space="preserve"> According to </w:t>
      </w:r>
      <w:r w:rsidRPr="00E1253A">
        <w:rPr>
          <w:i/>
          <w:color w:val="000000" w:themeColor="text1"/>
        </w:rPr>
        <w:t xml:space="preserve">Smith v. Van Gorkem </w:t>
      </w:r>
      <w:r w:rsidRPr="00E1253A">
        <w:rPr>
          <w:color w:val="000000" w:themeColor="text1"/>
        </w:rPr>
        <w:t>(1985), a director may not simply accept information presented to them, but “rather, the director must assess the information with a ”critical eye,” so as to protect the interests of the corporation and its stockholders” with utmost care.</w:t>
      </w:r>
      <w:r w:rsidRPr="00E1253A">
        <w:rPr>
          <w:color w:val="000000" w:themeColor="text1"/>
          <w:vertAlign w:val="superscript"/>
        </w:rPr>
        <w:footnoteReference w:id="79"/>
      </w:r>
      <w:r w:rsidRPr="00E1253A">
        <w:rPr>
          <w:color w:val="000000" w:themeColor="text1"/>
        </w:rPr>
        <w:t xml:space="preserve"> The duty of care imposes an obligation on directors and officers to only act in the company’s best interests “using that degree of diligence, care, and skill which ordinarily prudent persons would reasonably exercise under similar circumstances in like positions”.</w:t>
      </w:r>
      <w:r w:rsidRPr="00E1253A">
        <w:rPr>
          <w:color w:val="000000" w:themeColor="text1"/>
          <w:vertAlign w:val="superscript"/>
        </w:rPr>
        <w:footnoteReference w:id="80"/>
      </w:r>
      <w:r w:rsidRPr="00E1253A">
        <w:rPr>
          <w:color w:val="000000" w:themeColor="text1"/>
        </w:rPr>
        <w:t xml:space="preserve"> </w:t>
      </w:r>
    </w:p>
    <w:p w14:paraId="7D9CC3E9" w14:textId="14E2A98D" w:rsidR="00D44C57" w:rsidRPr="00E1253A" w:rsidRDefault="00342B3B" w:rsidP="00AF0FAE">
      <w:pPr>
        <w:spacing w:line="480" w:lineRule="auto"/>
        <w:ind w:firstLine="720"/>
        <w:jc w:val="both"/>
        <w:rPr>
          <w:color w:val="000000" w:themeColor="text1"/>
        </w:rPr>
      </w:pPr>
      <w:r w:rsidRPr="00E1253A">
        <w:rPr>
          <w:color w:val="000000" w:themeColor="text1"/>
        </w:rPr>
        <w:t>The scope of the duty of loyalty, on the other hand, has “been defined by jurisprudence rather than statute”.</w:t>
      </w:r>
      <w:r w:rsidRPr="00E1253A">
        <w:rPr>
          <w:color w:val="000000" w:themeColor="text1"/>
          <w:vertAlign w:val="superscript"/>
        </w:rPr>
        <w:footnoteReference w:id="81"/>
      </w:r>
      <w:r w:rsidRPr="00E1253A">
        <w:rPr>
          <w:color w:val="000000" w:themeColor="text1"/>
        </w:rPr>
        <w:t xml:space="preserve"> The duty of loyalty requires corporate officers and directors act in the interest of the corporation, all its shareholders, and “are not permitted to use their position of trust and confidence to further their private interest”.</w:t>
      </w:r>
      <w:r w:rsidRPr="00E1253A">
        <w:rPr>
          <w:color w:val="000000" w:themeColor="text1"/>
          <w:vertAlign w:val="superscript"/>
        </w:rPr>
        <w:footnoteReference w:id="82"/>
      </w:r>
      <w:r w:rsidRPr="00E1253A">
        <w:rPr>
          <w:color w:val="000000" w:themeColor="text1"/>
        </w:rPr>
        <w:t xml:space="preserve"> Per the OECD Principles of Corporate Governance (2015), “even though a company might be controlled by another enterprise, the duty of loyalty for a board member [still] relates to the company and all its shareholders and not to the controlling company of the group”.</w:t>
      </w:r>
      <w:r w:rsidRPr="00E1253A">
        <w:rPr>
          <w:color w:val="000000" w:themeColor="text1"/>
          <w:vertAlign w:val="superscript"/>
        </w:rPr>
        <w:footnoteReference w:id="83"/>
      </w:r>
      <w:r w:rsidRPr="00E1253A">
        <w:rPr>
          <w:color w:val="000000" w:themeColor="text1"/>
        </w:rPr>
        <w:t xml:space="preserve"> Additionally, the Supreme Court of the United States addressed the issue in the landmark case of </w:t>
      </w:r>
      <w:r w:rsidRPr="00E1253A">
        <w:rPr>
          <w:i/>
          <w:color w:val="000000" w:themeColor="text1"/>
        </w:rPr>
        <w:t>Southern Pacific Co. v. Bogert</w:t>
      </w:r>
      <w:r w:rsidRPr="00E1253A">
        <w:rPr>
          <w:color w:val="000000" w:themeColor="text1"/>
        </w:rPr>
        <w:t>, stating “the majority has the right to control; but when it does so, it occupies a fiduciary relation toward the minority, as much so as the corporation itself or its officers and directors”.</w:t>
      </w:r>
      <w:r w:rsidRPr="00E1253A">
        <w:rPr>
          <w:color w:val="000000" w:themeColor="text1"/>
          <w:vertAlign w:val="superscript"/>
        </w:rPr>
        <w:footnoteReference w:id="84"/>
      </w:r>
      <w:r w:rsidRPr="00E1253A">
        <w:rPr>
          <w:color w:val="000000" w:themeColor="text1"/>
        </w:rPr>
        <w:t xml:space="preserve"> Thus, even the majority shareholders of a corporation whom hold effective control do not possess a recognized property right to control and dispose of corporate assets in the manners owners of tangible, or active, property have the liberty to do so. Shareholders sacrifice the right to ‘control’ corporate assets acquired through their investment and are instead compensated with the contingent property right to all residual corporate profits, the legal assurances provided by fiduciary duties, and the limited right to hold corporate fiduciaries accountable to their duties to the enterprise.</w:t>
      </w:r>
      <w:r w:rsidRPr="00E1253A">
        <w:rPr>
          <w:rStyle w:val="FootnoteReference"/>
          <w:color w:val="000000" w:themeColor="text1"/>
        </w:rPr>
        <w:footnoteReference w:id="85"/>
      </w:r>
      <w:bookmarkEnd w:id="188"/>
      <w:bookmarkEnd w:id="189"/>
    </w:p>
    <w:bookmarkEnd w:id="194"/>
    <w:bookmarkEnd w:id="195"/>
    <w:p w14:paraId="73148AE2" w14:textId="08533E44" w:rsidR="00D44C57" w:rsidRPr="00E1253A" w:rsidRDefault="00B45B91" w:rsidP="0012453C">
      <w:pPr>
        <w:pStyle w:val="Heading2"/>
        <w:numPr>
          <w:ilvl w:val="0"/>
          <w:numId w:val="5"/>
        </w:numPr>
        <w:spacing w:line="480" w:lineRule="auto"/>
        <w:contextualSpacing w:val="0"/>
        <w:jc w:val="both"/>
      </w:pPr>
      <w:r w:rsidRPr="00E1253A">
        <w:t xml:space="preserve">Nexus of Contracts - </w:t>
      </w:r>
      <w:r w:rsidR="00D44C57" w:rsidRPr="00E1253A">
        <w:t xml:space="preserve">Shareholder </w:t>
      </w:r>
      <w:r w:rsidR="001C6FE2" w:rsidRPr="00E1253A">
        <w:t>Rights</w:t>
      </w:r>
    </w:p>
    <w:p w14:paraId="39E9DB83" w14:textId="77777777" w:rsidR="00560616" w:rsidRPr="00E1253A" w:rsidRDefault="00246AAA" w:rsidP="0012453C">
      <w:pPr>
        <w:spacing w:line="480" w:lineRule="auto"/>
        <w:ind w:firstLine="720"/>
        <w:jc w:val="both"/>
        <w:rPr>
          <w:color w:val="000000" w:themeColor="text1"/>
        </w:rPr>
      </w:pPr>
      <w:bookmarkStart w:id="196" w:name="OLE_LINK49"/>
      <w:bookmarkStart w:id="197" w:name="OLE_LINK50"/>
      <w:r w:rsidRPr="00E1253A">
        <w:rPr>
          <w:color w:val="000000" w:themeColor="text1"/>
        </w:rPr>
        <w:t xml:space="preserve">The shareholder primacy view is most often advanced from a narrow interpretation of shareholders’ property rights </w:t>
      </w:r>
      <w:r w:rsidR="00342B3B" w:rsidRPr="00E1253A">
        <w:rPr>
          <w:color w:val="000000" w:themeColor="text1"/>
        </w:rPr>
        <w:t xml:space="preserve">Although shareholders have traditionally been associated as the “ownership” of a private partnership, their equity interests in a corporation do not confer the same rights to </w:t>
      </w:r>
      <w:r w:rsidRPr="00E1253A">
        <w:rPr>
          <w:color w:val="000000" w:themeColor="text1"/>
        </w:rPr>
        <w:t xml:space="preserve">exercise direct </w:t>
      </w:r>
      <w:r w:rsidR="00342B3B" w:rsidRPr="00E1253A">
        <w:rPr>
          <w:color w:val="000000" w:themeColor="text1"/>
        </w:rPr>
        <w:t xml:space="preserve">control </w:t>
      </w:r>
      <w:r w:rsidR="00D57464" w:rsidRPr="00E1253A">
        <w:rPr>
          <w:color w:val="000000" w:themeColor="text1"/>
        </w:rPr>
        <w:t xml:space="preserve">over </w:t>
      </w:r>
      <w:r w:rsidR="00342B3B" w:rsidRPr="00E1253A">
        <w:rPr>
          <w:color w:val="000000" w:themeColor="text1"/>
        </w:rPr>
        <w:t>the enterprise and its assets</w:t>
      </w:r>
      <w:r w:rsidRPr="00E1253A">
        <w:rPr>
          <w:color w:val="000000" w:themeColor="text1"/>
        </w:rPr>
        <w:t xml:space="preserve">. </w:t>
      </w:r>
      <w:r w:rsidR="00CB3BF5" w:rsidRPr="00E1253A">
        <w:rPr>
          <w:color w:val="000000" w:themeColor="text1"/>
        </w:rPr>
        <w:t xml:space="preserve">Investments in corporate </w:t>
      </w:r>
      <w:r w:rsidR="00673FA1" w:rsidRPr="00E1253A">
        <w:rPr>
          <w:color w:val="000000" w:themeColor="text1"/>
        </w:rPr>
        <w:t>equities</w:t>
      </w:r>
      <w:r w:rsidR="00CB3BF5" w:rsidRPr="00E1253A">
        <w:rPr>
          <w:color w:val="000000" w:themeColor="text1"/>
        </w:rPr>
        <w:t xml:space="preserve"> </w:t>
      </w:r>
      <w:r w:rsidR="00673FA1" w:rsidRPr="00E1253A">
        <w:rPr>
          <w:color w:val="000000" w:themeColor="text1"/>
        </w:rPr>
        <w:t>instead</w:t>
      </w:r>
      <w:r w:rsidR="00CB3BF5" w:rsidRPr="00E1253A">
        <w:rPr>
          <w:color w:val="000000" w:themeColor="text1"/>
        </w:rPr>
        <w:t xml:space="preserve"> provide bundles of intangible rights</w:t>
      </w:r>
      <w:r w:rsidR="00673FA1" w:rsidRPr="00E1253A">
        <w:rPr>
          <w:color w:val="000000" w:themeColor="text1"/>
        </w:rPr>
        <w:t xml:space="preserve"> that provide the equity holder</w:t>
      </w:r>
      <w:r w:rsidR="00CB3BF5" w:rsidRPr="00E1253A">
        <w:rPr>
          <w:color w:val="000000" w:themeColor="text1"/>
        </w:rPr>
        <w:t xml:space="preserve"> </w:t>
      </w:r>
      <w:r w:rsidR="00342B3B" w:rsidRPr="00E1253A">
        <w:rPr>
          <w:color w:val="000000" w:themeColor="text1"/>
        </w:rPr>
        <w:t>limited property right</w:t>
      </w:r>
      <w:r w:rsidR="00673FA1" w:rsidRPr="00E1253A">
        <w:rPr>
          <w:color w:val="000000" w:themeColor="text1"/>
        </w:rPr>
        <w:t>s</w:t>
      </w:r>
      <w:r w:rsidR="00342B3B" w:rsidRPr="00E1253A">
        <w:rPr>
          <w:color w:val="000000" w:themeColor="text1"/>
        </w:rPr>
        <w:t xml:space="preserve"> to the corporation’s residual profits</w:t>
      </w:r>
      <w:r w:rsidR="00673FA1" w:rsidRPr="00E1253A">
        <w:rPr>
          <w:color w:val="000000" w:themeColor="text1"/>
        </w:rPr>
        <w:t xml:space="preserve"> beyond all fixed obligations</w:t>
      </w:r>
      <w:r w:rsidR="00893A73" w:rsidRPr="00E1253A">
        <w:rPr>
          <w:color w:val="000000" w:themeColor="text1"/>
        </w:rPr>
        <w:t xml:space="preserve">, along with the institutional provisions of voting rights and fiduciary duties. </w:t>
      </w:r>
      <w:r w:rsidR="00342B3B" w:rsidRPr="00E1253A">
        <w:rPr>
          <w:color w:val="000000" w:themeColor="text1"/>
        </w:rPr>
        <w:t>Th</w:t>
      </w:r>
      <w:r w:rsidR="00560616" w:rsidRPr="00E1253A">
        <w:rPr>
          <w:color w:val="000000" w:themeColor="text1"/>
        </w:rPr>
        <w:t>e</w:t>
      </w:r>
      <w:r w:rsidR="00342B3B" w:rsidRPr="00E1253A">
        <w:rPr>
          <w:color w:val="000000" w:themeColor="text1"/>
        </w:rPr>
        <w:t xml:space="preserve"> contingent property interes</w:t>
      </w:r>
      <w:r w:rsidR="00560616" w:rsidRPr="00E1253A">
        <w:rPr>
          <w:color w:val="000000" w:themeColor="text1"/>
        </w:rPr>
        <w:t>t</w:t>
      </w:r>
      <w:r w:rsidR="00342B3B" w:rsidRPr="00E1253A">
        <w:rPr>
          <w:color w:val="000000" w:themeColor="text1"/>
        </w:rPr>
        <w:t xml:space="preserve"> i</w:t>
      </w:r>
      <w:r w:rsidR="00CB3BF5" w:rsidRPr="00E1253A">
        <w:rPr>
          <w:color w:val="000000" w:themeColor="text1"/>
        </w:rPr>
        <w:t>s</w:t>
      </w:r>
      <w:r w:rsidR="00342B3B" w:rsidRPr="00E1253A">
        <w:rPr>
          <w:color w:val="000000" w:themeColor="text1"/>
        </w:rPr>
        <w:t xml:space="preserve"> protected through the legal obligations imposed on corporate agents to act as fiduciaries in the interest of the enterprise and its residual claimants</w:t>
      </w:r>
      <w:r w:rsidR="00560616" w:rsidRPr="00E1253A">
        <w:rPr>
          <w:color w:val="000000" w:themeColor="text1"/>
        </w:rPr>
        <w:t xml:space="preserve"> to prevent self-seeking behavior</w:t>
      </w:r>
      <w:r w:rsidR="00342B3B" w:rsidRPr="00E1253A">
        <w:rPr>
          <w:color w:val="000000" w:themeColor="text1"/>
        </w:rPr>
        <w:t xml:space="preserve">. The nature of these fiduciary duties and obligation, however, does not necessarily require corporate directors and managers to literally pursue shareholders’ interests. </w:t>
      </w:r>
    </w:p>
    <w:bookmarkEnd w:id="196"/>
    <w:bookmarkEnd w:id="197"/>
    <w:p w14:paraId="34276841" w14:textId="55019CD1" w:rsidR="00342B3B" w:rsidRPr="00E1253A" w:rsidRDefault="00342B3B" w:rsidP="0012453C">
      <w:pPr>
        <w:spacing w:line="480" w:lineRule="auto"/>
        <w:ind w:firstLine="720"/>
        <w:jc w:val="both"/>
        <w:rPr>
          <w:color w:val="000000" w:themeColor="text1"/>
        </w:rPr>
      </w:pPr>
      <w:r w:rsidRPr="00E1253A">
        <w:rPr>
          <w:color w:val="000000" w:themeColor="text1"/>
        </w:rPr>
        <w:t>According to Yale Law School’s corporate and securities law expert Jonathan Macey, “fiduciary duties exist because the decisions that face officers and directors of corporations are sufficiently complex and difficult to predict that it would not be feasible to specify in advance how to respond to a wide range of future contingencies”, and “[f]iduciary duties are the mechanism invented by the legal system for filling in the unspecified terms of shareholders' contingent contracts”.</w:t>
      </w:r>
      <w:bookmarkStart w:id="198" w:name="OLE_LINK229"/>
      <w:bookmarkStart w:id="199" w:name="OLE_LINK230"/>
      <w:r w:rsidRPr="00E1253A">
        <w:rPr>
          <w:color w:val="000000" w:themeColor="text1"/>
          <w:vertAlign w:val="superscript"/>
        </w:rPr>
        <w:footnoteReference w:id="86"/>
      </w:r>
      <w:bookmarkEnd w:id="198"/>
      <w:bookmarkEnd w:id="199"/>
      <w:r w:rsidRPr="00E1253A">
        <w:rPr>
          <w:color w:val="000000" w:themeColor="text1"/>
        </w:rPr>
        <w:t xml:space="preserve"> </w:t>
      </w:r>
      <w:r w:rsidR="0013175E" w:rsidRPr="00E1253A">
        <w:rPr>
          <w:color w:val="000000" w:themeColor="text1"/>
        </w:rPr>
        <w:t>His rationale is that the</w:t>
      </w:r>
      <w:r w:rsidRPr="00E1253A">
        <w:rPr>
          <w:color w:val="000000" w:themeColor="text1"/>
        </w:rPr>
        <w:t xml:space="preserve"> residual claimants</w:t>
      </w:r>
      <w:r w:rsidR="0013175E" w:rsidRPr="00E1253A">
        <w:rPr>
          <w:color w:val="000000" w:themeColor="text1"/>
        </w:rPr>
        <w:t xml:space="preserve"> of the corporation—its </w:t>
      </w:r>
      <w:r w:rsidRPr="00E1253A">
        <w:rPr>
          <w:color w:val="000000" w:themeColor="text1"/>
        </w:rPr>
        <w:t>shareholders</w:t>
      </w:r>
      <w:r w:rsidR="0013175E" w:rsidRPr="00E1253A">
        <w:rPr>
          <w:color w:val="000000" w:themeColor="text1"/>
        </w:rPr>
        <w:t>—</w:t>
      </w:r>
      <w:r w:rsidRPr="00E1253A">
        <w:rPr>
          <w:color w:val="000000" w:themeColor="text1"/>
        </w:rPr>
        <w:t>are</w:t>
      </w:r>
      <w:r w:rsidR="0013175E" w:rsidRPr="00E1253A">
        <w:rPr>
          <w:color w:val="000000" w:themeColor="text1"/>
        </w:rPr>
        <w:t xml:space="preserve"> </w:t>
      </w:r>
      <w:r w:rsidRPr="00E1253A">
        <w:rPr>
          <w:color w:val="000000" w:themeColor="text1"/>
        </w:rPr>
        <w:t>uniquely “interested in the firm's overall profitability, whereas creditors and managers [and presumably other constituents as well] are essentially fixed claimants who wish only to see their claims repaid and who will logically tend to resist risky activities”.</w:t>
      </w:r>
      <w:r w:rsidRPr="00E1253A">
        <w:rPr>
          <w:color w:val="000000" w:themeColor="text1"/>
          <w:vertAlign w:val="superscript"/>
        </w:rPr>
        <w:footnoteReference w:id="87"/>
      </w:r>
      <w:r w:rsidRPr="00E1253A">
        <w:rPr>
          <w:color w:val="000000" w:themeColor="text1"/>
        </w:rPr>
        <w:t xml:space="preserve"> </w:t>
      </w:r>
      <w:bookmarkStart w:id="200" w:name="OLE_LINK227"/>
      <w:bookmarkStart w:id="201" w:name="OLE_LINK228"/>
      <w:r w:rsidRPr="00E1253A">
        <w:rPr>
          <w:color w:val="000000" w:themeColor="text1"/>
        </w:rPr>
        <w:t>Macey claims these duties run solely to shareholders because, as residual claimants, "[t]he gains and losses from abnormally good or bad performance are the lot of the shareholders, whose claims stand last in line”.</w:t>
      </w:r>
      <w:r w:rsidRPr="00E1253A">
        <w:rPr>
          <w:color w:val="000000" w:themeColor="text1"/>
          <w:vertAlign w:val="superscript"/>
        </w:rPr>
        <w:footnoteReference w:id="88"/>
      </w:r>
      <w:bookmarkEnd w:id="200"/>
      <w:bookmarkEnd w:id="201"/>
      <w:r w:rsidRPr="00E1253A">
        <w:rPr>
          <w:color w:val="000000" w:themeColor="text1"/>
        </w:rPr>
        <w:t xml:space="preserve"> Thus, shareholders uniquely have an interest in maximizing the return on capital on every single investment decision beyond what is necessary to remain solvent. </w:t>
      </w:r>
    </w:p>
    <w:p w14:paraId="677A81B8" w14:textId="77777777" w:rsidR="00CA2FFA" w:rsidRPr="00E1253A" w:rsidRDefault="00342B3B" w:rsidP="0012453C">
      <w:pPr>
        <w:spacing w:line="480" w:lineRule="auto"/>
        <w:ind w:firstLine="720"/>
        <w:jc w:val="both"/>
        <w:rPr>
          <w:color w:val="000000" w:themeColor="text1"/>
        </w:rPr>
      </w:pPr>
      <w:r w:rsidRPr="00E1253A">
        <w:rPr>
          <w:color w:val="000000" w:themeColor="text1"/>
        </w:rPr>
        <w:t xml:space="preserve">In the case of non-shareholder constituencies, Macey argues that courts already provide generous gap-filling protections in the context of “interpreting the employment contracts, collective bargaining agreements, bond indentures, and convents that these other groups have with the corporation”, and thus they do not need fiduciary duties. He argues these other constituencies also face contracting problems, but these can be solved at far loss cost and at least theoretically through the contracting process. Moreover, he argues shareholders uniquely do not enjoy the protection of judicial gap-filling as do other non-shareholder constituencies such as creditors, employees, and suppliers with fixed claims on the enterprise. By providing shareholders with the right to select the board of directors—whom select the CEO and management—this protects shareholders’ interests by holding management accountable to their interests indirectly through shareholder voting rights. These provisions reduce agency costs and induce accountability by ensuring shareholders can monitor and manage their investment to secure the highest return on their equity investment. In contrast, he argues “having less interest in the overall economic performance of the firm, creditors and other constituencies can bargain through contract and do not need representation on the board of directors to monitor all aspects of the firm’s performance”. </w:t>
      </w:r>
    </w:p>
    <w:p w14:paraId="2616BC5F" w14:textId="2671265B" w:rsidR="000634A1" w:rsidRPr="00E1253A" w:rsidRDefault="003E49F9" w:rsidP="0012453C">
      <w:pPr>
        <w:spacing w:line="480" w:lineRule="auto"/>
        <w:ind w:firstLine="720"/>
        <w:jc w:val="both"/>
        <w:rPr>
          <w:color w:val="000000" w:themeColor="text1"/>
        </w:rPr>
      </w:pPr>
      <w:r w:rsidRPr="00E1253A">
        <w:rPr>
          <w:color w:val="000000" w:themeColor="text1"/>
        </w:rPr>
        <w:t xml:space="preserve">However, it must be noted that although it is theoretically possible for all other constituencies to bargain through contract, they do not necessarily have the power and hence choice to. </w:t>
      </w:r>
      <w:r w:rsidR="00D32433" w:rsidRPr="00E1253A">
        <w:rPr>
          <w:color w:val="000000" w:themeColor="text1"/>
        </w:rPr>
        <w:t xml:space="preserve">He does acknowledge that local communities affected by externalities are the one group whom did not agree to contract with the corporation. However, he argues that this group is in theory protected by the political process by which they can appeal to legislators to regulate corporate externalities. Again, this does not reflect the realities of most situations when one consideration the disparity of access to political resources and connections, </w:t>
      </w:r>
      <w:r w:rsidR="00CA2FFA" w:rsidRPr="00E1253A">
        <w:rPr>
          <w:color w:val="000000" w:themeColor="text1"/>
        </w:rPr>
        <w:t xml:space="preserve">and </w:t>
      </w:r>
      <w:r w:rsidR="00D32433" w:rsidRPr="00E1253A">
        <w:rPr>
          <w:color w:val="000000" w:themeColor="text1"/>
        </w:rPr>
        <w:t>lobbying capital</w:t>
      </w:r>
      <w:r w:rsidR="00CA2FFA" w:rsidRPr="00E1253A">
        <w:rPr>
          <w:color w:val="000000" w:themeColor="text1"/>
        </w:rPr>
        <w:t xml:space="preserve"> among a multitude of other factors necessary for one to be able to feasibly implement change. </w:t>
      </w:r>
      <w:r w:rsidR="00D32433" w:rsidRPr="00E1253A">
        <w:rPr>
          <w:color w:val="000000" w:themeColor="text1"/>
        </w:rPr>
        <w:t xml:space="preserve"> </w:t>
      </w:r>
      <w:r w:rsidRPr="00E1253A">
        <w:rPr>
          <w:color w:val="000000" w:themeColor="text1"/>
        </w:rPr>
        <w:t xml:space="preserve">Corporations </w:t>
      </w:r>
      <w:r w:rsidR="00CA2FFA" w:rsidRPr="00E1253A">
        <w:rPr>
          <w:color w:val="000000" w:themeColor="text1"/>
        </w:rPr>
        <w:t xml:space="preserve">also </w:t>
      </w:r>
      <w:r w:rsidRPr="00E1253A">
        <w:rPr>
          <w:color w:val="000000" w:themeColor="text1"/>
        </w:rPr>
        <w:t>exert varying levels of power over different labor markets and sectors. Moreover, it must also be recognized that labor is not homogenous and frictionless</w:t>
      </w:r>
      <w:r w:rsidR="00D32433" w:rsidRPr="00E1253A">
        <w:rPr>
          <w:color w:val="000000" w:themeColor="text1"/>
        </w:rPr>
        <w:t xml:space="preserve"> and thus there are issues of access to skill development and other structural constraints that reduce labor’s freedom to bargain on a level playing field with a massive corporation that dominates his industry of expertise.</w:t>
      </w:r>
      <w:r w:rsidR="00CA2FFA" w:rsidRPr="00E1253A">
        <w:rPr>
          <w:color w:val="000000" w:themeColor="text1"/>
        </w:rPr>
        <w:t xml:space="preserve"> </w:t>
      </w:r>
      <w:r w:rsidR="0080257D" w:rsidRPr="00E1253A">
        <w:rPr>
          <w:color w:val="000000" w:themeColor="text1"/>
        </w:rPr>
        <w:t>Thus, although non-shareholder constituencies may not be awarded fiduciary duties under the law, there are still compelling reasons to consider the interests of these individuals from a social, and especially an ethical perspective.</w:t>
      </w:r>
    </w:p>
    <w:p w14:paraId="386B9717" w14:textId="09EA926C" w:rsidR="00342B3B" w:rsidRPr="00E1253A" w:rsidRDefault="00B52CBB" w:rsidP="0012453C">
      <w:pPr>
        <w:pStyle w:val="Heading2"/>
        <w:numPr>
          <w:ilvl w:val="0"/>
          <w:numId w:val="5"/>
        </w:numPr>
        <w:spacing w:line="480" w:lineRule="auto"/>
        <w:contextualSpacing w:val="0"/>
        <w:jc w:val="both"/>
      </w:pPr>
      <w:bookmarkStart w:id="202" w:name="OLE_LINK179"/>
      <w:bookmarkStart w:id="203" w:name="OLE_LINK180"/>
      <w:bookmarkStart w:id="204" w:name="OLE_LINK190"/>
      <w:r w:rsidRPr="00E1253A">
        <w:t>Corporate Governance</w:t>
      </w:r>
      <w:r w:rsidR="00007218" w:rsidRPr="00E1253A">
        <w:t xml:space="preserve">  &amp;  Fiduciary Duties</w:t>
      </w:r>
    </w:p>
    <w:p w14:paraId="1153C5EB" w14:textId="429A5E39" w:rsidR="00342B3B" w:rsidRPr="00E1253A" w:rsidRDefault="00342B3B" w:rsidP="0012453C">
      <w:pPr>
        <w:spacing w:line="480" w:lineRule="auto"/>
        <w:ind w:firstLine="720"/>
        <w:jc w:val="both"/>
        <w:rPr>
          <w:color w:val="000000" w:themeColor="text1"/>
        </w:rPr>
      </w:pPr>
      <w:r w:rsidRPr="00E1253A">
        <w:rPr>
          <w:color w:val="000000" w:themeColor="text1"/>
        </w:rPr>
        <w:t>Although fiduciary law governing principal-agent re</w:t>
      </w:r>
      <w:r w:rsidRPr="00E1253A">
        <w:rPr>
          <w:color w:val="000000" w:themeColor="text1"/>
        </w:rPr>
        <w:softHyphen/>
      </w:r>
      <w:r w:rsidRPr="00E1253A">
        <w:rPr>
          <w:color w:val="000000" w:themeColor="text1"/>
        </w:rPr>
        <w:softHyphen/>
        <w:t>lationships and trustee law share a great deal in common, the implications of this distinction can matter. Where the “rules of agency law provide that an agent owes her principal a ‘duty of obedience’… U.S. corporate law does not require directors to follow shareholder mandates in any way”, and “to the extent shareholders exercise any influence at all, it is only through two indirect and very dilute sources of power”—</w:t>
      </w:r>
      <w:r w:rsidR="001C6FE2" w:rsidRPr="00E1253A">
        <w:rPr>
          <w:color w:val="000000" w:themeColor="text1"/>
        </w:rPr>
        <w:t xml:space="preserve">with those being </w:t>
      </w:r>
      <w:r w:rsidRPr="00E1253A">
        <w:rPr>
          <w:color w:val="000000" w:themeColor="text1"/>
        </w:rPr>
        <w:t>proxy voting and director elections.</w:t>
      </w:r>
      <w:bookmarkStart w:id="205" w:name="OLE_LINK270"/>
      <w:bookmarkStart w:id="206" w:name="OLE_LINK271"/>
      <w:bookmarkStart w:id="207" w:name="OLE_LINK295"/>
      <w:bookmarkStart w:id="208" w:name="OLE_LINK522"/>
      <w:r w:rsidRPr="00E1253A">
        <w:rPr>
          <w:rStyle w:val="FootnoteReference"/>
          <w:color w:val="000000" w:themeColor="text1"/>
        </w:rPr>
        <w:footnoteReference w:id="89"/>
      </w:r>
      <w:r w:rsidRPr="00E1253A">
        <w:rPr>
          <w:color w:val="000000" w:themeColor="text1"/>
        </w:rPr>
        <w:t xml:space="preserve"> </w:t>
      </w:r>
      <w:bookmarkEnd w:id="205"/>
      <w:bookmarkEnd w:id="206"/>
      <w:bookmarkEnd w:id="207"/>
      <w:bookmarkEnd w:id="208"/>
      <w:r w:rsidRPr="00E1253A">
        <w:rPr>
          <w:color w:val="000000" w:themeColor="text1"/>
        </w:rPr>
        <w:t xml:space="preserve"> A trustee, on the other hand is bound to act in the principal’s best interest but retains broader latitude so long as they don’t violate their fiduciary duties of loyalty and care.</w:t>
      </w:r>
      <w:r w:rsidR="001C6FE2" w:rsidRPr="00E1253A">
        <w:rPr>
          <w:rStyle w:val="FootnoteReference"/>
          <w:color w:val="000000" w:themeColor="text1"/>
        </w:rPr>
        <w:footnoteReference w:id="90"/>
      </w:r>
      <w:r w:rsidR="001C6FE2" w:rsidRPr="00E1253A">
        <w:rPr>
          <w:color w:val="000000" w:themeColor="text1"/>
        </w:rPr>
        <w:t xml:space="preserve"> </w:t>
      </w:r>
      <w:r w:rsidRPr="00E1253A">
        <w:rPr>
          <w:color w:val="000000" w:themeColor="text1"/>
        </w:rPr>
        <w:t xml:space="preserve">  Although the principal-agent model is useful for modelling </w:t>
      </w:r>
      <w:r w:rsidR="00C87D75" w:rsidRPr="00E1253A">
        <w:rPr>
          <w:color w:val="000000" w:themeColor="text1"/>
        </w:rPr>
        <w:t>an aspect agency</w:t>
      </w:r>
      <w:r w:rsidRPr="00E1253A">
        <w:rPr>
          <w:color w:val="000000" w:themeColor="text1"/>
        </w:rPr>
        <w:t xml:space="preserve"> problems, I will argue that the unique independence and power corporate fiduciaries are awarded more closely represents a</w:t>
      </w:r>
      <w:r w:rsidR="00C87D75" w:rsidRPr="00E1253A">
        <w:rPr>
          <w:color w:val="000000" w:themeColor="text1"/>
        </w:rPr>
        <w:t xml:space="preserve"> governing or</w:t>
      </w:r>
      <w:r w:rsidRPr="00E1253A">
        <w:rPr>
          <w:color w:val="000000" w:themeColor="text1"/>
        </w:rPr>
        <w:t xml:space="preserve"> trusteeship</w:t>
      </w:r>
      <w:r w:rsidR="00C87D75" w:rsidRPr="00E1253A">
        <w:rPr>
          <w:color w:val="000000" w:themeColor="text1"/>
        </w:rPr>
        <w:t xml:space="preserve"> </w:t>
      </w:r>
      <w:r w:rsidRPr="00E1253A">
        <w:rPr>
          <w:color w:val="000000" w:themeColor="text1"/>
        </w:rPr>
        <w:t xml:space="preserve">role rather than that of a surrogate-agent. </w:t>
      </w:r>
    </w:p>
    <w:p w14:paraId="351D6D82" w14:textId="41C02C0B" w:rsidR="008259BA" w:rsidRPr="00E1253A" w:rsidRDefault="00342B3B" w:rsidP="0012453C">
      <w:pPr>
        <w:spacing w:line="480" w:lineRule="auto"/>
        <w:ind w:firstLine="720"/>
        <w:jc w:val="both"/>
        <w:rPr>
          <w:color w:val="000000" w:themeColor="text1"/>
        </w:rPr>
      </w:pPr>
      <w:r w:rsidRPr="00E1253A">
        <w:rPr>
          <w:color w:val="000000" w:themeColor="text1"/>
        </w:rPr>
        <w:t>Corporate law expert Lynn Stout argues, “U.S. corporate law today retains the same structure it had evolved before the rise of the principal-agent model: directors’ legal powers and responsibilities do not resemble those of agents, but rather those of trustees”.</w:t>
      </w:r>
      <w:bookmarkStart w:id="211" w:name="OLE_LINK267"/>
      <w:bookmarkStart w:id="212" w:name="OLE_LINK278"/>
      <w:r w:rsidRPr="00E1253A">
        <w:rPr>
          <w:rStyle w:val="FootnoteReference"/>
          <w:color w:val="000000" w:themeColor="text1"/>
        </w:rPr>
        <w:footnoteReference w:id="91"/>
      </w:r>
      <w:r w:rsidRPr="00E1253A">
        <w:rPr>
          <w:color w:val="000000" w:themeColor="text1"/>
        </w:rPr>
        <w:t xml:space="preserve"> </w:t>
      </w:r>
      <w:bookmarkEnd w:id="211"/>
      <w:bookmarkEnd w:id="212"/>
      <w:r w:rsidRPr="00E1253A">
        <w:rPr>
          <w:color w:val="000000" w:themeColor="text1"/>
        </w:rPr>
        <w:t>According to the former Dean of Harvard Law School Robert Clark, whom also specialized in corporate law, he additionally states that the authority structure of corporations works as, “(1) corporate officers like the president and treasurer are agents of the corporation itself; (2) the board of directors is the ultimate decision-making body of the corporation (and in a sense is the group most appropriately identified with ‘the corporation’); (3) directors are not agents of the corporation but are sui generis; (4) neither officers nor directors are agents of the stockholders; but (5) both officers and directors are ‘fiduciaries’ with respect to the corporation and its stockholders”.</w:t>
      </w:r>
      <w:bookmarkStart w:id="213" w:name="OLE_LINK293"/>
      <w:bookmarkStart w:id="214" w:name="OLE_LINK294"/>
      <w:r w:rsidRPr="00E1253A">
        <w:rPr>
          <w:rStyle w:val="FootnoteReference"/>
          <w:color w:val="000000" w:themeColor="text1"/>
        </w:rPr>
        <w:footnoteReference w:id="92"/>
      </w:r>
      <w:r w:rsidRPr="00E1253A">
        <w:rPr>
          <w:color w:val="000000" w:themeColor="text1"/>
        </w:rPr>
        <w:t xml:space="preserve"> </w:t>
      </w:r>
      <w:bookmarkStart w:id="216" w:name="OLE_LINK169"/>
      <w:bookmarkStart w:id="217" w:name="OLE_LINK170"/>
      <w:bookmarkEnd w:id="213"/>
      <w:bookmarkEnd w:id="214"/>
      <w:r w:rsidR="005B6626" w:rsidRPr="00E1253A">
        <w:rPr>
          <w:color w:val="000000" w:themeColor="text1"/>
        </w:rPr>
        <w:t xml:space="preserve">Given controlling stockholders are required to exercise a fiduciary duty towards minority interests, it can be </w:t>
      </w:r>
      <w:r w:rsidR="00007218" w:rsidRPr="00E1253A">
        <w:rPr>
          <w:color w:val="000000" w:themeColor="text1"/>
        </w:rPr>
        <w:t>argued</w:t>
      </w:r>
      <w:r w:rsidR="005B6626" w:rsidRPr="00E1253A">
        <w:rPr>
          <w:color w:val="000000" w:themeColor="text1"/>
        </w:rPr>
        <w:t xml:space="preserve"> that shareholders exercising authority over the corporation also assume duties to the enterprise. </w:t>
      </w:r>
      <w:r w:rsidR="005E1453" w:rsidRPr="00E1253A">
        <w:rPr>
          <w:color w:val="000000" w:themeColor="text1"/>
        </w:rPr>
        <w:t>In reality there exist</w:t>
      </w:r>
      <w:r w:rsidR="005B6626" w:rsidRPr="00E1253A">
        <w:rPr>
          <w:color w:val="000000" w:themeColor="text1"/>
        </w:rPr>
        <w:t xml:space="preserve"> multiple levels of agency relationships within and across corporations that cannot be construed simply as a reflection a single </w:t>
      </w:r>
      <w:r w:rsidR="005E1453" w:rsidRPr="00E1253A">
        <w:rPr>
          <w:color w:val="000000" w:themeColor="text1"/>
        </w:rPr>
        <w:t xml:space="preserve">objective two-way </w:t>
      </w:r>
      <w:r w:rsidR="005B6626" w:rsidRPr="00E1253A">
        <w:rPr>
          <w:color w:val="000000" w:themeColor="text1"/>
        </w:rPr>
        <w:t>relationship with shareholders.</w:t>
      </w:r>
      <w:r w:rsidR="00007218" w:rsidRPr="00E1253A">
        <w:rPr>
          <w:color w:val="000000" w:themeColor="text1"/>
        </w:rPr>
        <w:t xml:space="preserve"> A very serious limitation of the existing literature on principals and agent</w:t>
      </w:r>
      <w:r w:rsidR="005E1453" w:rsidRPr="00E1253A">
        <w:rPr>
          <w:color w:val="000000" w:themeColor="text1"/>
        </w:rPr>
        <w:t>s are</w:t>
      </w:r>
      <w:r w:rsidR="00007218" w:rsidRPr="00E1253A">
        <w:rPr>
          <w:color w:val="000000" w:themeColor="text1"/>
        </w:rPr>
        <w:t xml:space="preserve"> </w:t>
      </w:r>
      <w:r w:rsidR="005E1453" w:rsidRPr="00E1253A">
        <w:rPr>
          <w:color w:val="000000" w:themeColor="text1"/>
        </w:rPr>
        <w:t xml:space="preserve">that most “characteristically examines situations in which the principal and the agent interact in a simple two-way party relationship,” </w:t>
      </w:r>
      <w:r w:rsidR="00B064BA" w:rsidRPr="00E1253A">
        <w:rPr>
          <w:color w:val="000000" w:themeColor="text1"/>
        </w:rPr>
        <w:t>while</w:t>
      </w:r>
      <w:r w:rsidR="005E1453" w:rsidRPr="00E1253A">
        <w:rPr>
          <w:color w:val="000000" w:themeColor="text1"/>
        </w:rPr>
        <w:t xml:space="preserve">, the most important challenges “of the real world, from providing a technically skilled workforce to controlling global climate change, often involve many principals and may agents, </w:t>
      </w:r>
      <w:r w:rsidR="00B064BA" w:rsidRPr="00E1253A">
        <w:rPr>
          <w:color w:val="000000" w:themeColor="text1"/>
        </w:rPr>
        <w:t>[and these]</w:t>
      </w:r>
      <w:r w:rsidR="005E1453" w:rsidRPr="00E1253A">
        <w:rPr>
          <w:color w:val="000000" w:themeColor="text1"/>
        </w:rPr>
        <w:t xml:space="preserve"> multiple relationships </w:t>
      </w:r>
      <w:r w:rsidR="00B064BA" w:rsidRPr="00E1253A">
        <w:rPr>
          <w:color w:val="000000" w:themeColor="text1"/>
        </w:rPr>
        <w:t xml:space="preserve">[ultimately] </w:t>
      </w:r>
      <w:r w:rsidR="005E1453" w:rsidRPr="00E1253A">
        <w:rPr>
          <w:color w:val="000000" w:themeColor="text1"/>
        </w:rPr>
        <w:t>present major additional challenges, both conceptually and in the real world”.</w:t>
      </w:r>
      <w:r w:rsidR="002E2145" w:rsidRPr="00E1253A">
        <w:rPr>
          <w:rStyle w:val="FootnoteReference"/>
          <w:color w:val="000000" w:themeColor="text1"/>
        </w:rPr>
        <w:footnoteReference w:id="93"/>
      </w:r>
      <w:r w:rsidR="005E1453" w:rsidRPr="00E1253A">
        <w:rPr>
          <w:color w:val="000000" w:themeColor="text1"/>
        </w:rPr>
        <w:t xml:space="preserve"> </w:t>
      </w:r>
      <w:r w:rsidR="005B6626" w:rsidRPr="00E1253A">
        <w:rPr>
          <w:color w:val="000000" w:themeColor="text1"/>
        </w:rPr>
        <w:t>Shareholders themselves can abuse corporate power, and thus</w:t>
      </w:r>
      <w:r w:rsidR="008259BA" w:rsidRPr="00E1253A">
        <w:rPr>
          <w:color w:val="000000" w:themeColor="text1"/>
        </w:rPr>
        <w:t xml:space="preserve"> the collective actio</w:t>
      </w:r>
      <w:r w:rsidR="00B064BA" w:rsidRPr="00E1253A">
        <w:rPr>
          <w:color w:val="000000" w:themeColor="text1"/>
        </w:rPr>
        <w:t xml:space="preserve">n of </w:t>
      </w:r>
      <w:r w:rsidR="008259BA" w:rsidRPr="00E1253A">
        <w:rPr>
          <w:color w:val="000000" w:themeColor="text1"/>
        </w:rPr>
        <w:t>their self-interested behavior cannot be assumed to be tantamount to profit-maximizing pareto optimality, nor the best outcome of corporate governance</w:t>
      </w:r>
    </w:p>
    <w:bookmarkEnd w:id="216"/>
    <w:bookmarkEnd w:id="217"/>
    <w:p w14:paraId="6CE40DA1" w14:textId="70EB4759" w:rsidR="00AD362B" w:rsidRPr="00E1253A" w:rsidRDefault="00AD362B" w:rsidP="0012453C">
      <w:pPr>
        <w:spacing w:line="480" w:lineRule="auto"/>
        <w:ind w:firstLine="720"/>
        <w:jc w:val="both"/>
        <w:rPr>
          <w:color w:val="000000" w:themeColor="text1"/>
        </w:rPr>
      </w:pPr>
      <w:r w:rsidRPr="00E1253A">
        <w:rPr>
          <w:color w:val="000000" w:themeColor="text1"/>
        </w:rPr>
        <w:t xml:space="preserve">One of the </w:t>
      </w:r>
      <w:r w:rsidR="00342B3B" w:rsidRPr="00E1253A">
        <w:rPr>
          <w:color w:val="000000" w:themeColor="text1"/>
        </w:rPr>
        <w:t xml:space="preserve">greatest </w:t>
      </w:r>
      <w:r w:rsidR="001303BD" w:rsidRPr="00E1253A">
        <w:rPr>
          <w:color w:val="000000" w:themeColor="text1"/>
        </w:rPr>
        <w:t>shortcomings</w:t>
      </w:r>
      <w:r w:rsidR="00342B3B" w:rsidRPr="00E1253A">
        <w:rPr>
          <w:color w:val="000000" w:themeColor="text1"/>
        </w:rPr>
        <w:t xml:space="preserve"> of the principal-agent theory is its failure to explain the wide discretion awarded to corporate directors to control earnings and pay dividends almost as they see fit under the accounting and dividend rules. This discretionary power sits in stark contrast to a traditional principal-agent relationship, and it further reveals the divergence between </w:t>
      </w:r>
      <w:r w:rsidR="00F33FEB" w:rsidRPr="00E1253A">
        <w:rPr>
          <w:color w:val="000000" w:themeColor="text1"/>
        </w:rPr>
        <w:t>corporate equity</w:t>
      </w:r>
      <w:r w:rsidR="00342B3B" w:rsidRPr="00E1253A">
        <w:rPr>
          <w:color w:val="000000" w:themeColor="text1"/>
        </w:rPr>
        <w:t xml:space="preserve"> rights </w:t>
      </w:r>
      <w:r w:rsidR="00F33FEB" w:rsidRPr="00E1253A">
        <w:rPr>
          <w:color w:val="000000" w:themeColor="text1"/>
        </w:rPr>
        <w:t>in comparison to</w:t>
      </w:r>
      <w:r w:rsidR="00342B3B" w:rsidRPr="00E1253A">
        <w:rPr>
          <w:color w:val="000000" w:themeColor="text1"/>
        </w:rPr>
        <w:t xml:space="preserve"> that of traditional property rights.</w:t>
      </w:r>
      <w:r w:rsidR="007B1877" w:rsidRPr="00E1253A">
        <w:rPr>
          <w:color w:val="000000" w:themeColor="text1"/>
        </w:rPr>
        <w:t xml:space="preserve"> Retained earnings are simply the reported annual revenues minus reported expenses, and it is the directors that ultimately have the power to allocate corporate resources and determine how expenses are reported. Thus, the board of a firm making a handsome surplus ultimately retains the discretionary authority to choose whether to pass that surplus on to shareholders, or it could “choose instead to use the corporation’s increasing wealth to raise employee salaries, buy the CEO and executive jet… or make donations to charity and the local community”.</w:t>
      </w:r>
      <w:r w:rsidR="007B1877" w:rsidRPr="00E1253A">
        <w:rPr>
          <w:rStyle w:val="FootnoteReference"/>
          <w:color w:val="000000" w:themeColor="text1"/>
        </w:rPr>
        <w:footnoteReference w:id="94"/>
      </w:r>
      <w:r w:rsidRPr="00E1253A">
        <w:rPr>
          <w:color w:val="000000" w:themeColor="text1"/>
        </w:rPr>
        <w:t>Although choosing not to return excess profits to shareholders would supposedly increase the value of the firm and thus the market value of shareholders equities in their own interest, directors also have the discretionary authority to legally report earnings within the rules by using creative accounting techniques to “managing earnings that may violate the spirit, but not the letter, of these rules... [while] communications with investors may contain omissions and interpretations that give a misleading picture of a corporation’s financial health”.</w:t>
      </w:r>
      <w:r w:rsidRPr="00E1253A">
        <w:rPr>
          <w:rStyle w:val="FootnoteReference"/>
          <w:color w:val="000000" w:themeColor="text1"/>
        </w:rPr>
        <w:footnoteReference w:id="95"/>
      </w:r>
      <w:r w:rsidRPr="00E1253A">
        <w:rPr>
          <w:color w:val="000000" w:themeColor="text1"/>
        </w:rPr>
        <w:t xml:space="preserve"> Accordingly, “both the flow and the content of information released to investors can powerfully affect investors’ perceptions and consequently a firm’s stock price”.</w:t>
      </w:r>
      <w:bookmarkStart w:id="218" w:name="OLE_LINK291"/>
      <w:bookmarkStart w:id="219" w:name="OLE_LINK292"/>
      <w:r w:rsidRPr="00E1253A">
        <w:rPr>
          <w:rStyle w:val="FootnoteReference"/>
          <w:color w:val="000000" w:themeColor="text1"/>
        </w:rPr>
        <w:footnoteReference w:id="96"/>
      </w:r>
      <w:bookmarkEnd w:id="218"/>
      <w:bookmarkEnd w:id="219"/>
      <w:r w:rsidRPr="00E1253A">
        <w:rPr>
          <w:color w:val="000000" w:themeColor="text1"/>
        </w:rPr>
        <w:t xml:space="preserve"> </w:t>
      </w:r>
    </w:p>
    <w:p w14:paraId="707E6779" w14:textId="77777777" w:rsidR="00AD362B" w:rsidRPr="00E1253A" w:rsidRDefault="007B1877" w:rsidP="0012453C">
      <w:pPr>
        <w:spacing w:line="480" w:lineRule="auto"/>
        <w:ind w:firstLine="720"/>
        <w:jc w:val="both"/>
        <w:rPr>
          <w:color w:val="000000" w:themeColor="text1"/>
        </w:rPr>
      </w:pPr>
      <w:r w:rsidRPr="00E1253A">
        <w:rPr>
          <w:color w:val="000000" w:themeColor="text1"/>
        </w:rPr>
        <w:t>As Blair and Stout argue, the principal agent model does not appear to track the economic and legal realities of corporations very accurately. In opposition to Macey’s interpretation of shareholders, Blair and Stout suggest “many different groups are potential ‘residual claimants’ in corporations in the sense that they can share in the surplus created by the activities of the enterprise, including not only shareholders, but also creditors, customers, employees, and the community as well”.</w:t>
      </w:r>
      <w:r w:rsidRPr="00E1253A">
        <w:rPr>
          <w:rStyle w:val="FootnoteReference"/>
          <w:color w:val="000000" w:themeColor="text1"/>
        </w:rPr>
        <w:footnoteReference w:id="97"/>
      </w:r>
      <w:r w:rsidRPr="00E1253A">
        <w:rPr>
          <w:color w:val="000000" w:themeColor="text1"/>
        </w:rPr>
        <w:t xml:space="preserve"> </w:t>
      </w:r>
      <w:r w:rsidR="00AD362B" w:rsidRPr="00E1253A">
        <w:rPr>
          <w:color w:val="000000" w:themeColor="text1"/>
        </w:rPr>
        <w:t xml:space="preserve"> </w:t>
      </w:r>
    </w:p>
    <w:p w14:paraId="522FA9B4" w14:textId="28DB6373" w:rsidR="00301906" w:rsidRPr="00E1253A" w:rsidRDefault="00AD362B" w:rsidP="0012453C">
      <w:pPr>
        <w:spacing w:line="480" w:lineRule="auto"/>
        <w:ind w:firstLine="720"/>
        <w:jc w:val="both"/>
        <w:rPr>
          <w:color w:val="000000" w:themeColor="text1"/>
        </w:rPr>
      </w:pPr>
      <w:r w:rsidRPr="00E1253A">
        <w:rPr>
          <w:color w:val="000000" w:themeColor="text1"/>
        </w:rPr>
        <w:t>Th</w:t>
      </w:r>
      <w:r w:rsidR="00B52CBB" w:rsidRPr="00E1253A">
        <w:rPr>
          <w:color w:val="000000" w:themeColor="text1"/>
        </w:rPr>
        <w:t>e broad discretion awarded to directors to manage accounting disclosures and determine dividend-payouts reveals their crucial role these fiduciaries play in promoting the flow of capital to the most productive uses</w:t>
      </w:r>
      <w:r w:rsidRPr="00E1253A">
        <w:rPr>
          <w:color w:val="000000" w:themeColor="text1"/>
        </w:rPr>
        <w:t xml:space="preserve"> over the medium and long-run</w:t>
      </w:r>
      <w:r w:rsidR="00B52CBB" w:rsidRPr="00E1253A">
        <w:rPr>
          <w:color w:val="000000" w:themeColor="text1"/>
        </w:rPr>
        <w:t>. Besides controlling the accounting measures of costs and what is listed as a corporate expense, directors also have the authority to allocate retained profits to one of three principal purposes: it may be returned to shareholders in the form of dividends, it can be returned to employees in the form of higher wages, or it can be reinvested in the corporation. Stout argues the real reason “corporate law limits shareholders’ power to control directors and to demand dividends, share repurchases, or other transactions that would threaten locked-in capital”, is fundamentally in order to protect the company’s specific assets.</w:t>
      </w:r>
      <w:bookmarkStart w:id="220" w:name="OLE_LINK296"/>
      <w:bookmarkStart w:id="221" w:name="OLE_LINK297"/>
      <w:r w:rsidR="00B52CBB" w:rsidRPr="00E1253A">
        <w:rPr>
          <w:rStyle w:val="FootnoteReference"/>
          <w:color w:val="000000" w:themeColor="text1"/>
        </w:rPr>
        <w:footnoteReference w:id="98"/>
      </w:r>
      <w:r w:rsidR="00B52CBB" w:rsidRPr="00E1253A">
        <w:rPr>
          <w:color w:val="000000" w:themeColor="text1"/>
        </w:rPr>
        <w:t xml:space="preserve"> </w:t>
      </w:r>
      <w:bookmarkEnd w:id="220"/>
      <w:bookmarkEnd w:id="221"/>
      <w:r w:rsidR="00B52CBB" w:rsidRPr="00E1253A">
        <w:rPr>
          <w:color w:val="000000" w:themeColor="text1"/>
        </w:rPr>
        <w:t>The history of corporate law in the United States underscores the importance of these investments in complex projects for the benefit of the enterprise, shareholders, stakeholders, and society more broadly. Enterprise-specific assets, as mentioned earlier, are critical to sustaining a cycle of value creation whereby corporations can innovate, create social value, and increase their long-term profits. These assets include, “sunk-cost investments in research, development, and business processes and relationships—[or any] money or time that has already been spent in the hope of earning future profits”.</w:t>
      </w:r>
      <w:r w:rsidR="00B52CBB" w:rsidRPr="00E1253A">
        <w:rPr>
          <w:rStyle w:val="FootnoteReference"/>
          <w:color w:val="000000" w:themeColor="text1"/>
        </w:rPr>
        <w:footnoteReference w:id="99"/>
      </w:r>
      <w:r w:rsidR="00B52CBB" w:rsidRPr="00E1253A">
        <w:rPr>
          <w:color w:val="000000" w:themeColor="text1"/>
        </w:rPr>
        <w:t xml:space="preserve"> In addition to specialized equipment that cannot be easily converted for other uses, “executives’ and employees’ acquisition of knowledge, skills, and relationships uniquely useful to their present firm, and of little value to other potential employers, are investments in firm-specific ‘human capital’, [while] developing customer loyalty, a trusted brand name, or a unique business process are [also] all examples of specific investment”, and are central to sustaining many businesses’ success in today’s economy.</w:t>
      </w:r>
      <w:bookmarkStart w:id="222" w:name="OLE_LINK298"/>
      <w:bookmarkStart w:id="223" w:name="OLE_LINK299"/>
      <w:r w:rsidR="00B52CBB" w:rsidRPr="00E1253A">
        <w:rPr>
          <w:rStyle w:val="FootnoteReference"/>
          <w:color w:val="000000" w:themeColor="text1"/>
        </w:rPr>
        <w:footnoteReference w:id="100"/>
      </w:r>
      <w:bookmarkEnd w:id="222"/>
      <w:bookmarkEnd w:id="223"/>
      <w:r w:rsidR="00B52CBB" w:rsidRPr="00E1253A">
        <w:rPr>
          <w:color w:val="000000" w:themeColor="text1"/>
        </w:rPr>
        <w:t xml:space="preserve"> The importance of these long-term durable investments supports the proposition that “shareholders cannot be allowed to directly control corporations because they are only one among many groups that must yield control rights over the firm’s assets and outputs in order to make credible commitments to other team members that they will not hold up the whole team to extract a larger share of the surplus”.</w:t>
      </w:r>
      <w:bookmarkStart w:id="224" w:name="OLE_LINK300"/>
      <w:bookmarkStart w:id="225" w:name="OLE_LINK301"/>
      <w:r w:rsidR="00B52CBB" w:rsidRPr="00E1253A">
        <w:rPr>
          <w:rStyle w:val="FootnoteReference"/>
          <w:color w:val="000000" w:themeColor="text1"/>
        </w:rPr>
        <w:footnoteReference w:id="101"/>
      </w:r>
      <w:bookmarkEnd w:id="224"/>
      <w:bookmarkEnd w:id="225"/>
      <w:r w:rsidR="00B52CBB" w:rsidRPr="00E1253A">
        <w:rPr>
          <w:color w:val="000000" w:themeColor="text1"/>
        </w:rPr>
        <w:t xml:space="preserve"> </w:t>
      </w:r>
    </w:p>
    <w:p w14:paraId="3D708F87" w14:textId="3E50759C" w:rsidR="00342B3B" w:rsidRPr="00E1253A" w:rsidRDefault="00B52CBB" w:rsidP="00AF0FAE">
      <w:pPr>
        <w:spacing w:line="480" w:lineRule="auto"/>
        <w:ind w:firstLine="720"/>
        <w:jc w:val="both"/>
        <w:rPr>
          <w:color w:val="000000" w:themeColor="text1"/>
        </w:rPr>
      </w:pPr>
      <w:r w:rsidRPr="00E1253A">
        <w:rPr>
          <w:color w:val="000000" w:themeColor="text1"/>
        </w:rPr>
        <w:t>As Boatright similarly argues, “management’s fiduciary duty to shareholders and the objective of shareholder wealth maximization are merely means to an end, [as these] benefits result from the agreements that a firm makes with one input provider, namely shareholders”.</w:t>
      </w:r>
      <w:r w:rsidRPr="00E1253A">
        <w:rPr>
          <w:rStyle w:val="FootnoteReference"/>
          <w:color w:val="000000" w:themeColor="text1"/>
        </w:rPr>
        <w:footnoteReference w:id="102"/>
      </w:r>
      <w:r w:rsidRPr="00E1253A">
        <w:rPr>
          <w:color w:val="000000" w:themeColor="text1"/>
        </w:rPr>
        <w:t xml:space="preserve"> A firm, however, also makes many agreements in the form of contracts with other constituencies, including employees, customers, suppliers, and other investors, all for mutual advantage. When the assets contributed by these parties are "firm-specific, they are accompanied by safeguards that constitute forms of governance [and the] </w:t>
      </w:r>
      <w:bookmarkStart w:id="226" w:name="OLE_LINK826"/>
      <w:bookmarkStart w:id="227" w:name="OLE_LINK827"/>
      <w:r w:rsidRPr="00E1253A">
        <w:rPr>
          <w:color w:val="000000" w:themeColor="text1"/>
        </w:rPr>
        <w:t>agreements between these groups and a firm create both moral and legal obligations that are every bit as binding as those owed to shareholders, [while] each stakeholder group, including managers, has an obligation to treat all others in accord with accepted ethical standards” as well.</w:t>
      </w:r>
      <w:bookmarkEnd w:id="226"/>
      <w:bookmarkEnd w:id="227"/>
      <w:r w:rsidRPr="00E1253A">
        <w:rPr>
          <w:rStyle w:val="FootnoteReference"/>
          <w:color w:val="000000" w:themeColor="text1"/>
        </w:rPr>
        <w:footnoteReference w:id="103"/>
      </w:r>
      <w:r w:rsidR="00AD362B" w:rsidRPr="00E1253A">
        <w:rPr>
          <w:color w:val="000000" w:themeColor="text1"/>
        </w:rPr>
        <w:t xml:space="preserve"> </w:t>
      </w:r>
      <w:r w:rsidR="00342B3B" w:rsidRPr="00E1253A">
        <w:rPr>
          <w:color w:val="000000" w:themeColor="text1"/>
        </w:rPr>
        <w:t>This brings us to the fundamental question as to what the corporation’s ultimate purpose is, and hence, what performance criteria should directors and executives be legally as well as normatively held against in evaluating their performance as a trustee of the enterprise?</w:t>
      </w:r>
      <w:r w:rsidR="00AD362B" w:rsidRPr="00E1253A">
        <w:rPr>
          <w:color w:val="000000" w:themeColor="text1"/>
        </w:rPr>
        <w:t xml:space="preserve"> Moreover, how are fiduciaries to weight the relative concerns of different stakeholder groups.</w:t>
      </w:r>
    </w:p>
    <w:bookmarkEnd w:id="202"/>
    <w:bookmarkEnd w:id="203"/>
    <w:p w14:paraId="1D7E19E3" w14:textId="00A8AF9D" w:rsidR="00BF6B9E" w:rsidRPr="00E1253A" w:rsidRDefault="007B2E8E" w:rsidP="0012453C">
      <w:pPr>
        <w:pStyle w:val="Heading2"/>
        <w:numPr>
          <w:ilvl w:val="0"/>
          <w:numId w:val="5"/>
        </w:numPr>
        <w:spacing w:line="480" w:lineRule="auto"/>
        <w:contextualSpacing w:val="0"/>
        <w:jc w:val="both"/>
      </w:pPr>
      <w:r w:rsidRPr="00E1253A">
        <w:t>Corporate Purpose: The Objective Function</w:t>
      </w:r>
    </w:p>
    <w:p w14:paraId="0422CDC1" w14:textId="230724E9" w:rsidR="008B576B" w:rsidRPr="00E1253A" w:rsidRDefault="001433E8" w:rsidP="0012453C">
      <w:pPr>
        <w:spacing w:line="480" w:lineRule="auto"/>
        <w:jc w:val="both"/>
        <w:rPr>
          <w:color w:val="000000" w:themeColor="text1"/>
        </w:rPr>
      </w:pPr>
      <w:r w:rsidRPr="00E1253A">
        <w:rPr>
          <w:color w:val="000000" w:themeColor="text1"/>
        </w:rPr>
        <w:t xml:space="preserve">Corporate fiduciaries effectively exercise collective sovereignty on behalf of the corporation, and they are shown to have broad latitude in setting corporate strategy, </w:t>
      </w:r>
      <w:r w:rsidR="00D073CF" w:rsidRPr="00E1253A">
        <w:rPr>
          <w:color w:val="000000" w:themeColor="text1"/>
        </w:rPr>
        <w:t>reporting earnings, setting employee wages, determining capital investments, declaring</w:t>
      </w:r>
      <w:r w:rsidRPr="00E1253A">
        <w:rPr>
          <w:color w:val="000000" w:themeColor="text1"/>
        </w:rPr>
        <w:t xml:space="preserve"> dividends, and usually even in writing bylaws to name a few</w:t>
      </w:r>
      <w:r w:rsidR="00D073CF" w:rsidRPr="00E1253A">
        <w:rPr>
          <w:color w:val="000000" w:themeColor="text1"/>
        </w:rPr>
        <w:t xml:space="preserve"> powers. Although fiduciaries are given latitude to act as trustees in furthering the interests of the corporation and its stockholders, there is uncertainty, however, as to</w:t>
      </w:r>
      <w:r w:rsidR="008B576B" w:rsidRPr="00E1253A">
        <w:rPr>
          <w:color w:val="000000" w:themeColor="text1"/>
        </w:rPr>
        <w:t xml:space="preserve"> how </w:t>
      </w:r>
      <w:r w:rsidR="00D073CF" w:rsidRPr="00E1253A">
        <w:rPr>
          <w:color w:val="000000" w:themeColor="text1"/>
        </w:rPr>
        <w:t>corporate fiduciaries</w:t>
      </w:r>
      <w:r w:rsidR="004142A6" w:rsidRPr="00E1253A">
        <w:rPr>
          <w:color w:val="000000" w:themeColor="text1"/>
        </w:rPr>
        <w:t xml:space="preserve"> are to discriminate among the various claims made on the enterprise between</w:t>
      </w:r>
      <w:r w:rsidR="00D073CF" w:rsidRPr="00E1253A">
        <w:rPr>
          <w:color w:val="000000" w:themeColor="text1"/>
        </w:rPr>
        <w:t xml:space="preserve"> shareholders, </w:t>
      </w:r>
      <w:r w:rsidR="007B1877" w:rsidRPr="00E1253A">
        <w:rPr>
          <w:color w:val="000000" w:themeColor="text1"/>
        </w:rPr>
        <w:t xml:space="preserve">various </w:t>
      </w:r>
      <w:r w:rsidR="00D073CF" w:rsidRPr="00E1253A">
        <w:rPr>
          <w:color w:val="000000" w:themeColor="text1"/>
        </w:rPr>
        <w:t xml:space="preserve">stakeholder </w:t>
      </w:r>
      <w:r w:rsidR="004142A6" w:rsidRPr="00E1253A">
        <w:rPr>
          <w:color w:val="000000" w:themeColor="text1"/>
        </w:rPr>
        <w:t>interests, or social policies</w:t>
      </w:r>
      <w:r w:rsidR="00D073CF" w:rsidRPr="00E1253A">
        <w:rPr>
          <w:color w:val="000000" w:themeColor="text1"/>
        </w:rPr>
        <w:t>. In this section I will review American jurisprudence and legal scholarship to reveal the absence of any affirmative duty to maximize shareholder wealth</w:t>
      </w:r>
      <w:r w:rsidR="004142A6" w:rsidRPr="00E1253A">
        <w:rPr>
          <w:color w:val="000000" w:themeColor="text1"/>
        </w:rPr>
        <w:t>. I will argue that defining corporate purpose through an extremely narrow interpretation of property rights as shareholder primacy is not only legally inaccurate, but economically inefficient</w:t>
      </w:r>
      <w:r w:rsidR="00AF5579" w:rsidRPr="00E1253A">
        <w:rPr>
          <w:color w:val="000000" w:themeColor="text1"/>
        </w:rPr>
        <w:t xml:space="preserve"> </w:t>
      </w:r>
      <w:r w:rsidR="004142A6" w:rsidRPr="00E1253A">
        <w:rPr>
          <w:color w:val="000000" w:themeColor="text1"/>
        </w:rPr>
        <w:t>and morally dubious. Instead, I will show the necessity for a more enlightened conception of corporate purpos</w:t>
      </w:r>
      <w:r w:rsidR="00AF5579" w:rsidRPr="00E1253A">
        <w:rPr>
          <w:color w:val="000000" w:themeColor="text1"/>
        </w:rPr>
        <w:t xml:space="preserve">e that moves beyond the narrow limits of balance sheets and modern portfolio theory. </w:t>
      </w:r>
    </w:p>
    <w:p w14:paraId="5769158C" w14:textId="77777777" w:rsidR="00A4388D" w:rsidRPr="00E1253A" w:rsidRDefault="008B576B" w:rsidP="0012453C">
      <w:pPr>
        <w:spacing w:line="480" w:lineRule="auto"/>
        <w:ind w:firstLine="720"/>
        <w:jc w:val="both"/>
        <w:rPr>
          <w:color w:val="000000" w:themeColor="text1"/>
        </w:rPr>
      </w:pPr>
      <w:r w:rsidRPr="00E1253A">
        <w:rPr>
          <w:color w:val="000000" w:themeColor="text1"/>
        </w:rPr>
        <w:t>Where partnership law defines a partnership as an association for the purpose of earning business profits, corporate law does not define the purpose of the corporation beyond merely restricting it to “lawful” activities.</w:t>
      </w:r>
      <w:r w:rsidRPr="00E1253A">
        <w:rPr>
          <w:rStyle w:val="FootnoteReference"/>
          <w:color w:val="000000" w:themeColor="text1"/>
        </w:rPr>
        <w:footnoteReference w:id="104"/>
      </w:r>
      <w:r w:rsidRPr="00E1253A">
        <w:rPr>
          <w:color w:val="000000" w:themeColor="text1"/>
        </w:rPr>
        <w:t xml:space="preserve"> </w:t>
      </w:r>
      <w:r w:rsidR="00D073CF" w:rsidRPr="00E1253A">
        <w:rPr>
          <w:color w:val="000000" w:themeColor="text1"/>
        </w:rPr>
        <w:t>The corporation has been described as a nexus of contracts meaning the firm serves as the common counterparty to various contractual relationships with debtors, customers, employees, contractors, and suppliers to name a few</w:t>
      </w:r>
      <w:r w:rsidRPr="00E1253A">
        <w:rPr>
          <w:color w:val="000000" w:themeColor="text1"/>
        </w:rPr>
        <w:t xml:space="preserve">. </w:t>
      </w:r>
      <w:r w:rsidR="00342B3B" w:rsidRPr="00E1253A">
        <w:rPr>
          <w:color w:val="000000" w:themeColor="text1"/>
        </w:rPr>
        <w:t>Contemporary</w:t>
      </w:r>
      <w:r w:rsidR="002C1BA0" w:rsidRPr="00E1253A">
        <w:rPr>
          <w:color w:val="000000" w:themeColor="text1"/>
        </w:rPr>
        <w:t xml:space="preserve"> neoliberal</w:t>
      </w:r>
      <w:r w:rsidR="00342B3B" w:rsidRPr="00E1253A">
        <w:rPr>
          <w:color w:val="000000" w:themeColor="text1"/>
        </w:rPr>
        <w:t xml:space="preserve"> legal and economic thought has construed the corporation as a nexus of contracts among private individual</w:t>
      </w:r>
      <w:r w:rsidR="00E42DCC" w:rsidRPr="00E1253A">
        <w:rPr>
          <w:color w:val="000000" w:themeColor="text1"/>
        </w:rPr>
        <w:t xml:space="preserve">s </w:t>
      </w:r>
      <w:r w:rsidR="002C1BA0" w:rsidRPr="00E1253A">
        <w:rPr>
          <w:color w:val="000000" w:themeColor="text1"/>
        </w:rPr>
        <w:t>emphasizing</w:t>
      </w:r>
      <w:r w:rsidR="00E42DCC" w:rsidRPr="00E1253A">
        <w:rPr>
          <w:color w:val="000000" w:themeColor="text1"/>
        </w:rPr>
        <w:t xml:space="preserve"> </w:t>
      </w:r>
      <w:r w:rsidR="002C1BA0" w:rsidRPr="00E1253A">
        <w:rPr>
          <w:color w:val="000000" w:themeColor="text1"/>
        </w:rPr>
        <w:t xml:space="preserve">a </w:t>
      </w:r>
      <w:r w:rsidR="008259BA" w:rsidRPr="00E1253A">
        <w:rPr>
          <w:color w:val="000000" w:themeColor="text1"/>
        </w:rPr>
        <w:t>property rights and contractual approach toward defining the duties and obligations of the enterprise</w:t>
      </w:r>
      <w:r w:rsidR="00060500" w:rsidRPr="00E1253A">
        <w:rPr>
          <w:color w:val="000000" w:themeColor="text1"/>
        </w:rPr>
        <w:t xml:space="preserve"> primarily</w:t>
      </w:r>
      <w:r w:rsidR="008259BA" w:rsidRPr="00E1253A">
        <w:rPr>
          <w:color w:val="000000" w:themeColor="text1"/>
        </w:rPr>
        <w:t xml:space="preserve"> with respect to</w:t>
      </w:r>
      <w:r w:rsidR="00060500" w:rsidRPr="00E1253A">
        <w:rPr>
          <w:color w:val="000000" w:themeColor="text1"/>
        </w:rPr>
        <w:t xml:space="preserve"> its shareholders, and instrumentally towards the</w:t>
      </w:r>
      <w:r w:rsidR="008259BA" w:rsidRPr="00E1253A">
        <w:rPr>
          <w:color w:val="000000" w:themeColor="text1"/>
        </w:rPr>
        <w:t xml:space="preserve"> many</w:t>
      </w:r>
      <w:r w:rsidR="00060500" w:rsidRPr="00E1253A">
        <w:rPr>
          <w:color w:val="000000" w:themeColor="text1"/>
        </w:rPr>
        <w:t xml:space="preserve"> other</w:t>
      </w:r>
      <w:r w:rsidR="008259BA" w:rsidRPr="00E1253A">
        <w:rPr>
          <w:color w:val="000000" w:themeColor="text1"/>
        </w:rPr>
        <w:t xml:space="preserve"> contractual relationships</w:t>
      </w:r>
      <w:r w:rsidR="00060500" w:rsidRPr="00E1253A">
        <w:rPr>
          <w:color w:val="000000" w:themeColor="text1"/>
        </w:rPr>
        <w:t xml:space="preserve"> that have claims on the enterprise</w:t>
      </w:r>
      <w:r w:rsidR="008259BA" w:rsidRPr="00E1253A">
        <w:rPr>
          <w:color w:val="000000" w:themeColor="text1"/>
        </w:rPr>
        <w:t>.</w:t>
      </w:r>
      <w:r w:rsidR="002C1BA0" w:rsidRPr="00E1253A">
        <w:rPr>
          <w:color w:val="000000" w:themeColor="text1"/>
        </w:rPr>
        <w:t xml:space="preserve"> </w:t>
      </w:r>
    </w:p>
    <w:p w14:paraId="0690EA89" w14:textId="051308F9" w:rsidR="00060500" w:rsidRPr="00E1253A" w:rsidRDefault="00342B3B" w:rsidP="0012453C">
      <w:pPr>
        <w:spacing w:line="480" w:lineRule="auto"/>
        <w:ind w:firstLine="720"/>
        <w:jc w:val="both"/>
        <w:rPr>
          <w:color w:val="000000" w:themeColor="text1"/>
        </w:rPr>
      </w:pPr>
      <w:r w:rsidRPr="00E1253A">
        <w:rPr>
          <w:color w:val="000000" w:themeColor="text1"/>
        </w:rPr>
        <w:t>Theoretical research of over “200 years’ worth of work in economics and finance indicate that social welfare is maximized when all firms in an economy attempt to maximize their own total firm value”, with firm value being the long-term market value of the expected stream of future benefits.</w:t>
      </w:r>
      <w:r w:rsidRPr="00E1253A">
        <w:rPr>
          <w:rStyle w:val="FootnoteReference"/>
          <w:color w:val="000000" w:themeColor="text1"/>
        </w:rPr>
        <w:footnoteReference w:id="105"/>
      </w:r>
      <w:r w:rsidRPr="00E1253A">
        <w:rPr>
          <w:color w:val="000000" w:themeColor="text1"/>
        </w:rPr>
        <w:t xml:space="preserve"> Eugene Rostow </w:t>
      </w:r>
      <w:r w:rsidR="002C1BA0" w:rsidRPr="00E1253A">
        <w:rPr>
          <w:color w:val="000000" w:themeColor="text1"/>
        </w:rPr>
        <w:t xml:space="preserve">has </w:t>
      </w:r>
      <w:r w:rsidRPr="00E1253A">
        <w:rPr>
          <w:color w:val="000000" w:themeColor="text1"/>
        </w:rPr>
        <w:t>argue</w:t>
      </w:r>
      <w:r w:rsidR="002C1BA0" w:rsidRPr="00E1253A">
        <w:rPr>
          <w:color w:val="000000" w:themeColor="text1"/>
        </w:rPr>
        <w:t>d</w:t>
      </w:r>
      <w:r w:rsidRPr="00E1253A">
        <w:rPr>
          <w:color w:val="000000" w:themeColor="text1"/>
        </w:rPr>
        <w:t xml:space="preserve"> the orientation of “legitimate” business policy ought to be essentially economic in purpose and should not become an ambiguous amalgam of economic and noneconomic themes. He concludes “a clear-cut economic directive should help directors to discriminate more effectively among competing claims upon them, in carrying out their public trusteeship for the economic system as a whole”.</w:t>
      </w:r>
      <w:r w:rsidRPr="00E1253A">
        <w:rPr>
          <w:rStyle w:val="FootnoteReference"/>
          <w:color w:val="000000" w:themeColor="text1"/>
        </w:rPr>
        <w:footnoteReference w:id="106"/>
      </w:r>
      <w:bookmarkStart w:id="230" w:name="OLE_LINK245"/>
      <w:bookmarkStart w:id="231" w:name="OLE_LINK246"/>
      <w:r w:rsidR="002C1BA0" w:rsidRPr="00E1253A">
        <w:rPr>
          <w:color w:val="000000" w:themeColor="text1"/>
        </w:rPr>
        <w:t xml:space="preserve"> </w:t>
      </w:r>
      <w:r w:rsidRPr="00E1253A">
        <w:rPr>
          <w:color w:val="000000" w:themeColor="text1"/>
        </w:rPr>
        <w:t xml:space="preserve">Michael </w:t>
      </w:r>
      <w:bookmarkEnd w:id="230"/>
      <w:bookmarkEnd w:id="231"/>
      <w:r w:rsidRPr="00E1253A">
        <w:rPr>
          <w:color w:val="000000" w:themeColor="text1"/>
        </w:rPr>
        <w:t>Jensen has also famously argued that purposeful behavior requires the existence of a single-valued objective function</w:t>
      </w:r>
      <w:r w:rsidR="002C1BA0" w:rsidRPr="00E1253A">
        <w:rPr>
          <w:color w:val="000000" w:themeColor="text1"/>
        </w:rPr>
        <w:t xml:space="preserve">, </w:t>
      </w:r>
      <w:r w:rsidRPr="00E1253A">
        <w:rPr>
          <w:color w:val="000000" w:themeColor="text1"/>
        </w:rPr>
        <w:t xml:space="preserve">as it is logically impossible to maximize more than one dimension at the same time. </w:t>
      </w:r>
      <w:r w:rsidR="002C1BA0" w:rsidRPr="00E1253A">
        <w:rPr>
          <w:color w:val="000000" w:themeColor="text1"/>
        </w:rPr>
        <w:t>He argues, “whereas value maximization provides corporate managers with a single objective, stakeholder theory directs corporate managers to serve ‘many masters’” without a clear directive to discriminate between tradeoffs among corporate stakeholders.</w:t>
      </w:r>
      <w:r w:rsidR="002C1BA0" w:rsidRPr="00E1253A">
        <w:rPr>
          <w:rStyle w:val="FootnoteReference"/>
          <w:color w:val="000000" w:themeColor="text1"/>
        </w:rPr>
        <w:footnoteReference w:id="107"/>
      </w:r>
      <w:r w:rsidR="002C1BA0" w:rsidRPr="00E1253A">
        <w:rPr>
          <w:color w:val="000000" w:themeColor="text1"/>
        </w:rPr>
        <w:t xml:space="preserve"> Thus, as other commentators have noted, he claims a stakeholder theory of the corporation that prioritizes stakeholder interests in addition to shareholder interests “should not be viewed as a legitimate contender to value maximization because it fails to provide a complete specification of the corporate purpose or objective function”.</w:t>
      </w:r>
      <w:bookmarkStart w:id="232" w:name="OLE_LINK100"/>
      <w:bookmarkStart w:id="233" w:name="OLE_LINK241"/>
      <w:bookmarkStart w:id="234" w:name="OLE_LINK242"/>
      <w:r w:rsidR="002C1BA0" w:rsidRPr="00E1253A">
        <w:rPr>
          <w:rStyle w:val="FootnoteReference"/>
          <w:color w:val="000000" w:themeColor="text1"/>
        </w:rPr>
        <w:footnoteReference w:id="108"/>
      </w:r>
      <w:bookmarkEnd w:id="232"/>
      <w:bookmarkEnd w:id="233"/>
      <w:bookmarkEnd w:id="234"/>
      <w:r w:rsidR="002C1BA0" w:rsidRPr="00E1253A">
        <w:rPr>
          <w:b/>
          <w:bCs/>
          <w:color w:val="000000" w:themeColor="text1"/>
        </w:rPr>
        <w:t xml:space="preserve"> </w:t>
      </w:r>
      <w:r w:rsidR="00A4388D" w:rsidRPr="00E1253A">
        <w:rPr>
          <w:color w:val="000000" w:themeColor="text1"/>
        </w:rPr>
        <w:t>H</w:t>
      </w:r>
      <w:r w:rsidRPr="00E1253A">
        <w:rPr>
          <w:color w:val="000000" w:themeColor="text1"/>
        </w:rPr>
        <w:t>e suggests a stakeholder conception of the corporatio</w:t>
      </w:r>
      <w:r w:rsidR="002C1BA0" w:rsidRPr="00E1253A">
        <w:rPr>
          <w:color w:val="000000" w:themeColor="text1"/>
        </w:rPr>
        <w:t xml:space="preserve">n with duties to </w:t>
      </w:r>
      <w:r w:rsidR="005C3E4A" w:rsidRPr="00E1253A">
        <w:rPr>
          <w:color w:val="000000" w:themeColor="text1"/>
        </w:rPr>
        <w:t xml:space="preserve">multiple stakeholder groups, each of with has heterogenous preferences, would be impossible to optimize in terms of profit maximization. </w:t>
      </w:r>
      <w:r w:rsidR="00B7366D" w:rsidRPr="00E1253A">
        <w:rPr>
          <w:color w:val="000000" w:themeColor="text1"/>
        </w:rPr>
        <w:t xml:space="preserve">Despite these arguments, the United States jurisprudence, however, suggests that shareholder primacy and pure profit maximization are not a normatively nor legally accurate conception of corporate conduct today either. </w:t>
      </w:r>
      <w:r w:rsidR="00D83B65" w:rsidRPr="00E1253A">
        <w:rPr>
          <w:color w:val="000000" w:themeColor="text1"/>
        </w:rPr>
        <w:t xml:space="preserve">Moreover, it must be remembered that “maximization” of profits in the sense of optimization is not realistically attainable, let allow knowable. </w:t>
      </w:r>
    </w:p>
    <w:p w14:paraId="35E47680" w14:textId="0049366E" w:rsidR="008E4054" w:rsidRPr="00E1253A" w:rsidRDefault="00342B3B" w:rsidP="0012453C">
      <w:pPr>
        <w:spacing w:line="480" w:lineRule="auto"/>
        <w:ind w:firstLine="720"/>
        <w:jc w:val="both"/>
        <w:rPr>
          <w:color w:val="000000" w:themeColor="text1"/>
        </w:rPr>
      </w:pPr>
      <w:bookmarkStart w:id="235" w:name="OLE_LINK53"/>
      <w:bookmarkStart w:id="236" w:name="OLE_LINK114"/>
      <w:bookmarkStart w:id="237" w:name="OLE_LINK115"/>
      <w:r w:rsidRPr="00E1253A">
        <w:rPr>
          <w:color w:val="000000" w:themeColor="text1"/>
        </w:rPr>
        <w:t>Professor Lynn Stout has famously argued that corporations in the United States have no legal obligation to maximize shareholder wealth</w:t>
      </w:r>
      <w:bookmarkEnd w:id="235"/>
      <w:r w:rsidRPr="00E1253A">
        <w:rPr>
          <w:color w:val="000000" w:themeColor="text1"/>
        </w:rPr>
        <w:t xml:space="preserve">. Stout cites the Delaware Chancery's statement in the 1986 case of </w:t>
      </w:r>
      <w:r w:rsidRPr="00E1253A">
        <w:rPr>
          <w:i/>
          <w:iCs/>
          <w:color w:val="000000" w:themeColor="text1"/>
        </w:rPr>
        <w:t>Katz v. Oak Industries</w:t>
      </w:r>
      <w:r w:rsidRPr="00E1253A">
        <w:rPr>
          <w:color w:val="000000" w:themeColor="text1"/>
        </w:rPr>
        <w:t xml:space="preserve"> that "[i]t is the obligation of directors to attempt, within the law, to maximize the long-run interests of the corporation's stockholders”.</w:t>
      </w:r>
      <w:r w:rsidRPr="00E1253A">
        <w:rPr>
          <w:rStyle w:val="FootnoteReference"/>
          <w:color w:val="000000" w:themeColor="text1"/>
        </w:rPr>
        <w:footnoteReference w:id="109"/>
      </w:r>
      <w:r w:rsidRPr="00E1253A">
        <w:rPr>
          <w:color w:val="000000" w:themeColor="text1"/>
        </w:rPr>
        <w:t xml:space="preserve"> Stout claims, “even shareholder-oriented dicta on corporate purpose of the Katz sort does not actually impose any legal obligation on directors to maximize shareholder wealth”, as she claims “the key to understanding this is the qualifying phrases ‘</w:t>
      </w:r>
      <w:r w:rsidRPr="00E1253A">
        <w:rPr>
          <w:i/>
          <w:iCs/>
          <w:color w:val="000000" w:themeColor="text1"/>
        </w:rPr>
        <w:t>attempt</w:t>
      </w:r>
      <w:r w:rsidRPr="00E1253A">
        <w:rPr>
          <w:color w:val="000000" w:themeColor="text1"/>
        </w:rPr>
        <w:t>’ and ‘</w:t>
      </w:r>
      <w:r w:rsidRPr="00E1253A">
        <w:rPr>
          <w:i/>
          <w:iCs/>
          <w:color w:val="000000" w:themeColor="text1"/>
        </w:rPr>
        <w:t>long-run</w:t>
      </w:r>
      <w:r w:rsidRPr="00E1253A">
        <w:rPr>
          <w:color w:val="000000" w:themeColor="text1"/>
        </w:rPr>
        <w:t>’”.</w:t>
      </w:r>
      <w:r w:rsidRPr="00E1253A">
        <w:rPr>
          <w:rStyle w:val="FootnoteReference"/>
          <w:color w:val="000000" w:themeColor="text1"/>
        </w:rPr>
        <w:footnoteReference w:id="110"/>
      </w:r>
      <w:r w:rsidRPr="00E1253A">
        <w:rPr>
          <w:color w:val="000000" w:themeColor="text1"/>
        </w:rPr>
        <w:t xml:space="preserve"> </w:t>
      </w:r>
      <w:r w:rsidR="00EC231E" w:rsidRPr="00E1253A">
        <w:rPr>
          <w:color w:val="000000" w:themeColor="text1"/>
        </w:rPr>
        <w:t xml:space="preserve">The qualification that directors should ‘attempt’ in the ‘long-run,’ implies a wide margin of discretion is awarded that can allow directors to justify any number of behaviors by </w:t>
      </w:r>
      <w:r w:rsidR="007C2A22" w:rsidRPr="00E1253A">
        <w:rPr>
          <w:color w:val="000000" w:themeColor="text1"/>
        </w:rPr>
        <w:t>claiming they were merely attempting a strategy she judged to be in the benefit of shareholders long-term interests.</w:t>
      </w:r>
      <w:r w:rsidR="00EC231E" w:rsidRPr="00E1253A">
        <w:rPr>
          <w:color w:val="000000" w:themeColor="text1"/>
        </w:rPr>
        <w:t xml:space="preserve"> </w:t>
      </w:r>
      <w:r w:rsidR="000E64EA" w:rsidRPr="00E1253A">
        <w:rPr>
          <w:color w:val="000000" w:themeColor="text1"/>
        </w:rPr>
        <w:t>As a number of other scholars have pointed out, Stout argues</w:t>
      </w:r>
      <w:r w:rsidRPr="00E1253A">
        <w:rPr>
          <w:color w:val="000000" w:themeColor="text1"/>
        </w:rPr>
        <w:t xml:space="preserve"> courts have regularly allowed directors to make business decisions that harm shareholders in order to benefit other corporate constituencies</w:t>
      </w:r>
      <w:r w:rsidR="000E64EA" w:rsidRPr="00E1253A">
        <w:rPr>
          <w:color w:val="000000" w:themeColor="text1"/>
        </w:rPr>
        <w:t>.</w:t>
      </w:r>
      <w:r w:rsidR="000E64EA" w:rsidRPr="00E1253A">
        <w:rPr>
          <w:rStyle w:val="FootnoteReference"/>
          <w:color w:val="000000" w:themeColor="text1"/>
        </w:rPr>
        <w:footnoteReference w:id="111"/>
      </w:r>
      <w:r w:rsidR="000E64EA" w:rsidRPr="00E1253A">
        <w:rPr>
          <w:color w:val="000000" w:themeColor="text1"/>
        </w:rPr>
        <w:t xml:space="preserve"> </w:t>
      </w:r>
      <w:bookmarkEnd w:id="236"/>
      <w:bookmarkEnd w:id="237"/>
      <w:r w:rsidR="000E64EA" w:rsidRPr="00E1253A">
        <w:rPr>
          <w:color w:val="000000" w:themeColor="text1"/>
        </w:rPr>
        <w:t>Moreover, Stout claims,</w:t>
      </w:r>
      <w:r w:rsidRPr="00E1253A">
        <w:rPr>
          <w:color w:val="000000" w:themeColor="text1"/>
        </w:rPr>
        <w:t xml:space="preserve"> “in the rare event that such a decision is challenged on the grounds that the directors failed to look after shareholder interests, courts shield directors from liability under the business judgment rule so long as any plausible connection can be made between the directors' decision and some possible future benefit, however intangible and unlikely, to shareholders”.</w:t>
      </w:r>
      <w:r w:rsidRPr="00E1253A">
        <w:rPr>
          <w:rStyle w:val="FootnoteReference"/>
          <w:color w:val="000000" w:themeColor="text1"/>
        </w:rPr>
        <w:footnoteReference w:id="112"/>
      </w:r>
      <w:r w:rsidRPr="00E1253A">
        <w:rPr>
          <w:color w:val="000000" w:themeColor="text1"/>
        </w:rPr>
        <w:t xml:space="preserve"> For instance, in </w:t>
      </w:r>
      <w:r w:rsidRPr="00E1253A">
        <w:rPr>
          <w:i/>
          <w:iCs/>
          <w:color w:val="000000" w:themeColor="text1"/>
        </w:rPr>
        <w:t>Shlensky v. Wrigley</w:t>
      </w:r>
      <w:r w:rsidRPr="00E1253A">
        <w:rPr>
          <w:color w:val="000000" w:themeColor="text1"/>
        </w:rPr>
        <w:t>, the court upheld the director’s decision to not install lights on the baseball field, “reasoning, as the directors themselves had not, that a decline in the quality of life in the local neighborhoods might in the long run hurt property values around Wrigley Field, harming shareholders' economic interests”, illustrating how judges routinely refuse to impose any legal obligation on corporate directors to maximize shareholder wealth.</w:t>
      </w:r>
      <w:r w:rsidR="008E4054" w:rsidRPr="00E1253A">
        <w:rPr>
          <w:color w:val="000000" w:themeColor="text1"/>
        </w:rPr>
        <w:t xml:space="preserve"> In Stout’s</w:t>
      </w:r>
      <w:r w:rsidR="005D056B" w:rsidRPr="00E1253A">
        <w:rPr>
          <w:color w:val="000000" w:themeColor="text1"/>
        </w:rPr>
        <w:t xml:space="preserve"> &amp; Blair’s paper on Team Theory, they </w:t>
      </w:r>
      <w:r w:rsidR="008E4054" w:rsidRPr="00E1253A">
        <w:rPr>
          <w:color w:val="000000" w:themeColor="text1"/>
        </w:rPr>
        <w:t>ha</w:t>
      </w:r>
      <w:r w:rsidR="005D056B" w:rsidRPr="00E1253A">
        <w:rPr>
          <w:color w:val="000000" w:themeColor="text1"/>
        </w:rPr>
        <w:t>ve</w:t>
      </w:r>
      <w:r w:rsidR="008E4054" w:rsidRPr="00E1253A">
        <w:rPr>
          <w:color w:val="000000" w:themeColor="text1"/>
        </w:rPr>
        <w:t xml:space="preserve"> also argued that that the business judgement applies when directors have “acted in good faith,” made the decision “on an informed basis,” and, the directors acted “in the honest belief that the action taken was in the best interests of the company”.</w:t>
      </w:r>
      <w:bookmarkStart w:id="242" w:name="OLE_LINK532"/>
      <w:bookmarkStart w:id="243" w:name="OLE_LINK533"/>
      <w:r w:rsidR="005D056B" w:rsidRPr="00E1253A">
        <w:rPr>
          <w:rStyle w:val="FootnoteReference"/>
          <w:color w:val="000000" w:themeColor="text1"/>
        </w:rPr>
        <w:footnoteReference w:id="113"/>
      </w:r>
      <w:r w:rsidR="008E4054" w:rsidRPr="00E1253A">
        <w:rPr>
          <w:color w:val="000000" w:themeColor="text1"/>
        </w:rPr>
        <w:t xml:space="preserve"> </w:t>
      </w:r>
      <w:bookmarkEnd w:id="242"/>
      <w:bookmarkEnd w:id="243"/>
      <w:r w:rsidR="008E4054" w:rsidRPr="00E1253A">
        <w:rPr>
          <w:color w:val="000000" w:themeColor="text1"/>
        </w:rPr>
        <w:t>They argue that the requirement that directors, “demonstrate that they honestly believed they were acting in the best interests of ‘the company’… most clearly suggests that American law views the corporation as an entity with interests of its own, and not just a proxy for shareholders’ interests</w:t>
      </w:r>
      <w:r w:rsidR="005D056B" w:rsidRPr="00E1253A">
        <w:rPr>
          <w:color w:val="000000" w:themeColor="text1"/>
        </w:rPr>
        <w:t>… [because]</w:t>
      </w:r>
      <w:r w:rsidR="008E4054" w:rsidRPr="00E1253A">
        <w:rPr>
          <w:color w:val="000000" w:themeColor="text1"/>
        </w:rPr>
        <w:t xml:space="preserve"> case law generally interprets the </w:t>
      </w:r>
      <w:r w:rsidR="005D056B" w:rsidRPr="00E1253A">
        <w:rPr>
          <w:color w:val="000000" w:themeColor="text1"/>
        </w:rPr>
        <w:t>‘</w:t>
      </w:r>
      <w:r w:rsidR="008E4054" w:rsidRPr="00E1253A">
        <w:rPr>
          <w:color w:val="000000" w:themeColor="text1"/>
        </w:rPr>
        <w:t>best interest of the company</w:t>
      </w:r>
      <w:r w:rsidR="005D056B" w:rsidRPr="00E1253A">
        <w:rPr>
          <w:color w:val="000000" w:themeColor="text1"/>
        </w:rPr>
        <w:t>’</w:t>
      </w:r>
      <w:r w:rsidR="008E4054" w:rsidRPr="00E1253A">
        <w:rPr>
          <w:color w:val="000000" w:themeColor="text1"/>
        </w:rPr>
        <w:t xml:space="preserve"> to include </w:t>
      </w:r>
      <w:r w:rsidR="00D83B65" w:rsidRPr="00E1253A">
        <w:rPr>
          <w:color w:val="000000" w:themeColor="text1"/>
        </w:rPr>
        <w:t>non-shareholder</w:t>
      </w:r>
      <w:r w:rsidR="008E4054" w:rsidRPr="00E1253A">
        <w:rPr>
          <w:color w:val="000000" w:themeColor="text1"/>
        </w:rPr>
        <w:t xml:space="preserve"> interests, including those of employees, creditors, and the community</w:t>
      </w:r>
      <w:r w:rsidR="005D056B" w:rsidRPr="00E1253A">
        <w:rPr>
          <w:color w:val="000000" w:themeColor="text1"/>
        </w:rPr>
        <w:t>,”</w:t>
      </w:r>
      <w:r w:rsidR="008E4054" w:rsidRPr="00E1253A">
        <w:rPr>
          <w:color w:val="000000" w:themeColor="text1"/>
        </w:rPr>
        <w:t>.</w:t>
      </w:r>
      <w:r w:rsidR="005D056B" w:rsidRPr="00E1253A">
        <w:rPr>
          <w:rStyle w:val="FootnoteReference"/>
          <w:color w:val="000000" w:themeColor="text1"/>
        </w:rPr>
        <w:footnoteReference w:id="114"/>
      </w:r>
    </w:p>
    <w:p w14:paraId="6B0B3D08" w14:textId="299BD293" w:rsidR="00342B3B" w:rsidRPr="00E1253A" w:rsidRDefault="00342B3B" w:rsidP="0012453C">
      <w:pPr>
        <w:spacing w:line="480" w:lineRule="auto"/>
        <w:ind w:firstLine="720"/>
        <w:jc w:val="both"/>
        <w:rPr>
          <w:color w:val="000000" w:themeColor="text1"/>
        </w:rPr>
      </w:pPr>
      <w:r w:rsidRPr="00E1253A">
        <w:rPr>
          <w:color w:val="000000" w:themeColor="text1"/>
        </w:rPr>
        <w:t>She states, “although dicta in some cases suggest directors ought to attempt this (in the "long run," of course), dicta in other cases take a broader view of corporate purpose, and courts never actually sanction directors for failing to maximize shareholder wealth”.</w:t>
      </w:r>
      <w:bookmarkStart w:id="244" w:name="OLE_LINK22"/>
      <w:r w:rsidRPr="00E1253A">
        <w:rPr>
          <w:rStyle w:val="FootnoteReference"/>
          <w:color w:val="000000" w:themeColor="text1"/>
        </w:rPr>
        <w:footnoteReference w:id="115"/>
      </w:r>
      <w:bookmarkEnd w:id="244"/>
      <w:r w:rsidRPr="00E1253A">
        <w:rPr>
          <w:color w:val="000000" w:themeColor="text1"/>
        </w:rPr>
        <w:t xml:space="preserve"> The only exception in the jurisprudence, she argues, is the Delaware Supreme Court’s holding in </w:t>
      </w:r>
      <w:r w:rsidRPr="00E1253A">
        <w:rPr>
          <w:i/>
          <w:iCs/>
          <w:color w:val="000000" w:themeColor="text1"/>
        </w:rPr>
        <w:t>Revlon Inc. v. MacAndrews &amp; Forbes Holdings Inc.</w:t>
      </w:r>
      <w:r w:rsidRPr="00E1253A">
        <w:rPr>
          <w:color w:val="000000" w:themeColor="text1"/>
        </w:rPr>
        <w:t>, that when a company was being “broken up” and shareholders were forced to sell their interests in the entity to a private buyer, only then the board has a duty to maximize shareholder wealth by getting the highest possible price for the shares. However, in the case of insolvency</w:t>
      </w:r>
      <w:r w:rsidR="00D83B65" w:rsidRPr="00E1253A">
        <w:rPr>
          <w:color w:val="000000" w:themeColor="text1"/>
        </w:rPr>
        <w:t>,</w:t>
      </w:r>
      <w:r w:rsidRPr="00E1253A">
        <w:rPr>
          <w:color w:val="000000" w:themeColor="text1"/>
        </w:rPr>
        <w:t xml:space="preserve"> shareholders contingent contracts are no longer valued perpetually by their future stream of benefits. </w:t>
      </w:r>
      <w:r w:rsidR="00D83B65" w:rsidRPr="00E1253A">
        <w:rPr>
          <w:color w:val="000000" w:themeColor="text1"/>
        </w:rPr>
        <w:t xml:space="preserve">Thus, in theory no justification provided by the director beyond the quantitative measure of the sale price could ever be justified in any way relating to maximizing any future value. </w:t>
      </w:r>
      <w:r w:rsidRPr="00E1253A">
        <w:rPr>
          <w:color w:val="000000" w:themeColor="text1"/>
        </w:rPr>
        <w:t xml:space="preserve">In this case, corporate value can only be created up until the point the enterprise is broken up, and thus there are no long-term decisions to be made for the benefit of the enterprise as a whole. Importantly, Stout argues the court has backtracked from their </w:t>
      </w:r>
      <w:r w:rsidRPr="00E1253A">
        <w:rPr>
          <w:i/>
          <w:iCs/>
          <w:color w:val="000000" w:themeColor="text1"/>
        </w:rPr>
        <w:t>Revlon</w:t>
      </w:r>
      <w:r w:rsidRPr="00E1253A">
        <w:rPr>
          <w:color w:val="000000" w:themeColor="text1"/>
        </w:rPr>
        <w:t xml:space="preserve"> ruling by limiting the number of situations the holding would apply to.</w:t>
      </w:r>
      <w:r w:rsidR="00D83B65" w:rsidRPr="00E1253A">
        <w:rPr>
          <w:color w:val="000000" w:themeColor="text1"/>
        </w:rPr>
        <w:t xml:space="preserve"> Despite this, the </w:t>
      </w:r>
      <w:r w:rsidR="00D83B65" w:rsidRPr="00E1253A">
        <w:rPr>
          <w:i/>
          <w:iCs/>
          <w:color w:val="000000" w:themeColor="text1"/>
        </w:rPr>
        <w:t>Revlon</w:t>
      </w:r>
      <w:r w:rsidR="00D83B65" w:rsidRPr="00E1253A">
        <w:rPr>
          <w:color w:val="000000" w:themeColor="text1"/>
        </w:rPr>
        <w:t xml:space="preserve"> ruling is a key case cited by theorists</w:t>
      </w:r>
      <w:r w:rsidR="0021241F" w:rsidRPr="00E1253A">
        <w:rPr>
          <w:color w:val="000000" w:themeColor="text1"/>
        </w:rPr>
        <w:t xml:space="preserve"> belonging to shareholder primacy strands of thought.</w:t>
      </w:r>
    </w:p>
    <w:p w14:paraId="3571A431" w14:textId="77777777" w:rsidR="00025724" w:rsidRPr="00E1253A" w:rsidRDefault="00342B3B" w:rsidP="0012453C">
      <w:pPr>
        <w:spacing w:line="480" w:lineRule="auto"/>
        <w:ind w:firstLine="720"/>
        <w:jc w:val="both"/>
        <w:rPr>
          <w:color w:val="000000" w:themeColor="text1"/>
        </w:rPr>
      </w:pPr>
      <w:r w:rsidRPr="00E1253A">
        <w:rPr>
          <w:color w:val="000000" w:themeColor="text1"/>
        </w:rPr>
        <w:t xml:space="preserve">Jonathan Macey famously replied to Professor Stout in his 2008 </w:t>
      </w:r>
      <w:r w:rsidRPr="00E1253A">
        <w:rPr>
          <w:i/>
          <w:iCs/>
          <w:color w:val="000000" w:themeColor="text1"/>
        </w:rPr>
        <w:t xml:space="preserve">Comment </w:t>
      </w:r>
      <w:r w:rsidRPr="00E1253A">
        <w:rPr>
          <w:color w:val="000000" w:themeColor="text1"/>
        </w:rPr>
        <w:t xml:space="preserve">in the Virginia Law and Business Review arguing shareholder wealth maximization is in fact a legal obligation and a positive account of what United States corporate law requires. Despite disagreeing with Stout’s view on corporate purpose, Macey does acknowledge an important truth raised by Professor Stout, namely that “there are no cases other than </w:t>
      </w:r>
      <w:r w:rsidRPr="00E1253A">
        <w:rPr>
          <w:i/>
          <w:iCs/>
          <w:color w:val="000000" w:themeColor="text1"/>
        </w:rPr>
        <w:t>Dodge v. Ford</w:t>
      </w:r>
      <w:r w:rsidRPr="00E1253A">
        <w:rPr>
          <w:color w:val="000000" w:themeColor="text1"/>
        </w:rPr>
        <w:t xml:space="preserve"> that actually operationalize the rule that corporations must maximize profits”.</w:t>
      </w:r>
      <w:bookmarkStart w:id="245" w:name="OLE_LINK27"/>
      <w:bookmarkStart w:id="246" w:name="OLE_LINK791"/>
      <w:bookmarkStart w:id="247" w:name="OLE_LINK248"/>
      <w:bookmarkStart w:id="248" w:name="OLE_LINK249"/>
      <w:r w:rsidRPr="00E1253A">
        <w:rPr>
          <w:rStyle w:val="FootnoteReference"/>
          <w:color w:val="000000" w:themeColor="text1"/>
        </w:rPr>
        <w:footnoteReference w:id="116"/>
      </w:r>
      <w:bookmarkEnd w:id="245"/>
      <w:bookmarkEnd w:id="246"/>
      <w:r w:rsidRPr="00E1253A">
        <w:rPr>
          <w:color w:val="000000" w:themeColor="text1"/>
        </w:rPr>
        <w:t xml:space="preserve"> </w:t>
      </w:r>
      <w:bookmarkEnd w:id="247"/>
      <w:bookmarkEnd w:id="248"/>
      <w:r w:rsidR="007C2A22" w:rsidRPr="00E1253A">
        <w:rPr>
          <w:color w:val="000000" w:themeColor="text1"/>
        </w:rPr>
        <w:t xml:space="preserve">Stout describes the </w:t>
      </w:r>
      <w:r w:rsidR="007C2A22" w:rsidRPr="00E1253A">
        <w:rPr>
          <w:i/>
          <w:iCs/>
          <w:color w:val="000000" w:themeColor="text1"/>
        </w:rPr>
        <w:t xml:space="preserve">Dodge </w:t>
      </w:r>
      <w:r w:rsidR="007C2A22" w:rsidRPr="00E1253A">
        <w:rPr>
          <w:color w:val="000000" w:themeColor="text1"/>
        </w:rPr>
        <w:t xml:space="preserve">holding as a “judicial sport”, </w:t>
      </w:r>
      <w:r w:rsidR="000B3DF1" w:rsidRPr="00E1253A">
        <w:rPr>
          <w:color w:val="000000" w:themeColor="text1"/>
        </w:rPr>
        <w:t xml:space="preserve">and a </w:t>
      </w:r>
      <w:r w:rsidR="007C2A22" w:rsidRPr="00E1253A">
        <w:rPr>
          <w:color w:val="000000" w:themeColor="text1"/>
        </w:rPr>
        <w:t>“doctrina</w:t>
      </w:r>
      <w:r w:rsidR="000B3DF1" w:rsidRPr="00E1253A">
        <w:rPr>
          <w:color w:val="000000" w:themeColor="text1"/>
        </w:rPr>
        <w:t>l oddity largely irrelevant to corporate law,”</w:t>
      </w:r>
      <w:r w:rsidR="0021241F" w:rsidRPr="00E1253A">
        <w:rPr>
          <w:color w:val="000000" w:themeColor="text1"/>
        </w:rPr>
        <w:t xml:space="preserve"> as this case’s ruling was primarily made on the grounds of protecting minority shareholder interests. Specifically, the Michigan Supreme Court ruled that Henry Ford was required to deliver excess profits in the form of dividends to the Dodge brothers whom were shareholders. However, it is important to not a couple of qualifications to this ruling. The court ruled against Ford for aspiring toward lowering the cost of cars to make them more affordable, as this was a “</w:t>
      </w:r>
      <w:r w:rsidR="00025724" w:rsidRPr="00E1253A">
        <w:rPr>
          <w:color w:val="000000" w:themeColor="text1"/>
        </w:rPr>
        <w:t>humanitarian</w:t>
      </w:r>
      <w:r w:rsidR="0021241F" w:rsidRPr="00E1253A">
        <w:rPr>
          <w:color w:val="000000" w:themeColor="text1"/>
        </w:rPr>
        <w:t>,” and non-legitimate justification</w:t>
      </w:r>
      <w:r w:rsidR="00025724" w:rsidRPr="00E1253A">
        <w:rPr>
          <w:color w:val="000000" w:themeColor="text1"/>
        </w:rPr>
        <w:t xml:space="preserve"> for not returning dividends. Another factor is that the Dodge brothers were also raising money during this time to open their own competing auto manufacturing company in Detroit. Thus, it was also suspected that Ford had an incentive to not return rewards specifically to prevent competition. Lastly, this case was </w:t>
      </w:r>
      <w:r w:rsidR="0021241F" w:rsidRPr="00E1253A">
        <w:rPr>
          <w:color w:val="000000" w:themeColor="text1"/>
        </w:rPr>
        <w:t>decided in Michigan</w:t>
      </w:r>
      <w:r w:rsidR="00025724" w:rsidRPr="00E1253A">
        <w:rPr>
          <w:color w:val="000000" w:themeColor="text1"/>
        </w:rPr>
        <w:t>, a hardly relevant jurisdiction as a source of corporate law, and thus has no controlling authority on virtually all corporations.</w:t>
      </w:r>
      <w:r w:rsidR="0021241F" w:rsidRPr="00E1253A">
        <w:rPr>
          <w:color w:val="000000" w:themeColor="text1"/>
        </w:rPr>
        <w:t xml:space="preserve"> </w:t>
      </w:r>
    </w:p>
    <w:p w14:paraId="4CE0C312" w14:textId="061687E3" w:rsidR="006E02EE" w:rsidRPr="00E1253A" w:rsidRDefault="00025724" w:rsidP="0012453C">
      <w:pPr>
        <w:spacing w:line="480" w:lineRule="auto"/>
        <w:ind w:firstLine="720"/>
        <w:jc w:val="both"/>
        <w:rPr>
          <w:color w:val="000000" w:themeColor="text1"/>
        </w:rPr>
      </w:pPr>
      <w:r w:rsidRPr="00E1253A">
        <w:rPr>
          <w:color w:val="000000" w:themeColor="text1"/>
        </w:rPr>
        <w:t>Macey rejects these caveats despite his acknowledgement of the fact that no other case law actually operationalizes this duty. He n</w:t>
      </w:r>
      <w:r w:rsidR="00342B3B" w:rsidRPr="00E1253A">
        <w:rPr>
          <w:color w:val="000000" w:themeColor="text1"/>
        </w:rPr>
        <w:t xml:space="preserve">onetheless advances a shareholder-centric view of corporate purpose by arguing shareholders are uniquely vulnerable as they are “the only claimants to the cash flows of the firm whose </w:t>
      </w:r>
      <w:r w:rsidR="00342B3B" w:rsidRPr="00E1253A">
        <w:rPr>
          <w:i/>
          <w:iCs/>
          <w:color w:val="000000" w:themeColor="text1"/>
        </w:rPr>
        <w:t>only</w:t>
      </w:r>
      <w:r w:rsidR="00342B3B" w:rsidRPr="00E1253A">
        <w:rPr>
          <w:color w:val="000000" w:themeColor="text1"/>
        </w:rPr>
        <w:t xml:space="preserve"> economic interests in the firm are residual”.</w:t>
      </w:r>
      <w:r w:rsidRPr="00E1253A">
        <w:rPr>
          <w:rStyle w:val="FootnoteReference"/>
          <w:color w:val="000000" w:themeColor="text1"/>
        </w:rPr>
        <w:footnoteReference w:id="117"/>
      </w:r>
      <w:r w:rsidR="00342B3B" w:rsidRPr="00E1253A">
        <w:rPr>
          <w:color w:val="000000" w:themeColor="text1"/>
        </w:rPr>
        <w:t xml:space="preserve"> This means shareholders only get the residual leftover profits after paying off all fixed claimants, and by bearing this upside risk they are uniquely interested in the firm’s profitability growing as much as possible. Thus, he argues “the single, uniform measure of wealth to be maximized is the overall value of the firm, and the shareholders are in the best position to do this”.</w:t>
      </w:r>
      <w:r w:rsidR="00342B3B" w:rsidRPr="00E1253A">
        <w:rPr>
          <w:rStyle w:val="FootnoteReference"/>
          <w:color w:val="000000" w:themeColor="text1"/>
        </w:rPr>
        <w:footnoteReference w:id="118"/>
      </w:r>
      <w:r w:rsidR="00342B3B" w:rsidRPr="00E1253A">
        <w:rPr>
          <w:color w:val="000000" w:themeColor="text1"/>
        </w:rPr>
        <w:t xml:space="preserve"> However, the supply and demand functions of the firm and market are not knowable, nor possible to optimize to the point of ‘maximization’. Imperfect information, market asymmetries, and system dynamics prevent a point of ‘maximization’ from actually ever being realized, but rather simply allows this objective to be pursued given the information provided. Interesting, Macey acknowledges the sisyphean </w:t>
      </w:r>
      <w:r w:rsidR="009C0B67" w:rsidRPr="00E1253A">
        <w:rPr>
          <w:color w:val="000000" w:themeColor="text1"/>
        </w:rPr>
        <w:t>nature of enforcing</w:t>
      </w:r>
      <w:r w:rsidR="00342B3B" w:rsidRPr="00E1253A">
        <w:rPr>
          <w:color w:val="000000" w:themeColor="text1"/>
        </w:rPr>
        <w:t xml:space="preserve"> holding profit maximization as a strict rule of corporate duties, and instead notes his belief that “the rule of wealth maximization for shareholders is impossible to enforce as a practical matter”, concluding “the rule is aspirational, except in odd cases”.</w:t>
      </w:r>
      <w:r w:rsidR="00342B3B" w:rsidRPr="00E1253A">
        <w:rPr>
          <w:rStyle w:val="FootnoteReference"/>
          <w:color w:val="000000" w:themeColor="text1"/>
        </w:rPr>
        <w:footnoteReference w:id="119"/>
      </w:r>
      <w:r w:rsidR="00342B3B" w:rsidRPr="00E1253A">
        <w:rPr>
          <w:color w:val="000000" w:themeColor="text1"/>
        </w:rPr>
        <w:t xml:space="preserve"> </w:t>
      </w:r>
      <w:r w:rsidR="006E02EE" w:rsidRPr="00E1253A">
        <w:rPr>
          <w:color w:val="000000" w:themeColor="text1"/>
        </w:rPr>
        <w:t>This would be in theory also be consistent with the ruling of Dodge, as Ford never articulated his justification in terms of profit maximization. However, companies do not always do this in the real world, and even when they do it is usually shielded from liability.</w:t>
      </w:r>
    </w:p>
    <w:p w14:paraId="149C2E4B" w14:textId="47603EC9" w:rsidR="009C0B67" w:rsidRPr="00E1253A" w:rsidRDefault="00342B3B" w:rsidP="0012453C">
      <w:pPr>
        <w:spacing w:line="480" w:lineRule="auto"/>
        <w:ind w:firstLine="720"/>
        <w:jc w:val="both"/>
        <w:rPr>
          <w:color w:val="000000" w:themeColor="text1"/>
        </w:rPr>
      </w:pPr>
      <w:r w:rsidRPr="00E1253A">
        <w:rPr>
          <w:color w:val="000000" w:themeColor="text1"/>
        </w:rPr>
        <w:t>Stout’s claims that the business judgement rule awards broad discretion to shield directors from liability, even when sacrificing shareholder value at times</w:t>
      </w:r>
      <w:r w:rsidR="00C41D11" w:rsidRPr="00E1253A">
        <w:rPr>
          <w:color w:val="000000" w:themeColor="text1"/>
        </w:rPr>
        <w:t xml:space="preserve"> to benefit other constituencies</w:t>
      </w:r>
      <w:r w:rsidRPr="00E1253A">
        <w:rPr>
          <w:color w:val="000000" w:themeColor="text1"/>
        </w:rPr>
        <w:t xml:space="preserve">. Stout, also cites the holding from </w:t>
      </w:r>
      <w:r w:rsidRPr="00E1253A">
        <w:rPr>
          <w:i/>
          <w:iCs/>
          <w:color w:val="000000" w:themeColor="text1"/>
        </w:rPr>
        <w:t>Unocal Corp. v. Mesa Petroleum Co (1985)</w:t>
      </w:r>
      <w:r w:rsidRPr="00E1253A">
        <w:rPr>
          <w:color w:val="000000" w:themeColor="text1"/>
        </w:rPr>
        <w:t>, where “the court opined that the corporate board had a ‘fundamental duty and obligation to protect the corporate enterprise, which includes stockholders,’ a formulation that clearly implies the two are not identical”</w:t>
      </w:r>
      <w:bookmarkStart w:id="249" w:name="OLE_LINK34"/>
      <w:bookmarkStart w:id="250" w:name="OLE_LINK35"/>
      <w:r w:rsidRPr="00E1253A">
        <w:rPr>
          <w:color w:val="000000" w:themeColor="text1"/>
        </w:rPr>
        <w:t>.</w:t>
      </w:r>
      <w:bookmarkStart w:id="251" w:name="OLE_LINK28"/>
      <w:bookmarkStart w:id="252" w:name="OLE_LINK29"/>
      <w:r w:rsidRPr="00E1253A">
        <w:rPr>
          <w:rStyle w:val="FootnoteReference"/>
          <w:color w:val="000000" w:themeColor="text1"/>
        </w:rPr>
        <w:footnoteReference w:id="120"/>
      </w:r>
      <w:r w:rsidRPr="00E1253A">
        <w:rPr>
          <w:color w:val="000000" w:themeColor="text1"/>
        </w:rPr>
        <w:t xml:space="preserve"> </w:t>
      </w:r>
      <w:bookmarkEnd w:id="249"/>
      <w:bookmarkEnd w:id="250"/>
      <w:bookmarkEnd w:id="251"/>
      <w:bookmarkEnd w:id="252"/>
      <w:r w:rsidRPr="00E1253A">
        <w:rPr>
          <w:color w:val="000000" w:themeColor="text1"/>
        </w:rPr>
        <w:t>Stout adds, “[t]he court went on to state that in evaluating the interests of "the corporate enterprise," directors could consider "the impact on 'constituencies' other than shareholders (that is, creditors, customers, employees, and perhaps  even the community generally)”.</w:t>
      </w:r>
      <w:r w:rsidRPr="00E1253A">
        <w:rPr>
          <w:rStyle w:val="FootnoteReference"/>
          <w:color w:val="000000" w:themeColor="text1"/>
        </w:rPr>
        <w:footnoteReference w:id="121"/>
      </w:r>
      <w:r w:rsidRPr="00E1253A">
        <w:rPr>
          <w:color w:val="000000" w:themeColor="text1"/>
        </w:rPr>
        <w:t xml:space="preserve"> </w:t>
      </w:r>
      <w:r w:rsidR="00C41D11" w:rsidRPr="00E1253A">
        <w:rPr>
          <w:color w:val="000000" w:themeColor="text1"/>
        </w:rPr>
        <w:t xml:space="preserve"> </w:t>
      </w:r>
      <w:r w:rsidRPr="00E1253A">
        <w:rPr>
          <w:color w:val="000000" w:themeColor="text1"/>
        </w:rPr>
        <w:t>Macey’s response was “these statutes cannot rationally be construed to permit managers to benefit non-shareholder constituencies at the expense of shareholders” but rather, “these statutes are mere tie-breakers, allowing managers to take the interests of non-shareholder constituencies into account when doing so does not harm shareholders in any demonstrable way”.</w:t>
      </w:r>
      <w:r w:rsidRPr="00E1253A">
        <w:rPr>
          <w:rStyle w:val="FootnoteReference"/>
          <w:color w:val="000000" w:themeColor="text1"/>
        </w:rPr>
        <w:footnoteReference w:id="122"/>
      </w:r>
      <w:r w:rsidRPr="00E1253A">
        <w:rPr>
          <w:color w:val="000000" w:themeColor="text1"/>
        </w:rPr>
        <w:t xml:space="preserve"> However, given the power of directors to control accounting measures of retained profits, in addition to discretion over dividends, they are ultimately relatively unrestricted from pursuing stakeholder interests so long as they resemble</w:t>
      </w:r>
      <w:r w:rsidR="009C0B67" w:rsidRPr="00E1253A">
        <w:rPr>
          <w:color w:val="000000" w:themeColor="text1"/>
        </w:rPr>
        <w:t xml:space="preserve">, or can be articulated in, </w:t>
      </w:r>
      <w:r w:rsidRPr="00E1253A">
        <w:rPr>
          <w:color w:val="000000" w:themeColor="text1"/>
        </w:rPr>
        <w:t xml:space="preserve">some relation to future corporate value. Even in cases when they don’t provide a shareholder justification, as in </w:t>
      </w:r>
      <w:r w:rsidRPr="00E1253A">
        <w:rPr>
          <w:i/>
          <w:iCs/>
          <w:color w:val="000000" w:themeColor="text1"/>
        </w:rPr>
        <w:t>Shlensky v. Wrigley</w:t>
      </w:r>
      <w:r w:rsidRPr="00E1253A">
        <w:rPr>
          <w:color w:val="000000" w:themeColor="text1"/>
        </w:rPr>
        <w:t>, courts usually provide generous protections under the business judgement rule as they are routinely reluctant to make judgements on business management. Thus, as an enforcement matter, the courts have continuously refused to apply a strict shareholder-centric profit maximization duty upon fiduciaries</w:t>
      </w:r>
      <w:r w:rsidR="009C0B67" w:rsidRPr="00E1253A">
        <w:rPr>
          <w:color w:val="000000" w:themeColor="text1"/>
        </w:rPr>
        <w:t xml:space="preserve"> instead interpreting a more open-ended directive. </w:t>
      </w:r>
    </w:p>
    <w:p w14:paraId="717ED63F" w14:textId="66777429" w:rsidR="009C0B67" w:rsidRPr="00E1253A" w:rsidRDefault="00342B3B" w:rsidP="0012453C">
      <w:pPr>
        <w:spacing w:line="480" w:lineRule="auto"/>
        <w:ind w:firstLine="360"/>
        <w:jc w:val="both"/>
        <w:rPr>
          <w:color w:val="000000" w:themeColor="text1"/>
        </w:rPr>
      </w:pPr>
      <w:r w:rsidRPr="00E1253A">
        <w:rPr>
          <w:color w:val="000000" w:themeColor="text1"/>
        </w:rPr>
        <w:t>The Clarke Program on Corporations and Society at Cornell Law School, “corporate directors are not required to maximize shareholder value”, as in “nearly all legal jurisdictions, disinterested and informed directors have the discretion to act in what they believe to be the interest of the business corporate entity, even if this differs from maximizing profits for present shareholders”.</w:t>
      </w:r>
      <w:r w:rsidRPr="00E1253A">
        <w:rPr>
          <w:rStyle w:val="FootnoteReference"/>
          <w:color w:val="000000" w:themeColor="text1"/>
        </w:rPr>
        <w:footnoteReference w:id="123"/>
      </w:r>
      <w:r w:rsidR="009C0B67" w:rsidRPr="00E1253A">
        <w:rPr>
          <w:color w:val="000000" w:themeColor="text1"/>
        </w:rPr>
        <w:t xml:space="preserve"> </w:t>
      </w:r>
      <w:r w:rsidRPr="00E1253A">
        <w:rPr>
          <w:color w:val="000000" w:themeColor="text1"/>
        </w:rPr>
        <w:t xml:space="preserve">As the U.S. Supreme Court also ruled in </w:t>
      </w:r>
      <w:r w:rsidRPr="00E1253A">
        <w:rPr>
          <w:i/>
          <w:iCs/>
          <w:color w:val="000000" w:themeColor="text1"/>
        </w:rPr>
        <w:t>Burwell v. Hobby Lobby Stores, Inc.</w:t>
      </w:r>
      <w:r w:rsidRPr="00E1253A">
        <w:rPr>
          <w:color w:val="000000" w:themeColor="text1"/>
        </w:rPr>
        <w:t>, “modern corporate law does not require for-profit corporations to pursue profit at the expense of everything else, and many do not do so”</w:t>
      </w:r>
      <w:r w:rsidR="00C41D11" w:rsidRPr="00E1253A">
        <w:rPr>
          <w:color w:val="000000" w:themeColor="text1"/>
        </w:rPr>
        <w:t>. In this case the court specifically ruled against a contrace</w:t>
      </w:r>
      <w:r w:rsidR="009B0EAD" w:rsidRPr="00E1253A">
        <w:rPr>
          <w:color w:val="000000" w:themeColor="text1"/>
        </w:rPr>
        <w:t xml:space="preserve">ptive mandate on the grounds it violated the right of the corporation—viewed as a fictional citizen—their constitutional right to freedom of religion. </w:t>
      </w:r>
    </w:p>
    <w:p w14:paraId="1C87D54C" w14:textId="5A326ED5" w:rsidR="00135BCE" w:rsidRPr="00E1253A" w:rsidRDefault="00342B3B" w:rsidP="0012453C">
      <w:pPr>
        <w:spacing w:line="480" w:lineRule="auto"/>
        <w:ind w:firstLine="360"/>
        <w:jc w:val="both"/>
        <w:rPr>
          <w:color w:val="000000" w:themeColor="text1"/>
        </w:rPr>
      </w:pPr>
      <w:r w:rsidRPr="00E1253A">
        <w:rPr>
          <w:color w:val="000000" w:themeColor="text1"/>
        </w:rPr>
        <w:t xml:space="preserve">Stout </w:t>
      </w:r>
      <w:r w:rsidR="009B0EAD" w:rsidRPr="00E1253A">
        <w:rPr>
          <w:color w:val="000000" w:themeColor="text1"/>
        </w:rPr>
        <w:t>has also argued that the aspirational norm</w:t>
      </w:r>
      <w:r w:rsidRPr="00E1253A">
        <w:rPr>
          <w:color w:val="000000" w:themeColor="text1"/>
        </w:rPr>
        <w:t xml:space="preserve"> </w:t>
      </w:r>
      <w:r w:rsidR="009B0EAD" w:rsidRPr="00E1253A">
        <w:rPr>
          <w:color w:val="000000" w:themeColor="text1"/>
        </w:rPr>
        <w:t xml:space="preserve">of  </w:t>
      </w:r>
      <w:r w:rsidRPr="00E1253A">
        <w:rPr>
          <w:color w:val="000000" w:themeColor="text1"/>
        </w:rPr>
        <w:t xml:space="preserve">“maximizing shareholder value is not a legal obligation, but </w:t>
      </w:r>
      <w:r w:rsidR="009B0EAD" w:rsidRPr="00E1253A">
        <w:rPr>
          <w:color w:val="000000" w:themeColor="text1"/>
        </w:rPr>
        <w:t xml:space="preserve">[is usually] </w:t>
      </w:r>
      <w:r w:rsidRPr="00E1253A">
        <w:rPr>
          <w:color w:val="000000" w:themeColor="text1"/>
        </w:rPr>
        <w:t>the product of the pressure that activist shareholders, stock-based compensation schemes and financial markets impose on corporate directors”.</w:t>
      </w:r>
      <w:r w:rsidRPr="00E1253A">
        <w:rPr>
          <w:rStyle w:val="FootnoteReference"/>
          <w:color w:val="000000" w:themeColor="text1"/>
        </w:rPr>
        <w:footnoteReference w:id="124"/>
      </w:r>
      <w:r w:rsidRPr="00E1253A">
        <w:rPr>
          <w:color w:val="000000" w:themeColor="text1"/>
        </w:rPr>
        <w:t xml:space="preserve"> Under Sec. 2.01. of the American Law Institute’s Principles of Corporate Governance (1994), “a corporation should have as its objective the conduct of business activities with a view to enhancing corporate profit and shareholder gain”.</w:t>
      </w:r>
      <w:bookmarkStart w:id="253" w:name="OLE_LINK287"/>
      <w:bookmarkStart w:id="254" w:name="OLE_LINK288"/>
      <w:bookmarkStart w:id="255" w:name="OLE_LINK30"/>
      <w:bookmarkStart w:id="256" w:name="OLE_LINK33"/>
      <w:r w:rsidRPr="00E1253A">
        <w:rPr>
          <w:color w:val="000000" w:themeColor="text1"/>
          <w:vertAlign w:val="superscript"/>
        </w:rPr>
        <w:footnoteReference w:id="125"/>
      </w:r>
      <w:bookmarkEnd w:id="253"/>
      <w:bookmarkEnd w:id="254"/>
      <w:r w:rsidRPr="00E1253A">
        <w:rPr>
          <w:color w:val="000000" w:themeColor="text1"/>
        </w:rPr>
        <w:t xml:space="preserve"> </w:t>
      </w:r>
      <w:bookmarkEnd w:id="255"/>
      <w:bookmarkEnd w:id="256"/>
      <w:r w:rsidRPr="00E1253A">
        <w:rPr>
          <w:color w:val="000000" w:themeColor="text1"/>
        </w:rPr>
        <w:t>Under Sec. 2.01(b), even if corporate profit and shareholder gain are not enhanced, the corporation “is obliged, to the same extent as a natural person, to act within the boundaries set by laws”; “may take into account ethical considerations that are reasonably regarded as appropriate to the responsible conduct of business”; and “may devote a reasonable amount of resources to public welfare, humanitarian, educational, and philanthropic purposes”.</w:t>
      </w:r>
      <w:r w:rsidRPr="00E1253A">
        <w:rPr>
          <w:color w:val="000000" w:themeColor="text1"/>
          <w:vertAlign w:val="superscript"/>
        </w:rPr>
        <w:footnoteReference w:id="126"/>
      </w:r>
      <w:r w:rsidRPr="00E1253A">
        <w:rPr>
          <w:color w:val="000000" w:themeColor="text1"/>
        </w:rPr>
        <w:t xml:space="preserve">  According to Choper, the ALI principles represent a restatement of common law fiduciary duties. A corporation must always obey the law and may “reasonable” charitable contributions even if there is no direct benefit to the corporation. Moreover, ethical considerations are only permissible meaning a corporation may or may not take into account “ethical considerations that are reasonably regarded as appropriate to the responsible conduct of business”.</w:t>
      </w:r>
      <w:r w:rsidRPr="00E1253A">
        <w:rPr>
          <w:color w:val="000000" w:themeColor="text1"/>
          <w:vertAlign w:val="superscript"/>
        </w:rPr>
        <w:footnoteReference w:id="127"/>
      </w:r>
    </w:p>
    <w:p w14:paraId="3CA7EC52" w14:textId="5B19D12D" w:rsidR="00342B3B" w:rsidRPr="00E1253A" w:rsidRDefault="00342B3B" w:rsidP="0012453C">
      <w:pPr>
        <w:spacing w:line="480" w:lineRule="auto"/>
        <w:ind w:firstLine="360"/>
        <w:jc w:val="both"/>
        <w:rPr>
          <w:color w:val="000000" w:themeColor="text1"/>
        </w:rPr>
      </w:pPr>
      <w:r w:rsidRPr="00E1253A">
        <w:rPr>
          <w:color w:val="000000" w:themeColor="text1"/>
        </w:rPr>
        <w:t xml:space="preserve"> </w:t>
      </w:r>
      <w:r w:rsidR="00662C44" w:rsidRPr="00E1253A">
        <w:rPr>
          <w:color w:val="000000" w:themeColor="text1"/>
        </w:rPr>
        <w:t xml:space="preserve">Under the shareholder primacy conception, business and ethical considerations are viewed as transaction costs and can only by permissibly rationalized in terms of its potential instrumental benefits. </w:t>
      </w:r>
      <w:r w:rsidR="009B0EAD" w:rsidRPr="00E1253A">
        <w:rPr>
          <w:color w:val="000000" w:themeColor="text1"/>
        </w:rPr>
        <w:t xml:space="preserve">However, failing to prioritize the interests of important stakeholders like employees and </w:t>
      </w:r>
      <w:r w:rsidR="006F4049" w:rsidRPr="00E1253A">
        <w:rPr>
          <w:color w:val="000000" w:themeColor="text1"/>
        </w:rPr>
        <w:t xml:space="preserve">customers can also hurt a business’s prospects and value. </w:t>
      </w:r>
      <w:r w:rsidRPr="00E1253A">
        <w:rPr>
          <w:color w:val="000000" w:themeColor="text1"/>
        </w:rPr>
        <w:t>As John Boatright argues, “any successful corporation must manage its relations with all stakeholder groups, if for no other reason than to benefit the shareholders”, further stating, “to manage stakeholder relations is not necessarily to serve each group’s interest (although this might be the effect), but to consider their interests sufficiently to gain their cooperation”.</w:t>
      </w:r>
      <w:bookmarkStart w:id="257" w:name="OLE_LINK285"/>
      <w:bookmarkStart w:id="258" w:name="OLE_LINK286"/>
      <w:bookmarkStart w:id="259" w:name="OLE_LINK264"/>
      <w:bookmarkStart w:id="260" w:name="OLE_LINK265"/>
      <w:r w:rsidRPr="00E1253A">
        <w:rPr>
          <w:rStyle w:val="FootnoteReference"/>
          <w:color w:val="000000" w:themeColor="text1"/>
        </w:rPr>
        <w:footnoteReference w:id="128"/>
      </w:r>
      <w:bookmarkEnd w:id="257"/>
      <w:bookmarkEnd w:id="258"/>
      <w:r w:rsidRPr="00E1253A">
        <w:rPr>
          <w:color w:val="000000" w:themeColor="text1"/>
        </w:rPr>
        <w:t xml:space="preserve"> </w:t>
      </w:r>
      <w:bookmarkEnd w:id="259"/>
      <w:bookmarkEnd w:id="260"/>
      <w:r w:rsidRPr="00E1253A">
        <w:rPr>
          <w:color w:val="000000" w:themeColor="text1"/>
        </w:rPr>
        <w:t>Thus, in many instances it is in shareholder’s own interest to invest corporate resources in meeting stakeholder demands. As Jensen similarly argues, profit maximization is not a vision or strategy, but merely a limited means to keep score of manager effectiveness. The manager’s role is “not merely to coordinate the contribution of the various stakeholders, but to inspire them to put forth their best efforts in a joint effort to create valuable products and services”, and “any firm that neglects its stakeholders or, worse, alienates them is doomed to failure”.</w:t>
      </w:r>
      <w:r w:rsidRPr="00E1253A">
        <w:rPr>
          <w:rStyle w:val="FootnoteReference"/>
          <w:color w:val="000000" w:themeColor="text1"/>
        </w:rPr>
        <w:footnoteReference w:id="129"/>
      </w:r>
      <w:r w:rsidRPr="00E1253A">
        <w:rPr>
          <w:color w:val="000000" w:themeColor="text1"/>
        </w:rPr>
        <w:t xml:space="preserve">  Bruner has also argued, “Friedman’s more extreme version of the shareholder primacy argument, grounded in a property-based conception of the shareholders’ role, is aptly described by Kent Greenﬁeld as ‘crude and analytically unsound,’ at once reﬂecting “a simplistic notion of the sanctity and indivisibility of property rights” while ignoring the fact that shareholders lack the modes of direct control over corporate assets typical of an “owner” of property”.</w:t>
      </w:r>
      <w:r w:rsidRPr="00E1253A">
        <w:rPr>
          <w:color w:val="000000" w:themeColor="text1"/>
          <w:vertAlign w:val="superscript"/>
        </w:rPr>
        <w:footnoteReference w:id="130"/>
      </w:r>
      <w:r w:rsidRPr="00E1253A">
        <w:rPr>
          <w:color w:val="000000" w:themeColor="text1"/>
        </w:rPr>
        <w:t xml:space="preserve"> This link between stakeholder value and enterprise value creates ambiguity as to what exactly is in shareholders’ interests, and raises the important question about how do we define, measure, and balance community, stakeholder, and shareholder interests within the enterprise as a whole?</w:t>
      </w:r>
    </w:p>
    <w:p w14:paraId="0687482F" w14:textId="0C8B88A2" w:rsidR="009C3444" w:rsidRPr="00E1253A" w:rsidRDefault="009C3444" w:rsidP="0012453C">
      <w:pPr>
        <w:spacing w:line="480" w:lineRule="auto"/>
        <w:jc w:val="both"/>
        <w:rPr>
          <w:color w:val="000000" w:themeColor="text1"/>
        </w:rPr>
      </w:pPr>
      <w:bookmarkStart w:id="261" w:name="OLE_LINK424"/>
      <w:bookmarkStart w:id="262" w:name="OLE_LINK425"/>
    </w:p>
    <w:p w14:paraId="10745961" w14:textId="2FF604DC" w:rsidR="009C3444" w:rsidRPr="00E1253A" w:rsidRDefault="00253B38" w:rsidP="0012453C">
      <w:pPr>
        <w:pStyle w:val="Heading1"/>
        <w:spacing w:line="480" w:lineRule="auto"/>
        <w:jc w:val="both"/>
      </w:pPr>
      <w:r w:rsidRPr="00E1253A">
        <w:t>Enterprise Value</w:t>
      </w:r>
      <w:bookmarkStart w:id="263" w:name="OLE_LINK426"/>
      <w:bookmarkStart w:id="264" w:name="OLE_LINK427"/>
      <w:bookmarkEnd w:id="261"/>
      <w:bookmarkEnd w:id="262"/>
    </w:p>
    <w:p w14:paraId="32CF1B55" w14:textId="743C2F39" w:rsidR="00A670EA" w:rsidRPr="00E1253A" w:rsidRDefault="009C3444" w:rsidP="0012453C">
      <w:pPr>
        <w:spacing w:line="480" w:lineRule="auto"/>
        <w:ind w:firstLine="360"/>
        <w:jc w:val="both"/>
        <w:rPr>
          <w:color w:val="000000" w:themeColor="text1"/>
        </w:rPr>
      </w:pPr>
      <w:r w:rsidRPr="00E1253A">
        <w:rPr>
          <w:color w:val="000000" w:themeColor="text1"/>
        </w:rPr>
        <w:t xml:space="preserve">In this section I will analyze both the theoretical and empirical nature of </w:t>
      </w:r>
      <w:r w:rsidR="00135BCE" w:rsidRPr="00E1253A">
        <w:rPr>
          <w:color w:val="000000" w:themeColor="text1"/>
        </w:rPr>
        <w:t xml:space="preserve">the allusive concept of </w:t>
      </w:r>
      <w:r w:rsidR="00AF0FAE" w:rsidRPr="00E1253A">
        <w:rPr>
          <w:color w:val="000000" w:themeColor="text1"/>
        </w:rPr>
        <w:t xml:space="preserve"> </w:t>
      </w:r>
      <w:r w:rsidR="00135BCE" w:rsidRPr="00E1253A">
        <w:rPr>
          <w:color w:val="000000" w:themeColor="text1"/>
        </w:rPr>
        <w:t>“shareholder wealth,”</w:t>
      </w:r>
      <w:r w:rsidRPr="00E1253A">
        <w:rPr>
          <w:color w:val="000000" w:themeColor="text1"/>
        </w:rPr>
        <w:t xml:space="preserve"> to argue against a purely economic conception of the </w:t>
      </w:r>
      <w:r w:rsidR="00DC5E7E" w:rsidRPr="00E1253A">
        <w:rPr>
          <w:color w:val="000000" w:themeColor="text1"/>
        </w:rPr>
        <w:t xml:space="preserve">corporate </w:t>
      </w:r>
      <w:r w:rsidRPr="00E1253A">
        <w:rPr>
          <w:color w:val="000000" w:themeColor="text1"/>
        </w:rPr>
        <w:t>enterpris</w:t>
      </w:r>
      <w:r w:rsidR="00DC5E7E" w:rsidRPr="00E1253A">
        <w:rPr>
          <w:color w:val="000000" w:themeColor="text1"/>
        </w:rPr>
        <w:t>e</w:t>
      </w:r>
      <w:r w:rsidRPr="00E1253A">
        <w:rPr>
          <w:color w:val="000000" w:themeColor="text1"/>
        </w:rPr>
        <w:t xml:space="preserve">. I will elucidate the </w:t>
      </w:r>
      <w:r w:rsidR="00135BCE" w:rsidRPr="00E1253A">
        <w:rPr>
          <w:color w:val="000000" w:themeColor="text1"/>
        </w:rPr>
        <w:t xml:space="preserve">inherent </w:t>
      </w:r>
      <w:r w:rsidRPr="00E1253A">
        <w:rPr>
          <w:color w:val="000000" w:themeColor="text1"/>
        </w:rPr>
        <w:t>connection between stakeholder relationships and intangible value</w:t>
      </w:r>
      <w:r w:rsidR="000B30DD" w:rsidRPr="00E1253A">
        <w:rPr>
          <w:color w:val="000000" w:themeColor="text1"/>
        </w:rPr>
        <w:t xml:space="preserve"> to reveal the failure of accounting profits to account for these determinants of success. I will argue that goal of business and entrepreneurship is principally concerned with creating value for society</w:t>
      </w:r>
      <w:r w:rsidR="005F51D8" w:rsidRPr="00E1253A">
        <w:rPr>
          <w:color w:val="000000" w:themeColor="text1"/>
        </w:rPr>
        <w:t>, and thus profits represent one limited measure of performance.</w:t>
      </w:r>
      <w:r w:rsidR="001303BD">
        <w:rPr>
          <w:color w:val="000000" w:themeColor="text1"/>
        </w:rPr>
        <w:t xml:space="preserve"> </w:t>
      </w:r>
      <w:r w:rsidRPr="00E1253A">
        <w:rPr>
          <w:color w:val="000000" w:themeColor="text1"/>
        </w:rPr>
        <w:t xml:space="preserve">This will underscore the importance of non-financial qualitative elements like durable stakeholder relationships and social legitimacy toward sustaining a cycle of value creation and hence future cash flows. </w:t>
      </w:r>
      <w:bookmarkStart w:id="265" w:name="OLE_LINK792"/>
    </w:p>
    <w:bookmarkEnd w:id="265"/>
    <w:p w14:paraId="5724F701" w14:textId="77777777" w:rsidR="00BB6246" w:rsidRPr="00E1253A" w:rsidRDefault="00BB6246" w:rsidP="0012453C">
      <w:pPr>
        <w:spacing w:line="480" w:lineRule="auto"/>
        <w:jc w:val="both"/>
        <w:rPr>
          <w:color w:val="000000" w:themeColor="text1"/>
        </w:rPr>
      </w:pPr>
    </w:p>
    <w:p w14:paraId="0C0BE8B6" w14:textId="6E581E0B" w:rsidR="006F4049" w:rsidRPr="00E1253A" w:rsidRDefault="00BB6246" w:rsidP="0012453C">
      <w:pPr>
        <w:pStyle w:val="Heading2"/>
        <w:numPr>
          <w:ilvl w:val="0"/>
          <w:numId w:val="19"/>
        </w:numPr>
        <w:spacing w:line="480" w:lineRule="auto"/>
        <w:contextualSpacing w:val="0"/>
        <w:jc w:val="both"/>
      </w:pPr>
      <w:r w:rsidRPr="00E1253A">
        <w:t>Transformation of Property &amp; Intangible Value</w:t>
      </w:r>
    </w:p>
    <w:p w14:paraId="7C9F8F9F" w14:textId="46D39CD5" w:rsidR="00BB6246" w:rsidRPr="00E1253A" w:rsidRDefault="00BB6246" w:rsidP="0012453C">
      <w:pPr>
        <w:spacing w:line="480" w:lineRule="auto"/>
        <w:ind w:firstLine="360"/>
        <w:jc w:val="both"/>
        <w:rPr>
          <w:color w:val="000000" w:themeColor="text1"/>
        </w:rPr>
      </w:pPr>
      <w:bookmarkStart w:id="266" w:name="OLE_LINK64"/>
      <w:bookmarkStart w:id="267" w:name="OLE_LINK65"/>
      <w:r w:rsidRPr="00E1253A">
        <w:rPr>
          <w:color w:val="000000" w:themeColor="text1"/>
        </w:rPr>
        <w:t>Property in the modern corporatist economy has diverged significantly from the traditional logic of property and has thus redefined the relations which rest upon these rights. As Berle and Means famously noted nearly a century prior, the separation of firm ‘control’ from its ‘ownership’ in the public corporation has broken down the unity of property in its traditional form.  They noted, “the separation of ownership from control produces a condition where the interests of owner and of ultimate manager may, and often do, diverge”.  Thus, the traditional logic of property rights no longer holds true where the owner of property no longer has full control of its disposition, and thus every incentive to mind it well.</w:t>
      </w:r>
      <w:r w:rsidR="006F4049" w:rsidRPr="00E1253A">
        <w:rPr>
          <w:color w:val="000000" w:themeColor="text1"/>
        </w:rPr>
        <w:t xml:space="preserve"> In this section, I will theoretically differentiate the nature of corporate property and the status of the market from a private conception to argue that the breakdown of most neoclassical assumptions—inherently, but especially so today—renders the theory deficient and counterproductive.</w:t>
      </w:r>
    </w:p>
    <w:p w14:paraId="1055BD74" w14:textId="77777777" w:rsidR="00BB6246" w:rsidRPr="00E1253A" w:rsidRDefault="00BB6246" w:rsidP="0012453C">
      <w:pPr>
        <w:spacing w:line="480" w:lineRule="auto"/>
        <w:ind w:firstLine="720"/>
        <w:jc w:val="both"/>
        <w:rPr>
          <w:color w:val="000000" w:themeColor="text1"/>
        </w:rPr>
      </w:pPr>
      <w:r w:rsidRPr="00E1253A">
        <w:rPr>
          <w:color w:val="000000" w:themeColor="text1"/>
        </w:rPr>
        <w:t>Property in the modern corporatist economy has diverged significantly from the traditional logic of property and has thus redefined the relations which rest upon these rights. As Berle and Means famously noted nearly a century prior, the separation of firm ‘control’ from its ‘ownership’ in the public corporation has broken down the unity of property in its traditional form.  They noted, “the separation of ownership from control produces a condition where the interests of owner and of ultimate manager may, and often do, diverge”.</w:t>
      </w:r>
      <w:r w:rsidRPr="00E1253A">
        <w:rPr>
          <w:color w:val="000000" w:themeColor="text1"/>
          <w:vertAlign w:val="superscript"/>
        </w:rPr>
        <w:footnoteReference w:id="131"/>
      </w:r>
      <w:r w:rsidRPr="00E1253A">
        <w:rPr>
          <w:color w:val="000000" w:themeColor="text1"/>
        </w:rPr>
        <w:t xml:space="preserve"> Thus, the traditional logic of property rights no longer holds true where the owner of property no longer has full control of its disposition, and thus every incentive to mind it well. </w:t>
      </w:r>
    </w:p>
    <w:p w14:paraId="4451C19D" w14:textId="5E678509" w:rsidR="00BB6246" w:rsidRPr="00E1253A" w:rsidRDefault="00BB6246" w:rsidP="0012453C">
      <w:pPr>
        <w:spacing w:line="480" w:lineRule="auto"/>
        <w:ind w:firstLine="720"/>
        <w:jc w:val="both"/>
        <w:rPr>
          <w:color w:val="000000" w:themeColor="text1"/>
        </w:rPr>
      </w:pPr>
      <w:r w:rsidRPr="00E1253A">
        <w:rPr>
          <w:color w:val="000000" w:themeColor="text1"/>
        </w:rPr>
        <w:t>Corporate assets are not owned by shareholders in the sense of traditional property rights. Share ownership does not represent asset ownership in the corporation either. As mentioned in the legal characteristics, corporate assets are “locked-in” and are “socialized” for the long-term benefit of the enterprise into a separate fund. Such “corporate property is private only in the sense that it is not public”, and thus we need to reconceptualize the nature of corporate property.</w:t>
      </w:r>
      <w:r w:rsidRPr="00E1253A">
        <w:rPr>
          <w:color w:val="000000" w:themeColor="text1"/>
          <w:vertAlign w:val="superscript"/>
        </w:rPr>
        <w:footnoteReference w:id="132"/>
      </w:r>
      <w:r w:rsidRPr="00E1253A">
        <w:rPr>
          <w:color w:val="000000" w:themeColor="text1"/>
        </w:rPr>
        <w:t xml:space="preserve"> The only rights natural individuals have over the control of corporate assets are the control rights awarded to corporate officers similar to the control rights officeholders wield over government property. It has been argued that we neither live in a public property economy, nor a private property economy, but instead a “government-fostered corporate property economy, with the means of production socialized at the level of the firm”.</w:t>
      </w:r>
      <w:r w:rsidRPr="00E1253A">
        <w:rPr>
          <w:color w:val="000000" w:themeColor="text1"/>
          <w:vertAlign w:val="superscript"/>
        </w:rPr>
        <w:footnoteReference w:id="133"/>
      </w:r>
      <w:r w:rsidRPr="00E1253A">
        <w:rPr>
          <w:color w:val="000000" w:themeColor="text1"/>
        </w:rPr>
        <w:t xml:space="preserve"> The implications of a corporate property economy and the serious shortcomings of neo-classical theory are revealed upon analysis of the nature of imperfect competition characteristic in many industries dominated by corporate oligopolies today.</w:t>
      </w:r>
    </w:p>
    <w:bookmarkEnd w:id="266"/>
    <w:bookmarkEnd w:id="267"/>
    <w:p w14:paraId="4467A00F" w14:textId="77777777" w:rsidR="00BA1D79" w:rsidRPr="00E1253A" w:rsidRDefault="00BA1D79" w:rsidP="0012453C">
      <w:pPr>
        <w:spacing w:line="480" w:lineRule="auto"/>
        <w:ind w:firstLine="720"/>
        <w:jc w:val="both"/>
        <w:rPr>
          <w:color w:val="000000" w:themeColor="text1"/>
        </w:rPr>
      </w:pPr>
    </w:p>
    <w:p w14:paraId="09EDDAD1" w14:textId="2B6F8FD9" w:rsidR="000A2B2F" w:rsidRPr="00E1253A" w:rsidRDefault="000A2B2F" w:rsidP="0012453C">
      <w:pPr>
        <w:pStyle w:val="Heading2"/>
        <w:numPr>
          <w:ilvl w:val="0"/>
          <w:numId w:val="19"/>
        </w:numPr>
        <w:spacing w:line="480" w:lineRule="auto"/>
        <w:contextualSpacing w:val="0"/>
        <w:jc w:val="both"/>
      </w:pPr>
      <w:r w:rsidRPr="00E1253A">
        <w:t>Stakeholder Relationships</w:t>
      </w:r>
      <w:r w:rsidR="00BA1D79" w:rsidRPr="00E1253A">
        <w:t xml:space="preserve"> &amp;</w:t>
      </w:r>
      <w:r w:rsidR="003A32C4" w:rsidRPr="00E1253A">
        <w:t xml:space="preserve"> Intangible Value</w:t>
      </w:r>
      <w:r w:rsidRPr="00E1253A">
        <w:t xml:space="preserve"> </w:t>
      </w:r>
    </w:p>
    <w:p w14:paraId="0A773E4A" w14:textId="4CBB4269" w:rsidR="00253B38" w:rsidRPr="00E1253A" w:rsidRDefault="00135BCE" w:rsidP="0012453C">
      <w:pPr>
        <w:spacing w:line="480" w:lineRule="auto"/>
        <w:ind w:firstLine="720"/>
        <w:jc w:val="both"/>
        <w:rPr>
          <w:color w:val="000000" w:themeColor="text1"/>
        </w:rPr>
      </w:pPr>
      <w:bookmarkStart w:id="268" w:name="OLE_LINK66"/>
      <w:bookmarkStart w:id="269" w:name="OLE_LINK67"/>
      <w:r w:rsidRPr="00E1253A">
        <w:rPr>
          <w:color w:val="000000" w:themeColor="text1"/>
        </w:rPr>
        <w:t xml:space="preserve">Shareholder interests have </w:t>
      </w:r>
      <w:r w:rsidR="00885306" w:rsidRPr="00E1253A">
        <w:rPr>
          <w:color w:val="000000" w:themeColor="text1"/>
        </w:rPr>
        <w:t>traditionally</w:t>
      </w:r>
      <w:r w:rsidRPr="00E1253A">
        <w:rPr>
          <w:color w:val="000000" w:themeColor="text1"/>
        </w:rPr>
        <w:t xml:space="preserve"> been interpreted along the lines of enterprise value in terms of the discounted risk-adjusted expected cash flows over time</w:t>
      </w:r>
      <w:r w:rsidR="0097406B" w:rsidRPr="00E1253A">
        <w:rPr>
          <w:color w:val="000000" w:themeColor="text1"/>
        </w:rPr>
        <w:t>.</w:t>
      </w:r>
      <w:r w:rsidRPr="00E1253A">
        <w:rPr>
          <w:color w:val="000000" w:themeColor="text1"/>
        </w:rPr>
        <w:t xml:space="preserve"> However, a purely economic view of the enterprise fails to account for the importance of non-financial capital in sustaining innovation and hence the growth of cash flow over time.</w:t>
      </w:r>
      <w:r w:rsidR="0097406B" w:rsidRPr="00E1253A">
        <w:rPr>
          <w:color w:val="000000" w:themeColor="text1"/>
        </w:rPr>
        <w:t xml:space="preserve"> In this section, I will highlight the nature of intangible value in the modern economy, and the central role of entrepreneurship as being principally tied to delivering sustained social value to society. </w:t>
      </w:r>
      <w:r w:rsidR="009C3444" w:rsidRPr="00E1253A">
        <w:rPr>
          <w:color w:val="000000" w:themeColor="text1"/>
        </w:rPr>
        <w:t xml:space="preserve">Thus, I will argue that </w:t>
      </w:r>
      <w:r w:rsidR="0097406B" w:rsidRPr="00E1253A">
        <w:rPr>
          <w:color w:val="000000" w:themeColor="text1"/>
        </w:rPr>
        <w:t xml:space="preserve">the narrow conception of </w:t>
      </w:r>
      <w:r w:rsidR="009C3444" w:rsidRPr="00E1253A">
        <w:rPr>
          <w:color w:val="000000" w:themeColor="text1"/>
        </w:rPr>
        <w:t xml:space="preserve">shareholder wealth </w:t>
      </w:r>
      <w:r w:rsidR="0097406B" w:rsidRPr="00E1253A">
        <w:rPr>
          <w:color w:val="000000" w:themeColor="text1"/>
        </w:rPr>
        <w:t xml:space="preserve">in terms of cash flows and </w:t>
      </w:r>
      <w:r w:rsidR="009C3444" w:rsidRPr="00E1253A">
        <w:rPr>
          <w:color w:val="000000" w:themeColor="text1"/>
        </w:rPr>
        <w:t>financial profits</w:t>
      </w:r>
      <w:r w:rsidR="00CD27CB" w:rsidRPr="00E1253A">
        <w:rPr>
          <w:color w:val="000000" w:themeColor="text1"/>
        </w:rPr>
        <w:t xml:space="preserve"> is a highly limited concept of what in fact makes an enterprise valuable. </w:t>
      </w:r>
    </w:p>
    <w:p w14:paraId="3A10224F" w14:textId="2495CDBB" w:rsidR="00403C79" w:rsidRPr="00E1253A" w:rsidRDefault="00342B3B" w:rsidP="0012453C">
      <w:pPr>
        <w:spacing w:line="480" w:lineRule="auto"/>
        <w:ind w:firstLine="720"/>
        <w:jc w:val="both"/>
        <w:rPr>
          <w:color w:val="000000" w:themeColor="text1"/>
        </w:rPr>
      </w:pPr>
      <w:r w:rsidRPr="00E1253A">
        <w:rPr>
          <w:color w:val="000000" w:themeColor="text1"/>
        </w:rPr>
        <w:t xml:space="preserve">Corporate value is embodied within the enterprise’s physical property, investments, and importantly projected future cash flows, but also increasingly includes intangible value that is difficult to measure in financial terms. Natural capital, intellectual capital, human capital, and especially social capital all increasingly drive enterprise profitability and growth over the long run. Shareholders play a useful role in monitoring and assessing information pertaining to their investments to determine discounted expected returns and </w:t>
      </w:r>
      <w:r w:rsidR="00280C38" w:rsidRPr="00E1253A">
        <w:rPr>
          <w:color w:val="000000" w:themeColor="text1"/>
        </w:rPr>
        <w:t xml:space="preserve">the relative </w:t>
      </w:r>
      <w:r w:rsidRPr="00E1253A">
        <w:rPr>
          <w:color w:val="000000" w:themeColor="text1"/>
        </w:rPr>
        <w:t xml:space="preserve">comparative productivity of </w:t>
      </w:r>
      <w:r w:rsidR="00885306" w:rsidRPr="00E1253A">
        <w:rPr>
          <w:color w:val="000000" w:themeColor="text1"/>
        </w:rPr>
        <w:t xml:space="preserve">investment opportunities </w:t>
      </w:r>
      <w:r w:rsidRPr="00E1253A">
        <w:rPr>
          <w:color w:val="000000" w:themeColor="text1"/>
        </w:rPr>
        <w:t xml:space="preserve">over various time-horizons. </w:t>
      </w:r>
      <w:r w:rsidR="003344F7" w:rsidRPr="00E1253A">
        <w:rPr>
          <w:color w:val="000000" w:themeColor="text1"/>
        </w:rPr>
        <w:t>Although “modern accounting attempts to keep track of capital and the profits it produces”</w:t>
      </w:r>
      <w:r w:rsidR="003019AB" w:rsidRPr="00E1253A">
        <w:rPr>
          <w:color w:val="000000" w:themeColor="text1"/>
        </w:rPr>
        <w:t xml:space="preserve">, ultimately </w:t>
      </w:r>
      <w:r w:rsidR="003344F7" w:rsidRPr="00E1253A">
        <w:rPr>
          <w:color w:val="000000" w:themeColor="text1"/>
        </w:rPr>
        <w:t>using exclusively economic measures of value “cannot accurately assess many contributors to a firm’s long-term profitability, such as reputation for quality, condition of equipment, or research”</w:t>
      </w:r>
      <w:r w:rsidR="003019AB" w:rsidRPr="00E1253A">
        <w:rPr>
          <w:color w:val="000000" w:themeColor="text1"/>
        </w:rPr>
        <w:t xml:space="preserve"> to name a few</w:t>
      </w:r>
      <w:r w:rsidR="003344F7" w:rsidRPr="00E1253A">
        <w:rPr>
          <w:color w:val="000000" w:themeColor="text1"/>
        </w:rPr>
        <w:t>.</w:t>
      </w:r>
      <w:r w:rsidR="003344F7" w:rsidRPr="00E1253A">
        <w:rPr>
          <w:rStyle w:val="FootnoteReference"/>
          <w:color w:val="000000" w:themeColor="text1"/>
        </w:rPr>
        <w:footnoteReference w:id="134"/>
      </w:r>
      <w:r w:rsidR="003344F7" w:rsidRPr="00E1253A">
        <w:rPr>
          <w:color w:val="000000" w:themeColor="text1"/>
        </w:rPr>
        <w:t xml:space="preserve"> Although forward-looking, financial markets may “not understand the full implications of a company’s policies until they begin to show up in cash flows overtime,” as the “market is </w:t>
      </w:r>
      <w:r w:rsidR="00403C79" w:rsidRPr="00E1253A">
        <w:rPr>
          <w:color w:val="000000" w:themeColor="text1"/>
        </w:rPr>
        <w:t>inevitably</w:t>
      </w:r>
      <w:r w:rsidR="003344F7" w:rsidRPr="00E1253A">
        <w:rPr>
          <w:color w:val="000000" w:themeColor="text1"/>
        </w:rPr>
        <w:t xml:space="preserve"> ignorant of many managerial actions and opportunities, at least in the short-run”.</w:t>
      </w:r>
      <w:r w:rsidR="00403C79" w:rsidRPr="00E1253A">
        <w:rPr>
          <w:rStyle w:val="FootnoteReference"/>
          <w:color w:val="000000" w:themeColor="text1"/>
        </w:rPr>
        <w:footnoteReference w:id="135"/>
      </w:r>
      <w:r w:rsidR="00403C79" w:rsidRPr="00E1253A">
        <w:rPr>
          <w:color w:val="000000" w:themeColor="text1"/>
        </w:rPr>
        <w:t xml:space="preserve"> </w:t>
      </w:r>
      <w:r w:rsidR="00A946FF" w:rsidRPr="00E1253A">
        <w:rPr>
          <w:color w:val="000000" w:themeColor="text1"/>
        </w:rPr>
        <w:t>Despite what proponents of the efficient market hypothesis maintain, the meltdown of the financial system during the 2007 Great Financial Crisis along with work advanced behavioral economists like Nobel Laureate Robert Shiller, among many other scholars, suggest financial markets are far from infallible.</w:t>
      </w:r>
      <w:r w:rsidR="00F32BE6" w:rsidRPr="00E1253A">
        <w:rPr>
          <w:color w:val="000000" w:themeColor="text1"/>
        </w:rPr>
        <w:t xml:space="preserve"> Moreover, in the case of many of the most innovative business strategies—such as new inventions and start-ups—the investors ultimately have to rely on the information provided by the entrepreneur to predict the likely profitability of a venture. In cases such  as these, the most profitable opportunity cannot be objectively nor reliably determined as the market for the product or service might not even exist yet. </w:t>
      </w:r>
    </w:p>
    <w:p w14:paraId="3C43F47D" w14:textId="1BD2A111" w:rsidR="00403C79" w:rsidRPr="00E1253A" w:rsidRDefault="00403C79" w:rsidP="0012453C">
      <w:pPr>
        <w:spacing w:line="480" w:lineRule="auto"/>
        <w:ind w:firstLine="720"/>
        <w:jc w:val="both"/>
        <w:rPr>
          <w:color w:val="000000" w:themeColor="text1"/>
        </w:rPr>
      </w:pPr>
      <w:r w:rsidRPr="00E1253A">
        <w:rPr>
          <w:color w:val="000000" w:themeColor="text1"/>
        </w:rPr>
        <w:t>Although annual accounting profits and dividend payments are extremely important to</w:t>
      </w:r>
      <w:r w:rsidR="00A946FF" w:rsidRPr="00E1253A">
        <w:rPr>
          <w:color w:val="000000" w:themeColor="text1"/>
        </w:rPr>
        <w:t xml:space="preserve"> what makes an</w:t>
      </w:r>
      <w:r w:rsidRPr="00E1253A">
        <w:rPr>
          <w:color w:val="000000" w:themeColor="text1"/>
        </w:rPr>
        <w:t xml:space="preserve"> enterprise </w:t>
      </w:r>
      <w:r w:rsidR="00A946FF" w:rsidRPr="00E1253A">
        <w:rPr>
          <w:color w:val="000000" w:themeColor="text1"/>
        </w:rPr>
        <w:t>a valuable investment</w:t>
      </w:r>
      <w:r w:rsidRPr="00E1253A">
        <w:rPr>
          <w:color w:val="000000" w:themeColor="text1"/>
        </w:rPr>
        <w:t xml:space="preserve">, they are not the only factors that drive future cash flow growth nor share value appreciation. Informational asymmetries make monitoring the productivity and quality of capital investments difficult and costly. Share prices are influenced by market expectations assessing limited information that includes but is not merely limited to accounting measures of performance. Thus, shareholder value cannot be narrowly interpreted </w:t>
      </w:r>
      <w:r w:rsidR="009E1A3D" w:rsidRPr="00E1253A">
        <w:rPr>
          <w:color w:val="000000" w:themeColor="text1"/>
        </w:rPr>
        <w:t xml:space="preserve">through the lens of short-term accounting measures of performance without consideration for the true drivers of value in a segment of the market. </w:t>
      </w:r>
      <w:r w:rsidRPr="00E1253A">
        <w:rPr>
          <w:color w:val="000000" w:themeColor="text1"/>
        </w:rPr>
        <w:t>As business school dean Roger Martin claims, “corporate success by stock price ends up harming long-term shareholders: because it drives directors and executives to focus not on real corporate performance (sales, revenues, growth, new products) but on … ‘the expectations market’”.</w:t>
      </w:r>
      <w:r w:rsidRPr="00E1253A">
        <w:rPr>
          <w:rStyle w:val="FootnoteReference"/>
          <w:color w:val="000000" w:themeColor="text1"/>
        </w:rPr>
        <w:footnoteReference w:id="136"/>
      </w:r>
      <w:r w:rsidRPr="00E1253A">
        <w:rPr>
          <w:color w:val="000000" w:themeColor="text1"/>
        </w:rPr>
        <w:t xml:space="preserve"> The pursuit of measured outputs such as profits at the expense of those that are more difficult to measure quantitatively has been identified by some critics as a market distortion and a “major factor contributing to lagging American productivity”.</w:t>
      </w:r>
      <w:r w:rsidRPr="00E1253A">
        <w:rPr>
          <w:rStyle w:val="FootnoteReference"/>
          <w:color w:val="000000" w:themeColor="text1"/>
        </w:rPr>
        <w:footnoteReference w:id="137"/>
      </w:r>
      <w:r w:rsidRPr="00E1253A">
        <w:rPr>
          <w:color w:val="000000" w:themeColor="text1"/>
        </w:rPr>
        <w:t xml:space="preserve"> The effect of this not only threatens long-term shareholder and </w:t>
      </w:r>
      <w:r w:rsidR="009E1A3D" w:rsidRPr="00E1253A">
        <w:rPr>
          <w:color w:val="000000" w:themeColor="text1"/>
        </w:rPr>
        <w:t xml:space="preserve">stakeholder </w:t>
      </w:r>
      <w:r w:rsidRPr="00E1253A">
        <w:rPr>
          <w:color w:val="000000" w:themeColor="text1"/>
        </w:rPr>
        <w:t xml:space="preserve">interests, but reduces the potential prosperity of the broader national economy as a whole whereby every citizen is impacted. </w:t>
      </w:r>
    </w:p>
    <w:p w14:paraId="61B2F453" w14:textId="4E826698" w:rsidR="004A3FF7" w:rsidRPr="00E1253A" w:rsidRDefault="004A3FF7" w:rsidP="0012453C">
      <w:pPr>
        <w:spacing w:line="480" w:lineRule="auto"/>
        <w:ind w:firstLine="720"/>
        <w:jc w:val="both"/>
        <w:rPr>
          <w:color w:val="000000" w:themeColor="text1"/>
        </w:rPr>
      </w:pPr>
      <w:r w:rsidRPr="00E1253A">
        <w:rPr>
          <w:color w:val="000000" w:themeColor="text1"/>
        </w:rPr>
        <w:t>Key to long-term growth are the capital allocation decisions made by directors</w:t>
      </w:r>
      <w:r w:rsidR="00CD5327" w:rsidRPr="00E1253A">
        <w:rPr>
          <w:color w:val="000000" w:themeColor="text1"/>
        </w:rPr>
        <w:t>. Stout argues the real reason “corporate law limits shareholders’ power to control directors and to demand dividends, share repurchases, or other transactions that would threaten locked-in capital”, is fundamentally in order to protect the company’s specific assets.</w:t>
      </w:r>
      <w:r w:rsidR="00CD5327" w:rsidRPr="00E1253A">
        <w:rPr>
          <w:color w:val="000000" w:themeColor="text1"/>
          <w:vertAlign w:val="superscript"/>
        </w:rPr>
        <w:footnoteReference w:id="138"/>
      </w:r>
      <w:r w:rsidR="00CD5327" w:rsidRPr="00E1253A">
        <w:rPr>
          <w:color w:val="000000" w:themeColor="text1"/>
        </w:rPr>
        <w:t xml:space="preserve"> The history of corporate law in the United States underscores the importance of these investments in complex projects for the benefit of the enterprise, shareholders, stakeholders, and society more broadly. Enterprise-specific assets, as mentioned earlier, are critical to sustaining a cycle of value creation whereby corporations can innovate, create social value, and increase their long-term profits. These assets include, “sunk-cost investments in research, development, and business processes and relationships—[or any] money or time that has already been spent in the hope of earning future profits”.</w:t>
      </w:r>
      <w:r w:rsidR="00CD5327" w:rsidRPr="00E1253A">
        <w:rPr>
          <w:color w:val="000000" w:themeColor="text1"/>
          <w:vertAlign w:val="superscript"/>
        </w:rPr>
        <w:footnoteReference w:id="139"/>
      </w:r>
      <w:r w:rsidR="00CD5327" w:rsidRPr="00E1253A">
        <w:rPr>
          <w:color w:val="000000" w:themeColor="text1"/>
        </w:rPr>
        <w:t xml:space="preserve"> In addition to specialized equipment that cannot be easily converted for other uses, “executives’ and employees’ acquisition of knowledge, skills, and relationships uniquely useful to their present firm, and of little value to other potential employers, are investments in firm-specific ‘human capital’, [while] developing customer loyalty, a trusted brand name, or a unique business process are [also] all examples of specific investment”, and are central to sustaining many businesses’ success in today’s economy.</w:t>
      </w:r>
      <w:r w:rsidR="00CD5327" w:rsidRPr="00E1253A">
        <w:rPr>
          <w:color w:val="000000" w:themeColor="text1"/>
          <w:vertAlign w:val="superscript"/>
        </w:rPr>
        <w:footnoteReference w:id="140"/>
      </w:r>
      <w:r w:rsidR="00CD5327" w:rsidRPr="00E1253A">
        <w:rPr>
          <w:color w:val="000000" w:themeColor="text1"/>
        </w:rPr>
        <w:t xml:space="preserve"> The importance of these long-term durable investments supports the proposition that “shareholders cannot be allowed to directly control corporations because they are only one among many groups that must yield control rights over the firm’s assets and outputs in order to make credible commitments to other team members that they will not hold up the whole team to extract a larger share of the surplus”.</w:t>
      </w:r>
      <w:bookmarkStart w:id="272" w:name="OLE_LINK89"/>
      <w:r w:rsidR="00CD5327" w:rsidRPr="00E1253A">
        <w:rPr>
          <w:color w:val="000000" w:themeColor="text1"/>
          <w:vertAlign w:val="superscript"/>
        </w:rPr>
        <w:footnoteReference w:id="141"/>
      </w:r>
      <w:bookmarkEnd w:id="272"/>
      <w:r w:rsidR="00CD5327" w:rsidRPr="00E1253A">
        <w:rPr>
          <w:color w:val="000000" w:themeColor="text1"/>
        </w:rPr>
        <w:t xml:space="preserve"> </w:t>
      </w:r>
    </w:p>
    <w:p w14:paraId="5E866A8B" w14:textId="77777777" w:rsidR="00E75B75" w:rsidRPr="00E1253A" w:rsidRDefault="000C3AC1" w:rsidP="0012453C">
      <w:pPr>
        <w:spacing w:line="480" w:lineRule="auto"/>
        <w:ind w:firstLine="720"/>
        <w:jc w:val="both"/>
        <w:rPr>
          <w:color w:val="000000" w:themeColor="text1"/>
        </w:rPr>
      </w:pPr>
      <w:r w:rsidRPr="00E1253A">
        <w:rPr>
          <w:color w:val="000000" w:themeColor="text1"/>
        </w:rPr>
        <w:t xml:space="preserve">Stakeholder relationships ultimately </w:t>
      </w:r>
      <w:r w:rsidR="007B2424" w:rsidRPr="00E1253A">
        <w:rPr>
          <w:color w:val="000000" w:themeColor="text1"/>
        </w:rPr>
        <w:t xml:space="preserve">also </w:t>
      </w:r>
      <w:r w:rsidRPr="00E1253A">
        <w:rPr>
          <w:color w:val="000000" w:themeColor="text1"/>
        </w:rPr>
        <w:t xml:space="preserve">key </w:t>
      </w:r>
      <w:r w:rsidR="007B2424" w:rsidRPr="00E1253A">
        <w:rPr>
          <w:color w:val="000000" w:themeColor="text1"/>
        </w:rPr>
        <w:t>determinants of</w:t>
      </w:r>
      <w:r w:rsidRPr="00E1253A">
        <w:rPr>
          <w:color w:val="000000" w:themeColor="text1"/>
        </w:rPr>
        <w:t xml:space="preserve"> corporate success</w:t>
      </w:r>
      <w:r w:rsidR="007B2424" w:rsidRPr="00E1253A">
        <w:rPr>
          <w:color w:val="000000" w:themeColor="text1"/>
        </w:rPr>
        <w:t xml:space="preserve"> and sustained viability</w:t>
      </w:r>
      <w:r w:rsidR="00E75B75" w:rsidRPr="00E1253A">
        <w:rPr>
          <w:color w:val="000000" w:themeColor="text1"/>
        </w:rPr>
        <w:t>—and especially so in the modern economy driven by human talent</w:t>
      </w:r>
      <w:r w:rsidRPr="00E1253A">
        <w:rPr>
          <w:color w:val="000000" w:themeColor="text1"/>
        </w:rPr>
        <w:t>. A corporation also makes many agreements in the form of contracts with other constituencies, including employees, customers, suppliers, and other investors, all for mutual advantage. Although these groups may not be the direct recipient of fiduciary duties such as shareholders, the</w:t>
      </w:r>
      <w:r w:rsidR="00D35A84" w:rsidRPr="00E1253A">
        <w:rPr>
          <w:color w:val="000000" w:themeColor="text1"/>
        </w:rPr>
        <w:t xml:space="preserve">ir contractual relationships with the corporate entity </w:t>
      </w:r>
      <w:r w:rsidRPr="00E1253A">
        <w:rPr>
          <w:color w:val="000000" w:themeColor="text1"/>
        </w:rPr>
        <w:t>nonetheless create both moral and legal obligations that are every bit as binding as those owed to shareholders</w:t>
      </w:r>
      <w:r w:rsidR="00D35A84" w:rsidRPr="00E1253A">
        <w:rPr>
          <w:color w:val="000000" w:themeColor="text1"/>
        </w:rPr>
        <w:t>.</w:t>
      </w:r>
      <w:r w:rsidRPr="00E1253A">
        <w:rPr>
          <w:color w:val="000000" w:themeColor="text1"/>
        </w:rPr>
        <w:t xml:space="preserve"> </w:t>
      </w:r>
      <w:r w:rsidR="007B2424" w:rsidRPr="00E1253A">
        <w:rPr>
          <w:color w:val="000000" w:themeColor="text1"/>
        </w:rPr>
        <w:t xml:space="preserve">Prioritizing a single constituency above all other contractual parties that a corporation relies on is not in the corporation’s own interest, nor that of society. </w:t>
      </w:r>
      <w:r w:rsidR="00E75B75" w:rsidRPr="00E1253A">
        <w:rPr>
          <w:color w:val="000000" w:themeColor="text1"/>
        </w:rPr>
        <w:t xml:space="preserve">Directors must thus assimilate the variety of concerns and viewpoints into their management of the enterprise. </w:t>
      </w:r>
      <w:r w:rsidRPr="00E1253A">
        <w:rPr>
          <w:color w:val="000000" w:themeColor="text1"/>
        </w:rPr>
        <w:t>Stout f</w:t>
      </w:r>
      <w:r w:rsidR="00E75B75" w:rsidRPr="00E1253A">
        <w:rPr>
          <w:color w:val="000000" w:themeColor="text1"/>
        </w:rPr>
        <w:t>or instance, has proposed</w:t>
      </w:r>
      <w:r w:rsidRPr="00E1253A">
        <w:rPr>
          <w:color w:val="000000" w:themeColor="text1"/>
        </w:rPr>
        <w:t xml:space="preserve"> a conception of directors as “mediating hierarchs”, rather than obedient principals, whom must “balance the competing needs and demands of shareholders, creditors, customers, suppliers, executives, rank-and-file, and even the local community, in a fashion that protects specific investments in the corporation and keeps the corporation alive, healthy, and growing”.</w:t>
      </w:r>
      <w:r w:rsidRPr="00E1253A">
        <w:rPr>
          <w:color w:val="000000" w:themeColor="text1"/>
          <w:vertAlign w:val="superscript"/>
        </w:rPr>
        <w:footnoteReference w:id="142"/>
      </w:r>
      <w:r w:rsidRPr="00E1253A">
        <w:rPr>
          <w:color w:val="000000" w:themeColor="text1"/>
        </w:rPr>
        <w:t xml:space="preserve"> In this view, fiduciary duties to the enterprise require balancing competing stakeholder needs</w:t>
      </w:r>
      <w:r w:rsidR="00D35A84" w:rsidRPr="00E1253A">
        <w:rPr>
          <w:color w:val="000000" w:themeColor="text1"/>
        </w:rPr>
        <w:t xml:space="preserve"> against the interest of the entire organization as a whole.</w:t>
      </w:r>
      <w:r w:rsidR="00E75B75" w:rsidRPr="00E1253A">
        <w:rPr>
          <w:color w:val="000000" w:themeColor="text1"/>
        </w:rPr>
        <w:t xml:space="preserve"> With regard to specific investments, this includes taking the longer view on investing on the growth of the enterprise. </w:t>
      </w:r>
      <w:r w:rsidRPr="00E1253A">
        <w:rPr>
          <w:color w:val="000000" w:themeColor="text1"/>
        </w:rPr>
        <w:t>Venkataraman advances a similar conception of the firm as an equilibrating mechanism rather than a governance mechanism, moving from a coordinating role for the manager, to that of an arbitrator.</w:t>
      </w:r>
      <w:r w:rsidRPr="00E1253A">
        <w:rPr>
          <w:color w:val="000000" w:themeColor="text1"/>
          <w:vertAlign w:val="superscript"/>
        </w:rPr>
        <w:footnoteReference w:id="143"/>
      </w:r>
      <w:r w:rsidRPr="00E1253A">
        <w:rPr>
          <w:color w:val="000000" w:themeColor="text1"/>
        </w:rPr>
        <w:t xml:space="preserve"> Venkataraman argues the firm can be seen as a “clearinghouse for potentially conflicting stakeholder claims”, with the bargaining process occurs dynamically over time under a mutually accepted framework of reconciliation rules that embody legal notions of “fair contract”.</w:t>
      </w:r>
      <w:r w:rsidRPr="00E1253A">
        <w:rPr>
          <w:color w:val="000000" w:themeColor="text1"/>
          <w:vertAlign w:val="superscript"/>
        </w:rPr>
        <w:footnoteReference w:id="144"/>
      </w:r>
      <w:r w:rsidRPr="00E1253A">
        <w:rPr>
          <w:color w:val="000000" w:themeColor="text1"/>
        </w:rPr>
        <w:t xml:space="preserve"> </w:t>
      </w:r>
      <w:r w:rsidR="00D35A84" w:rsidRPr="00E1253A">
        <w:rPr>
          <w:color w:val="000000" w:themeColor="text1"/>
        </w:rPr>
        <w:t xml:space="preserve">He argues directors </w:t>
      </w:r>
      <w:r w:rsidRPr="00E1253A">
        <w:rPr>
          <w:color w:val="000000" w:themeColor="text1"/>
        </w:rPr>
        <w:t>serve a trusteeship role</w:t>
      </w:r>
      <w:r w:rsidR="00D35A84" w:rsidRPr="00E1253A">
        <w:rPr>
          <w:color w:val="000000" w:themeColor="text1"/>
        </w:rPr>
        <w:t>, very similar to a mediating role,</w:t>
      </w:r>
      <w:r w:rsidRPr="00E1253A">
        <w:rPr>
          <w:color w:val="000000" w:themeColor="text1"/>
        </w:rPr>
        <w:t xml:space="preserve"> with the discretion to arbitrate and mediate between the various contractual claims on the enterprise. </w:t>
      </w:r>
    </w:p>
    <w:p w14:paraId="5363387F" w14:textId="0DBA0425" w:rsidR="00D35A84" w:rsidRPr="00E1253A" w:rsidRDefault="00D35A84" w:rsidP="0012453C">
      <w:pPr>
        <w:spacing w:line="480" w:lineRule="auto"/>
        <w:ind w:firstLine="720"/>
        <w:jc w:val="both"/>
        <w:rPr>
          <w:color w:val="000000" w:themeColor="text1"/>
        </w:rPr>
      </w:pPr>
      <w:r w:rsidRPr="00E1253A">
        <w:rPr>
          <w:color w:val="000000" w:themeColor="text1"/>
        </w:rPr>
        <w:t>Given the fiduciary duties of loyalty and care to the enterprise</w:t>
      </w:r>
      <w:r w:rsidR="00E75B75" w:rsidRPr="00E1253A">
        <w:rPr>
          <w:color w:val="000000" w:themeColor="text1"/>
        </w:rPr>
        <w:t xml:space="preserve"> </w:t>
      </w:r>
      <w:r w:rsidRPr="00E1253A">
        <w:rPr>
          <w:color w:val="000000" w:themeColor="text1"/>
        </w:rPr>
        <w:t>and through the enterprise to its shareholders, mediation and discrimination between competing stakeholders claims ought still to be influenced by cost-revenue dynamics that aim to enhance the long-term value of the enterprise, however, must be done in way that does not compromise stakeholder and societal trust.</w:t>
      </w:r>
      <w:r w:rsidR="00E75B75" w:rsidRPr="00E1253A">
        <w:rPr>
          <w:color w:val="000000" w:themeColor="text1"/>
        </w:rPr>
        <w:t xml:space="preserve"> </w:t>
      </w:r>
      <w:r w:rsidR="000C3AC1" w:rsidRPr="00E1253A">
        <w:rPr>
          <w:color w:val="000000" w:themeColor="text1"/>
        </w:rPr>
        <w:t>As Venkataraman argues, in the entrepreneurial process, “even if the fiduciary duty of the manager is to the stockholder, the process of entrepreneurial discovery and exploitation will ensure that the corporation will be managed as if for the benefit of all the stakeholders of the enterprise” in the long-run.</w:t>
      </w:r>
      <w:r w:rsidR="000C3AC1" w:rsidRPr="00E1253A">
        <w:rPr>
          <w:color w:val="000000" w:themeColor="text1"/>
          <w:vertAlign w:val="superscript"/>
        </w:rPr>
        <w:footnoteReference w:id="145"/>
      </w:r>
      <w:r w:rsidR="000C3AC1" w:rsidRPr="00E1253A">
        <w:rPr>
          <w:color w:val="000000" w:themeColor="text1"/>
        </w:rPr>
        <w:t xml:space="preserve"> While this process may not happen in the short-term or directly, he claims “the process of entrepreneurial discovery and exploitation will eventually force fair and efficient reconciliation of competing stakeholder claims in firms in general and in each firm in question”.</w:t>
      </w:r>
      <w:r w:rsidR="000C3AC1" w:rsidRPr="00E1253A">
        <w:rPr>
          <w:color w:val="000000" w:themeColor="text1"/>
          <w:vertAlign w:val="superscript"/>
        </w:rPr>
        <w:footnoteReference w:id="146"/>
      </w:r>
      <w:r w:rsidR="000C3AC1" w:rsidRPr="00E1253A">
        <w:rPr>
          <w:color w:val="000000" w:themeColor="text1"/>
        </w:rPr>
        <w:t xml:space="preserve"> A failure to treat stakeholders as ends in of themselves, and instead as means for the benefit of shareholders can ultimately compromise the value of the enterprise. Thus, although directors ought to act in the best interest of the company, this does not preclude their basic ethical and moral duties to society.</w:t>
      </w:r>
    </w:p>
    <w:p w14:paraId="63F39229" w14:textId="300708D4" w:rsidR="00E75B75" w:rsidRPr="00E1253A" w:rsidRDefault="00D35A84" w:rsidP="0012453C">
      <w:pPr>
        <w:spacing w:line="480" w:lineRule="auto"/>
        <w:ind w:firstLine="720"/>
        <w:jc w:val="both"/>
        <w:rPr>
          <w:color w:val="000000" w:themeColor="text1"/>
        </w:rPr>
      </w:pPr>
      <w:r w:rsidRPr="00E1253A">
        <w:rPr>
          <w:color w:val="000000" w:themeColor="text1"/>
        </w:rPr>
        <w:t>If corporate directors and managers were to neglect stakeholders by unfairly fulfilling their contractual and moral obligations, this undermines their legitimacy and trading position in the market. Afterall, business fundamentally is, “at its core, the synergy that arises from mutually beneficial relationships”.</w:t>
      </w:r>
      <w:r w:rsidRPr="00E1253A">
        <w:rPr>
          <w:color w:val="000000" w:themeColor="text1"/>
          <w:vertAlign w:val="superscript"/>
        </w:rPr>
        <w:footnoteReference w:id="147"/>
      </w:r>
      <w:bookmarkStart w:id="273" w:name="OLE_LINK428"/>
      <w:bookmarkStart w:id="274" w:name="OLE_LINK429"/>
      <w:bookmarkEnd w:id="263"/>
      <w:bookmarkEnd w:id="264"/>
      <w:r w:rsidR="00E75B75" w:rsidRPr="00E1253A">
        <w:rPr>
          <w:color w:val="000000" w:themeColor="text1"/>
        </w:rPr>
        <w:t xml:space="preserve"> </w:t>
      </w:r>
      <w:bookmarkEnd w:id="268"/>
      <w:bookmarkEnd w:id="269"/>
      <w:r w:rsidR="00E75B75" w:rsidRPr="00E1253A">
        <w:rPr>
          <w:color w:val="000000" w:themeColor="text1"/>
        </w:rPr>
        <w:t xml:space="preserve">In the following section I will argue that the increased risks of detection and </w:t>
      </w:r>
      <w:r w:rsidR="00016671" w:rsidRPr="00E1253A">
        <w:rPr>
          <w:color w:val="000000" w:themeColor="text1"/>
        </w:rPr>
        <w:t xml:space="preserve">changing demands have made unethical behavior increasingly costly to companies in the long run. I will analyze the role of reputation through the conceptual lens of institutional political economics to argue that this new operating environment necessitates a more long-term and </w:t>
      </w:r>
      <w:r w:rsidR="001303BD" w:rsidRPr="00E1253A">
        <w:rPr>
          <w:color w:val="000000" w:themeColor="text1"/>
        </w:rPr>
        <w:t>morally conscious</w:t>
      </w:r>
      <w:r w:rsidR="00016671" w:rsidRPr="00E1253A">
        <w:rPr>
          <w:color w:val="000000" w:themeColor="text1"/>
        </w:rPr>
        <w:t xml:space="preserve"> element to corporate decision-making. </w:t>
      </w:r>
    </w:p>
    <w:p w14:paraId="265DC8E3" w14:textId="77777777" w:rsidR="003257B4" w:rsidRPr="00E1253A" w:rsidRDefault="003257B4" w:rsidP="0012453C">
      <w:pPr>
        <w:spacing w:line="480" w:lineRule="auto"/>
        <w:ind w:firstLine="720"/>
        <w:jc w:val="both"/>
        <w:rPr>
          <w:color w:val="000000" w:themeColor="text1"/>
        </w:rPr>
      </w:pPr>
    </w:p>
    <w:p w14:paraId="732AE6F5" w14:textId="4E52DFF6" w:rsidR="003257B4" w:rsidRPr="00E1253A" w:rsidRDefault="003257B4" w:rsidP="0012453C">
      <w:pPr>
        <w:pStyle w:val="Heading2"/>
        <w:numPr>
          <w:ilvl w:val="0"/>
          <w:numId w:val="19"/>
        </w:numPr>
        <w:spacing w:line="480" w:lineRule="auto"/>
        <w:contextualSpacing w:val="0"/>
        <w:jc w:val="both"/>
      </w:pPr>
      <w:bookmarkStart w:id="275" w:name="OLE_LINK724"/>
      <w:bookmarkStart w:id="276" w:name="OLE_LINK725"/>
      <w:bookmarkEnd w:id="273"/>
      <w:bookmarkEnd w:id="274"/>
      <w:r w:rsidRPr="00E1253A">
        <w:t>Reputation</w:t>
      </w:r>
      <w:r w:rsidR="00BA1D79" w:rsidRPr="00E1253A">
        <w:t xml:space="preserve"> </w:t>
      </w:r>
      <w:r w:rsidR="008A0E07" w:rsidRPr="00E1253A">
        <w:t>&amp; Social Capital</w:t>
      </w:r>
      <w:bookmarkEnd w:id="275"/>
      <w:bookmarkEnd w:id="276"/>
    </w:p>
    <w:p w14:paraId="794FC61A" w14:textId="43CEC300" w:rsidR="003257B4" w:rsidRPr="00E1253A" w:rsidRDefault="000D0981" w:rsidP="0012453C">
      <w:pPr>
        <w:spacing w:line="480" w:lineRule="auto"/>
        <w:ind w:firstLine="720"/>
        <w:jc w:val="both"/>
        <w:rPr>
          <w:color w:val="000000" w:themeColor="text1"/>
        </w:rPr>
      </w:pPr>
      <w:r w:rsidRPr="00E1253A">
        <w:rPr>
          <w:color w:val="000000" w:themeColor="text1"/>
        </w:rPr>
        <w:t xml:space="preserve">Corporations are ultimately citizens embedded within the fabric of </w:t>
      </w:r>
      <w:r w:rsidR="00016671" w:rsidRPr="00E1253A">
        <w:rPr>
          <w:color w:val="000000" w:themeColor="text1"/>
        </w:rPr>
        <w:t xml:space="preserve">the political economy. As major sources of employment, products, services, and also environmental impact, major corporations are especially vulnerable to the effects of reputation. </w:t>
      </w:r>
      <w:r w:rsidRPr="00E1253A">
        <w:rPr>
          <w:color w:val="000000" w:themeColor="text1"/>
        </w:rPr>
        <w:t>It has been noted, firms “commercial objectives makes them more vulnerable to reputational damage, their contractual bonds provide them with different influence pathways opposite subsidiaries, and their stakeholders’ calls for accountability require them to inform different audiences of their activities”.</w:t>
      </w:r>
      <w:bookmarkStart w:id="277" w:name="OLE_LINK251"/>
      <w:r w:rsidRPr="00E1253A">
        <w:rPr>
          <w:color w:val="000000" w:themeColor="text1"/>
          <w:vertAlign w:val="superscript"/>
        </w:rPr>
        <w:footnoteReference w:id="148"/>
      </w:r>
      <w:bookmarkEnd w:id="277"/>
      <w:r w:rsidR="00016671" w:rsidRPr="00E1253A">
        <w:rPr>
          <w:color w:val="000000" w:themeColor="text1"/>
        </w:rPr>
        <w:t xml:space="preserve"> </w:t>
      </w:r>
      <w:r w:rsidRPr="00E1253A">
        <w:rPr>
          <w:color w:val="000000" w:themeColor="text1"/>
        </w:rPr>
        <w:t>The impact of stakeholder abuses and corporate misconduct on the market performance and accounting performance of corporations reveals their vulnerability to social discontent, and hence the importance of social capital today. The explosion of digital information covering corporate conduct and the increasingly competitive and highly demanding environment in which corporations operate has made the “Social License to Operate” a central component of sustaining growth</w:t>
      </w:r>
      <w:r w:rsidR="003257B4" w:rsidRPr="00E1253A">
        <w:rPr>
          <w:color w:val="000000" w:themeColor="text1"/>
        </w:rPr>
        <w:t xml:space="preserve"> while underscoring the intricate link between stakeholder value, social value, and enterprise value. Afterall, “business organizations and societies are mutually interdependent; each has strategic and moral concerns, and each has the power and legitimacy to impact the other”.</w:t>
      </w:r>
      <w:bookmarkStart w:id="278" w:name="OLE_LINK247"/>
      <w:bookmarkStart w:id="279" w:name="OLE_LINK250"/>
      <w:r w:rsidR="003257B4" w:rsidRPr="00E1253A">
        <w:rPr>
          <w:color w:val="000000" w:themeColor="text1"/>
          <w:vertAlign w:val="superscript"/>
        </w:rPr>
        <w:footnoteReference w:id="149"/>
      </w:r>
      <w:bookmarkEnd w:id="278"/>
      <w:bookmarkEnd w:id="279"/>
      <w:r w:rsidR="003257B4" w:rsidRPr="00E1253A">
        <w:rPr>
          <w:color w:val="000000" w:themeColor="text1"/>
        </w:rPr>
        <w:t xml:space="preserve"> As the development of social capital in business organizations becomes increasingly important, the role of social relations has become essential to economic relations. </w:t>
      </w:r>
      <w:r w:rsidRPr="00E1253A">
        <w:rPr>
          <w:color w:val="000000" w:themeColor="text1"/>
        </w:rPr>
        <w:t>As Boatright argues, “corporate constituencies, including customers, investors, activist groups, and their own employees are making demands” and these demands “must be met as an ordinary part of doing business in a complex and diverse marketplace” by approaching social problems as business problems.</w:t>
      </w:r>
      <w:r w:rsidRPr="00E1253A">
        <w:rPr>
          <w:color w:val="000000" w:themeColor="text1"/>
          <w:vertAlign w:val="superscript"/>
        </w:rPr>
        <w:footnoteReference w:id="150"/>
      </w:r>
      <w:r w:rsidRPr="00E1253A">
        <w:rPr>
          <w:color w:val="000000" w:themeColor="text1"/>
        </w:rPr>
        <w:t xml:space="preserve">  </w:t>
      </w:r>
    </w:p>
    <w:p w14:paraId="64516A7A" w14:textId="5C368C7C" w:rsidR="000D0981" w:rsidRPr="00E1253A" w:rsidRDefault="00016671" w:rsidP="0012453C">
      <w:pPr>
        <w:spacing w:line="480" w:lineRule="auto"/>
        <w:ind w:firstLine="720"/>
        <w:jc w:val="both"/>
        <w:rPr>
          <w:color w:val="000000" w:themeColor="text1"/>
        </w:rPr>
      </w:pPr>
      <w:r w:rsidRPr="00E1253A">
        <w:rPr>
          <w:color w:val="000000" w:themeColor="text1"/>
        </w:rPr>
        <w:t>I believe</w:t>
      </w:r>
      <w:r w:rsidR="000D0981" w:rsidRPr="00E1253A">
        <w:rPr>
          <w:color w:val="000000" w:themeColor="text1"/>
        </w:rPr>
        <w:t xml:space="preserve"> growing pressures from stakeholders to manage and disclose ESG risks in firms can be seen as a reflection of a broader progression of constituent groups demanding more ethical and responsible behavior from businesses over time. The impact of the MNC on global trade, geo-politics, and the environment has made even the most distant abuses of concern to key proximate stakeholders. As the power and reach of corporations has expanded, so has societies expectations of firms. Studies have revealed the role of NGOs, the media, and </w:t>
      </w:r>
      <w:bookmarkStart w:id="280" w:name="OLE_LINK793"/>
      <w:bookmarkStart w:id="281" w:name="OLE_LINK794"/>
      <w:r w:rsidR="000D0981" w:rsidRPr="00E1253A">
        <w:rPr>
          <w:color w:val="000000" w:themeColor="text1"/>
        </w:rPr>
        <w:t xml:space="preserve">Transnational Activist Networks </w:t>
      </w:r>
      <w:bookmarkEnd w:id="280"/>
      <w:bookmarkEnd w:id="281"/>
      <w:r w:rsidR="000D0981" w:rsidRPr="00E1253A">
        <w:rPr>
          <w:color w:val="000000" w:themeColor="text1"/>
        </w:rPr>
        <w:t>play in providing stakeholder groups, even without a clear and direct stake in the firm, to exert strong influence over a particular firm.</w:t>
      </w:r>
      <w:r w:rsidR="000D0981" w:rsidRPr="00E1253A">
        <w:rPr>
          <w:color w:val="000000" w:themeColor="text1"/>
          <w:vertAlign w:val="superscript"/>
        </w:rPr>
        <w:footnoteReference w:id="151"/>
      </w:r>
      <w:r w:rsidR="000D0981" w:rsidRPr="00E1253A">
        <w:rPr>
          <w:color w:val="000000" w:themeColor="text1"/>
        </w:rPr>
        <w:t xml:space="preserve"> Through the use of international NGOs and activist groups, international mobilization can enlist </w:t>
      </w:r>
      <w:r w:rsidRPr="00E1253A">
        <w:rPr>
          <w:color w:val="000000" w:themeColor="text1"/>
        </w:rPr>
        <w:t xml:space="preserve">institutional forces such as Transnational Activist Networks </w:t>
      </w:r>
      <w:r w:rsidR="000D0981" w:rsidRPr="00E1253A">
        <w:rPr>
          <w:color w:val="000000" w:themeColor="text1"/>
        </w:rPr>
        <w:t xml:space="preserve">to induce powerful actors to exert influence over the firm in question. Thus, even in the context of distant social, ethical and human rights abuses abroad, corporations are increasingly expected to exemplify the same social obligations throughout their supply chain including their suppliers and contractors. This may include codes of conduct, audits and verification of supply chains, and other measures to ensure corporate ethics and social responsibility. </w:t>
      </w:r>
    </w:p>
    <w:p w14:paraId="42457A79" w14:textId="05B81709" w:rsidR="002D098C" w:rsidRPr="00E1253A" w:rsidRDefault="00016671" w:rsidP="0012453C">
      <w:pPr>
        <w:spacing w:line="480" w:lineRule="auto"/>
        <w:ind w:firstLine="270"/>
        <w:jc w:val="both"/>
        <w:rPr>
          <w:b/>
          <w:bCs/>
          <w:color w:val="000000" w:themeColor="text1"/>
        </w:rPr>
      </w:pPr>
      <w:bookmarkStart w:id="282" w:name="OLE_LINK422"/>
      <w:bookmarkStart w:id="283" w:name="OLE_LINK423"/>
      <w:bookmarkStart w:id="284" w:name="OLE_LINK146"/>
      <w:bookmarkStart w:id="285" w:name="OLE_LINK147"/>
      <w:bookmarkStart w:id="286" w:name="OLE_LINK323"/>
      <w:bookmarkStart w:id="287" w:name="OLE_LINK324"/>
      <w:bookmarkStart w:id="288" w:name="OLE_LINK434"/>
      <w:bookmarkStart w:id="289" w:name="OLE_LINK435"/>
      <w:r w:rsidRPr="00E1253A">
        <w:rPr>
          <w:color w:val="000000" w:themeColor="text1"/>
        </w:rPr>
        <w:t>With the increased force of financial market</w:t>
      </w:r>
      <w:r w:rsidR="009A6265" w:rsidRPr="00E1253A">
        <w:rPr>
          <w:color w:val="000000" w:themeColor="text1"/>
        </w:rPr>
        <w:t>s on corporate behavior, public opinion has become an especially powerful source of leverage.  It has been noted that t</w:t>
      </w:r>
      <w:r w:rsidR="002D098C" w:rsidRPr="00E1253A">
        <w:rPr>
          <w:color w:val="000000" w:themeColor="text1"/>
        </w:rPr>
        <w:t xml:space="preserve">o some degree, </w:t>
      </w:r>
      <w:r w:rsidR="009A6265" w:rsidRPr="00E1253A">
        <w:rPr>
          <w:color w:val="000000" w:themeColor="text1"/>
        </w:rPr>
        <w:t>“</w:t>
      </w:r>
      <w:r w:rsidR="002D098C" w:rsidRPr="00E1253A">
        <w:rPr>
          <w:color w:val="000000" w:themeColor="text1"/>
        </w:rPr>
        <w:t>the markets express public opinion, just like surveys</w:t>
      </w:r>
      <w:r w:rsidR="009A6265" w:rsidRPr="00E1253A">
        <w:rPr>
          <w:color w:val="000000" w:themeColor="text1"/>
        </w:rPr>
        <w:t xml:space="preserve">… </w:t>
      </w:r>
      <w:r w:rsidR="002D098C" w:rsidRPr="00E1253A">
        <w:rPr>
          <w:color w:val="000000" w:themeColor="text1"/>
        </w:rPr>
        <w:t>conveys to them the mantle of legitimacy of the entrepreneur under public governance</w:t>
      </w:r>
      <w:r w:rsidR="009A6265" w:rsidRPr="00E1253A">
        <w:rPr>
          <w:color w:val="000000" w:themeColor="text1"/>
        </w:rPr>
        <w:t>”</w:t>
      </w:r>
      <w:r w:rsidR="002D098C" w:rsidRPr="00E1253A">
        <w:rPr>
          <w:color w:val="000000" w:themeColor="text1"/>
        </w:rPr>
        <w:t>.</w:t>
      </w:r>
      <w:r w:rsidR="009A6265" w:rsidRPr="00E1253A">
        <w:rPr>
          <w:color w:val="000000" w:themeColor="text1"/>
          <w:vertAlign w:val="superscript"/>
        </w:rPr>
        <w:footnoteReference w:id="152"/>
      </w:r>
      <w:r w:rsidR="009A6265" w:rsidRPr="00E1253A">
        <w:rPr>
          <w:color w:val="000000" w:themeColor="text1"/>
        </w:rPr>
        <w:t xml:space="preserve"> Moreover, major public corporations have also become more fragile, as the increasing “</w:t>
      </w:r>
      <w:r w:rsidR="002D098C" w:rsidRPr="00E1253A">
        <w:rPr>
          <w:color w:val="000000" w:themeColor="text1"/>
        </w:rPr>
        <w:t>democratization of corporate governance has allowed corporations to become very large and very complex, it has also weakened corporations by making them increasingly dependent on the vagaries of public opinion</w:t>
      </w:r>
      <w:r w:rsidR="009A6265" w:rsidRPr="00E1253A">
        <w:rPr>
          <w:color w:val="000000" w:themeColor="text1"/>
        </w:rPr>
        <w:t>”.</w:t>
      </w:r>
      <w:r w:rsidR="009A6265" w:rsidRPr="00E1253A">
        <w:rPr>
          <w:color w:val="000000" w:themeColor="text1"/>
          <w:vertAlign w:val="superscript"/>
        </w:rPr>
        <w:footnoteReference w:id="153"/>
      </w:r>
      <w:r w:rsidR="009A6265" w:rsidRPr="00E1253A">
        <w:rPr>
          <w:color w:val="000000" w:themeColor="text1"/>
        </w:rPr>
        <w:t xml:space="preserve">  </w:t>
      </w:r>
    </w:p>
    <w:p w14:paraId="07348A84" w14:textId="77777777" w:rsidR="00BB6246" w:rsidRPr="00E1253A" w:rsidRDefault="00BB6246" w:rsidP="0012453C">
      <w:pPr>
        <w:pStyle w:val="ListParagraph"/>
        <w:spacing w:line="480" w:lineRule="auto"/>
        <w:ind w:left="630"/>
        <w:jc w:val="both"/>
        <w:rPr>
          <w:b/>
          <w:bCs/>
          <w:color w:val="000000" w:themeColor="text1"/>
        </w:rPr>
      </w:pPr>
    </w:p>
    <w:bookmarkEnd w:id="282"/>
    <w:bookmarkEnd w:id="283"/>
    <w:bookmarkEnd w:id="284"/>
    <w:bookmarkEnd w:id="285"/>
    <w:bookmarkEnd w:id="286"/>
    <w:bookmarkEnd w:id="287"/>
    <w:bookmarkEnd w:id="288"/>
    <w:bookmarkEnd w:id="289"/>
    <w:p w14:paraId="1A48709F" w14:textId="77777777" w:rsidR="00392FC4" w:rsidRPr="00E1253A" w:rsidRDefault="00392FC4" w:rsidP="00A92043">
      <w:pPr>
        <w:pBdr>
          <w:top w:val="single" w:sz="4" w:space="1" w:color="auto"/>
        </w:pBdr>
        <w:spacing w:line="480" w:lineRule="auto"/>
        <w:jc w:val="both"/>
        <w:rPr>
          <w:color w:val="000000" w:themeColor="text1"/>
        </w:rPr>
      </w:pPr>
    </w:p>
    <w:p w14:paraId="4232E5B6" w14:textId="4D858210" w:rsidR="008A0E07" w:rsidRPr="00E1253A" w:rsidRDefault="008A0E07" w:rsidP="0012453C">
      <w:pPr>
        <w:pStyle w:val="Heading1"/>
        <w:spacing w:line="480" w:lineRule="auto"/>
        <w:jc w:val="both"/>
      </w:pPr>
      <w:bookmarkStart w:id="290" w:name="OLE_LINK438"/>
      <w:bookmarkStart w:id="291" w:name="OLE_LINK439"/>
      <w:r w:rsidRPr="00E1253A">
        <w:t xml:space="preserve">The </w:t>
      </w:r>
      <w:r w:rsidR="007B2E8E" w:rsidRPr="00E1253A">
        <w:t xml:space="preserve">New Paradigm – ESG &amp; Sustainable Finance </w:t>
      </w:r>
    </w:p>
    <w:p w14:paraId="2C75C189" w14:textId="5940F089" w:rsidR="00BA1D79" w:rsidRPr="00E1253A" w:rsidRDefault="00CD1B9E" w:rsidP="0012453C">
      <w:pPr>
        <w:pStyle w:val="Heading2"/>
        <w:numPr>
          <w:ilvl w:val="0"/>
          <w:numId w:val="25"/>
        </w:numPr>
        <w:spacing w:line="480" w:lineRule="auto"/>
        <w:jc w:val="both"/>
      </w:pPr>
      <w:r w:rsidRPr="00E1253A">
        <w:t xml:space="preserve"> </w:t>
      </w:r>
      <w:r w:rsidR="008A0E07" w:rsidRPr="00E1253A">
        <w:t>ESG, Ethics, &amp; Counterparty Risk</w:t>
      </w:r>
      <w:r w:rsidRPr="00E1253A">
        <w:t xml:space="preserve"> </w:t>
      </w:r>
    </w:p>
    <w:p w14:paraId="3C8E685B" w14:textId="77777777" w:rsidR="00BA1D79" w:rsidRPr="00E1253A" w:rsidRDefault="00BA1D79" w:rsidP="0012453C">
      <w:pPr>
        <w:spacing w:line="480" w:lineRule="auto"/>
        <w:jc w:val="both"/>
        <w:rPr>
          <w:color w:val="000000" w:themeColor="text1"/>
        </w:rPr>
      </w:pPr>
      <w:r w:rsidRPr="00E1253A">
        <w:rPr>
          <w:color w:val="000000" w:themeColor="text1"/>
        </w:rPr>
        <w:t>With the rise of global communication technologies and the digital age, the rapid production and  widespread dissemination of information has become extremely inexpensive. This has fostered a greater social awareness and an accompanying wave of institutions whom have placed new pressures on companies to foster stronger duties to corporate responsibility and business ethics. These widespread changes in value orientations among consumers and investors across society have been redefining corporate duties and obligations less through the lens of shareholder primacy and quarterly profits, and increasingly through the lens of business ethics and sustainability</w:t>
      </w:r>
    </w:p>
    <w:p w14:paraId="1700CD07" w14:textId="77777777" w:rsidR="008A0E07" w:rsidRPr="00E1253A" w:rsidRDefault="00BA1D79" w:rsidP="0012453C">
      <w:pPr>
        <w:spacing w:line="480" w:lineRule="auto"/>
        <w:ind w:firstLine="720"/>
        <w:jc w:val="both"/>
        <w:rPr>
          <w:color w:val="000000" w:themeColor="text1"/>
        </w:rPr>
      </w:pPr>
      <w:r w:rsidRPr="00E1253A">
        <w:rPr>
          <w:color w:val="000000" w:themeColor="text1"/>
        </w:rPr>
        <w:t>We are entering a new paradigm where business ethics and good corporate citizenship are becoming necessary for maintaining social legitimacy, and hence profitability. Waddock claims one reasons for this rise in interest in Environmental, Social, and Governance (ESG) factors is that “more than half of corporations' assets today are found not in tangible but rather in intangible assets such as good will, reputation, and human capital</w:t>
      </w:r>
      <w:r w:rsidR="008A0E07" w:rsidRPr="00E1253A">
        <w:rPr>
          <w:color w:val="000000" w:themeColor="text1"/>
        </w:rPr>
        <w:t xml:space="preserve">, </w:t>
      </w:r>
      <w:r w:rsidRPr="00E1253A">
        <w:rPr>
          <w:color w:val="000000" w:themeColor="text1"/>
        </w:rPr>
        <w:t>which in turn rely on the quality of stakeholder relationships the company has developed”.</w:t>
      </w:r>
      <w:r w:rsidRPr="00E1253A">
        <w:rPr>
          <w:rStyle w:val="FootnoteReference"/>
          <w:color w:val="000000" w:themeColor="text1"/>
        </w:rPr>
        <w:footnoteReference w:id="154"/>
      </w:r>
      <w:r w:rsidRPr="00E1253A">
        <w:rPr>
          <w:color w:val="000000" w:themeColor="text1"/>
        </w:rPr>
        <w:t xml:space="preserve"> Moreover, surveys show a widespread change in value orientations, “as people in industrializing and urbanizing countries become more productive, wealthy and independent, their values orientation shifts from materialist values towards self-expression and quality-of-life aspirations of the knowledge and service based society”.</w:t>
      </w:r>
      <w:r w:rsidRPr="00E1253A">
        <w:rPr>
          <w:rStyle w:val="FootnoteReference"/>
          <w:color w:val="000000" w:themeColor="text1"/>
        </w:rPr>
        <w:footnoteReference w:id="155"/>
      </w:r>
      <w:r w:rsidRPr="00E1253A">
        <w:rPr>
          <w:color w:val="000000" w:themeColor="text1"/>
        </w:rPr>
        <w:t xml:space="preserve"> Boatright aptly predicted these developments, stating “a corporation is itself a kind of market, in which each constituency—employees, customers, suppliers, and investors—strikes its own bargain with a firm, with managers serving as coordinators… [and as] business organizations become more like markets, they must come to reflect the needs and interests of all their constituencies”.</w:t>
      </w:r>
      <w:r w:rsidRPr="00E1253A">
        <w:rPr>
          <w:rStyle w:val="FootnoteReference"/>
          <w:color w:val="000000" w:themeColor="text1"/>
        </w:rPr>
        <w:footnoteReference w:id="156"/>
      </w:r>
      <w:r w:rsidRPr="00E1253A">
        <w:rPr>
          <w:color w:val="000000" w:themeColor="text1"/>
        </w:rPr>
        <w:t xml:space="preserve"> </w:t>
      </w:r>
    </w:p>
    <w:p w14:paraId="20AE63A5" w14:textId="77777777" w:rsidR="00A92043" w:rsidRPr="00E1253A" w:rsidRDefault="00BA1D79" w:rsidP="0012453C">
      <w:pPr>
        <w:spacing w:line="480" w:lineRule="auto"/>
        <w:ind w:firstLine="720"/>
        <w:jc w:val="both"/>
        <w:rPr>
          <w:color w:val="000000" w:themeColor="text1"/>
        </w:rPr>
      </w:pPr>
      <w:r w:rsidRPr="00E1253A">
        <w:rPr>
          <w:color w:val="000000" w:themeColor="text1"/>
        </w:rPr>
        <w:t>Where the digital revolution has created a powerful tool for communicating what is good, industry best practices ultimately forces companies to improve themselves to remain economically competitive. The internet and globalization have given people everywhere the “tool they need to see deep into the world and into how the business world is working… [and] they are comparing best and worst practices and demanding changes that match the best they see elsewhere”.</w:t>
      </w:r>
      <w:r w:rsidRPr="00E1253A">
        <w:rPr>
          <w:rStyle w:val="FootnoteReference"/>
          <w:color w:val="000000" w:themeColor="text1"/>
        </w:rPr>
        <w:footnoteReference w:id="157"/>
      </w:r>
      <w:r w:rsidRPr="00E1253A">
        <w:rPr>
          <w:color w:val="000000" w:themeColor="text1"/>
        </w:rPr>
        <w:t xml:space="preserve"> The “24-hour news cycle, ever present media intrusions, the expansion of the Internet, and the reach of globalization have removed the artificial distinction between the public and private business personas, and stress the need for increased ethical awareness”, and without material change, stakeholders increasingly “at least want the assurance that comes from business adhering to recognized ethical standards”.</w:t>
      </w:r>
      <w:r w:rsidRPr="00E1253A">
        <w:rPr>
          <w:rStyle w:val="FootnoteReference"/>
          <w:color w:val="000000" w:themeColor="text1"/>
        </w:rPr>
        <w:footnoteReference w:id="158"/>
      </w:r>
      <w:r w:rsidRPr="00E1253A">
        <w:rPr>
          <w:color w:val="000000" w:themeColor="text1"/>
        </w:rPr>
        <w:t xml:space="preserve"> This transformation is able to “widely and quickly communicate scandal and criminal behavior… [and because] there is no way to hide these days… it’s best if [companies] work to avoid having anything to hide”.</w:t>
      </w:r>
      <w:bookmarkStart w:id="294" w:name="OLE_LINK13"/>
      <w:r w:rsidRPr="00E1253A">
        <w:rPr>
          <w:rStyle w:val="FootnoteReference"/>
          <w:color w:val="000000" w:themeColor="text1"/>
        </w:rPr>
        <w:footnoteReference w:id="159"/>
      </w:r>
      <w:r w:rsidRPr="00E1253A">
        <w:rPr>
          <w:color w:val="000000" w:themeColor="text1"/>
        </w:rPr>
        <w:t xml:space="preserve"> </w:t>
      </w:r>
      <w:bookmarkEnd w:id="294"/>
    </w:p>
    <w:p w14:paraId="3E463EC1" w14:textId="15DB7F46" w:rsidR="00BA1D79" w:rsidRPr="00E1253A" w:rsidRDefault="00BA1D79" w:rsidP="0012453C">
      <w:pPr>
        <w:spacing w:line="480" w:lineRule="auto"/>
        <w:ind w:firstLine="720"/>
        <w:jc w:val="both"/>
        <w:rPr>
          <w:color w:val="000000" w:themeColor="text1"/>
        </w:rPr>
      </w:pPr>
      <w:r w:rsidRPr="00E1253A">
        <w:rPr>
          <w:color w:val="000000" w:themeColor="text1"/>
        </w:rPr>
        <w:t>Corporate monitoring institutions like Sustainalytics, among others, have been creating innovative tools to monitor corporate responsibility and ethics. Sustainalytics, for one, has already created a service utilizing Artificial Intelligence that monitors every single controvers</w:t>
      </w:r>
      <w:r w:rsidR="008A0E07" w:rsidRPr="00E1253A">
        <w:rPr>
          <w:color w:val="000000" w:themeColor="text1"/>
        </w:rPr>
        <w:t xml:space="preserve">ial new article </w:t>
      </w:r>
      <w:r w:rsidRPr="00E1253A">
        <w:rPr>
          <w:color w:val="000000" w:themeColor="text1"/>
        </w:rPr>
        <w:t xml:space="preserve">posted online about companies. The program automatically labels the controversy by </w:t>
      </w:r>
      <w:r w:rsidR="008A0E07" w:rsidRPr="00E1253A">
        <w:rPr>
          <w:color w:val="000000" w:themeColor="text1"/>
        </w:rPr>
        <w:t xml:space="preserve">credibility of the source, </w:t>
      </w:r>
      <w:r w:rsidRPr="00E1253A">
        <w:rPr>
          <w:color w:val="000000" w:themeColor="text1"/>
        </w:rPr>
        <w:t xml:space="preserve">level of risk, and </w:t>
      </w:r>
      <w:r w:rsidR="008A0E07" w:rsidRPr="00E1253A">
        <w:rPr>
          <w:color w:val="000000" w:themeColor="text1"/>
        </w:rPr>
        <w:t>escalates</w:t>
      </w:r>
      <w:r w:rsidRPr="00E1253A">
        <w:rPr>
          <w:color w:val="000000" w:themeColor="text1"/>
        </w:rPr>
        <w:t xml:space="preserve"> higher risk controversies to human researchers </w:t>
      </w:r>
      <w:r w:rsidR="008A0E07" w:rsidRPr="00E1253A">
        <w:rPr>
          <w:color w:val="000000" w:themeColor="text1"/>
        </w:rPr>
        <w:t xml:space="preserve">for review, </w:t>
      </w:r>
      <w:r w:rsidRPr="00E1253A">
        <w:rPr>
          <w:color w:val="000000" w:themeColor="text1"/>
        </w:rPr>
        <w:t xml:space="preserve">whom publish detailed analyses labelling the level of risk from the given counterparty risk. As co-founder of Whole Foods John Mackey and Raj Sisodia claim in their book </w:t>
      </w:r>
      <w:r w:rsidRPr="00E1253A">
        <w:rPr>
          <w:i/>
          <w:iCs/>
          <w:color w:val="000000" w:themeColor="text1"/>
        </w:rPr>
        <w:t>Conscious Capitalism</w:t>
      </w:r>
      <w:r w:rsidRPr="00E1253A">
        <w:rPr>
          <w:color w:val="000000" w:themeColor="text1"/>
        </w:rPr>
        <w:t>, “we have entered an era of extraordinary transparency in which most corporate and governmental actions can easily become public knowledge, particularly if they are controversial”.</w:t>
      </w:r>
      <w:r w:rsidRPr="00E1253A">
        <w:rPr>
          <w:rStyle w:val="FootnoteReference"/>
          <w:color w:val="000000" w:themeColor="text1"/>
        </w:rPr>
        <w:footnoteReference w:id="160"/>
      </w:r>
      <w:r w:rsidRPr="00E1253A">
        <w:rPr>
          <w:color w:val="000000" w:themeColor="text1"/>
        </w:rPr>
        <w:t xml:space="preserve"> They describe the internet as having evolved into a “shared nervous system that links much of humanity”, and provides an unprecedented level of information egalitarianism allowing ordinary people today “access to virtually limitless information … at almost zero cost”.</w:t>
      </w:r>
      <w:r w:rsidRPr="00E1253A">
        <w:rPr>
          <w:rStyle w:val="FootnoteReference"/>
          <w:color w:val="000000" w:themeColor="text1"/>
        </w:rPr>
        <w:footnoteReference w:id="161"/>
      </w:r>
      <w:r w:rsidRPr="00E1253A">
        <w:rPr>
          <w:color w:val="000000" w:themeColor="text1"/>
        </w:rPr>
        <w:t xml:space="preserve"> This information egalitarianism underscores the growing importance of managing business relationships ethically and responsibly as deviant corporate conduct is only becoming riskier and costlier. </w:t>
      </w:r>
    </w:p>
    <w:p w14:paraId="4B4F5898" w14:textId="6F935A56" w:rsidR="00FC143E" w:rsidRPr="00E1253A" w:rsidRDefault="00BA1D79" w:rsidP="0012453C">
      <w:pPr>
        <w:spacing w:line="480" w:lineRule="auto"/>
        <w:ind w:firstLine="720"/>
        <w:jc w:val="both"/>
        <w:rPr>
          <w:color w:val="000000" w:themeColor="text1"/>
        </w:rPr>
      </w:pPr>
      <w:r w:rsidRPr="00E1253A">
        <w:rPr>
          <w:color w:val="000000" w:themeColor="text1"/>
        </w:rPr>
        <w:t xml:space="preserve">Whereby enterprise value is influenced by the market’s assessment of information, corporate fiduciaries are required to mitigate potentially negative information through their management of the enterprise and its fulfillment of contractual obligations. Thus, fiduciaries ought to exercise a prudent duty of care to prevent </w:t>
      </w:r>
      <w:r w:rsidR="008A0E07" w:rsidRPr="00E1253A">
        <w:rPr>
          <w:color w:val="000000" w:themeColor="text1"/>
        </w:rPr>
        <w:t xml:space="preserve">neglecting key stakeholders. </w:t>
      </w:r>
      <w:r w:rsidRPr="00E1253A">
        <w:rPr>
          <w:color w:val="000000" w:themeColor="text1"/>
        </w:rPr>
        <w:t>This information can ultimately undermine market valuations if and when discovered by the public. As Adam Smith stated, “markets could not flourish without a strong underlying moral culture, animated by empathy and fellow-feeling, by ou</w:t>
      </w:r>
      <w:r w:rsidR="008A0E07" w:rsidRPr="00E1253A">
        <w:rPr>
          <w:color w:val="000000" w:themeColor="text1"/>
        </w:rPr>
        <w:t>r</w:t>
      </w:r>
      <w:r w:rsidRPr="00E1253A">
        <w:rPr>
          <w:color w:val="000000" w:themeColor="text1"/>
        </w:rPr>
        <w:t xml:space="preserve"> ability to understand our common bond as human beings and to recognize the needs of others”.</w:t>
      </w:r>
      <w:r w:rsidRPr="00E1253A">
        <w:rPr>
          <w:rStyle w:val="FootnoteReference"/>
          <w:color w:val="000000" w:themeColor="text1"/>
        </w:rPr>
        <w:footnoteReference w:id="162"/>
      </w:r>
      <w:r w:rsidRPr="00E1253A">
        <w:rPr>
          <w:color w:val="000000" w:themeColor="text1"/>
        </w:rPr>
        <w:t xml:space="preserve"> Capitalism requires trust to function, and trust is a core consequence of ethical </w:t>
      </w:r>
      <w:r w:rsidR="008A0E07" w:rsidRPr="00E1253A">
        <w:rPr>
          <w:color w:val="000000" w:themeColor="text1"/>
        </w:rPr>
        <w:t xml:space="preserve">and responsible </w:t>
      </w:r>
      <w:r w:rsidRPr="00E1253A">
        <w:rPr>
          <w:color w:val="000000" w:themeColor="text1"/>
        </w:rPr>
        <w:t xml:space="preserve">conduct. </w:t>
      </w:r>
      <w:r w:rsidR="00FC143E" w:rsidRPr="00E1253A">
        <w:rPr>
          <w:color w:val="000000" w:themeColor="text1"/>
        </w:rPr>
        <w:t>Thus, even if a firm meets the bare minimum fulfillment of their contractual obligations there are ways, they can fail to perform their obligations in good faith. Likewise, they can fail to respect the agency of their stakeholders in the bargaining process through leveraging their position of superior power to offer terms below what may be normatively or morally considered “fair”.</w:t>
      </w:r>
      <w:r w:rsidR="003153A4" w:rsidRPr="00E1253A">
        <w:rPr>
          <w:color w:val="000000" w:themeColor="text1"/>
        </w:rPr>
        <w:t xml:space="preserve"> Although </w:t>
      </w:r>
      <w:r w:rsidR="00A92043" w:rsidRPr="00E1253A">
        <w:rPr>
          <w:color w:val="000000" w:themeColor="text1"/>
        </w:rPr>
        <w:t xml:space="preserve">these </w:t>
      </w:r>
      <w:r w:rsidR="003153A4" w:rsidRPr="00E1253A">
        <w:rPr>
          <w:color w:val="000000" w:themeColor="text1"/>
        </w:rPr>
        <w:t xml:space="preserve">are not objective questions that can be answered by running statistical analyses, they are nonetheless important factors that are increasingly being viewed as factors related to success. Managers will have to utilize their subjective judgement in a number of </w:t>
      </w:r>
      <w:r w:rsidR="004D3BC6" w:rsidRPr="00E1253A">
        <w:rPr>
          <w:color w:val="000000" w:themeColor="text1"/>
        </w:rPr>
        <w:t xml:space="preserve">situations, and thus it does not seem unreasonable to assume they have the capacity to make these important ethical judgements, not that institutions can enforce the organizational incentives to induce this behavior. In fact, many of the worst scandals and abuses of corporate power emerged from a culture of unethical behavior originating from the top-down. </w:t>
      </w:r>
    </w:p>
    <w:p w14:paraId="4CFF1B8C" w14:textId="019DD590" w:rsidR="00987B63" w:rsidRPr="00E1253A" w:rsidRDefault="004D3BC6" w:rsidP="006D7D87">
      <w:pPr>
        <w:spacing w:line="480" w:lineRule="auto"/>
        <w:ind w:firstLine="720"/>
        <w:jc w:val="both"/>
        <w:rPr>
          <w:color w:val="000000" w:themeColor="text1"/>
        </w:rPr>
      </w:pPr>
      <w:r w:rsidRPr="00E1253A">
        <w:rPr>
          <w:color w:val="000000" w:themeColor="text1"/>
        </w:rPr>
        <w:t xml:space="preserve">Failing to exercise due care for the health and safety of individuals, whether they be employees or local communities, is becoming increasingly costly when discovered. </w:t>
      </w:r>
      <w:r w:rsidR="00BA1D79" w:rsidRPr="00E1253A">
        <w:rPr>
          <w:color w:val="000000" w:themeColor="text1"/>
        </w:rPr>
        <w:t>Coleman (2011) investigated a set of independent databases to investigate whether firms hurt their financial performance by damaging stakeholder interests. He utilized data on fines for environmental breaches, unsafe working workplaces, fraudulent accounting standards, and product recalls as measures that are “assumed to proxy for signals to stakeholders of the ESG risk in transacting with the firm”.</w:t>
      </w:r>
      <w:bookmarkStart w:id="295" w:name="OLE_LINK23"/>
      <w:bookmarkStart w:id="296" w:name="OLE_LINK26"/>
      <w:r w:rsidR="00BA1D79" w:rsidRPr="00E1253A">
        <w:rPr>
          <w:rStyle w:val="FootnoteReference"/>
          <w:color w:val="000000" w:themeColor="text1"/>
        </w:rPr>
        <w:footnoteReference w:id="163"/>
      </w:r>
      <w:bookmarkEnd w:id="295"/>
      <w:bookmarkEnd w:id="296"/>
      <w:r w:rsidR="00BA1D79" w:rsidRPr="00E1253A">
        <w:rPr>
          <w:color w:val="000000" w:themeColor="text1"/>
        </w:rPr>
        <w:t xml:space="preserve"> Utilizing a sample of all non-financial S&amp;P 500 firms during 1998-2003, he found that even after controlling for firm-specific differences, “sales margins of firms fell by 0.8% if they announced a product recall and by 0.4% if cited by the OSHA for an unsafe workplace; and shareholder return was significantly reduced by an EPA or SEC prosecution”.</w:t>
      </w:r>
      <w:r w:rsidR="00BA1D79" w:rsidRPr="00E1253A">
        <w:rPr>
          <w:rStyle w:val="FootnoteReference"/>
          <w:color w:val="000000" w:themeColor="text1"/>
        </w:rPr>
        <w:footnoteReference w:id="164"/>
      </w:r>
      <w:r w:rsidR="00BA1D79" w:rsidRPr="00E1253A">
        <w:rPr>
          <w:color w:val="000000" w:themeColor="text1"/>
        </w:rPr>
        <w:t xml:space="preserve"> He argues this analysis “links the risks of transaction uncertainty, information signaling theory, and the resource-based view of the firm to company financial performance”, supporting the “normative assumption that a firm’s sales margin will be damaged by unethical treatment of stakeholders as evidenced by ESG breaches, presumably because risk-averse customers and suppliers are alert to signals of counterparty risk”.</w:t>
      </w:r>
      <w:r w:rsidR="00BA1D79" w:rsidRPr="00E1253A">
        <w:rPr>
          <w:rStyle w:val="FootnoteReference"/>
          <w:color w:val="000000" w:themeColor="text1"/>
        </w:rPr>
        <w:footnoteReference w:id="165"/>
      </w:r>
      <w:r w:rsidR="00BA1D79" w:rsidRPr="00E1253A">
        <w:rPr>
          <w:color w:val="000000" w:themeColor="text1"/>
        </w:rPr>
        <w:t xml:space="preserve"> Thus, </w:t>
      </w:r>
      <w:r w:rsidRPr="00E1253A">
        <w:rPr>
          <w:color w:val="000000" w:themeColor="text1"/>
        </w:rPr>
        <w:t xml:space="preserve">the </w:t>
      </w:r>
      <w:r w:rsidR="00BA1D79" w:rsidRPr="00E1253A">
        <w:rPr>
          <w:color w:val="000000" w:themeColor="text1"/>
        </w:rPr>
        <w:t xml:space="preserve">good faith fulfillment of contractual obligations to stakeholders across the enterprise, and society more broadly, has increasingly become viewed as a proxy for counterparty risk, information asymmetry, and moral hazard. </w:t>
      </w:r>
      <w:r w:rsidRPr="00E1253A">
        <w:rPr>
          <w:color w:val="000000" w:themeColor="text1"/>
        </w:rPr>
        <w:t xml:space="preserve">The moral—or at least enlightened—company will recognize the importance of maintaining </w:t>
      </w:r>
      <w:r w:rsidR="00987B63" w:rsidRPr="00E1253A">
        <w:rPr>
          <w:color w:val="000000" w:themeColor="text1"/>
        </w:rPr>
        <w:t xml:space="preserve">the legitimacy of their brand through their treatment of individuals in society. </w:t>
      </w:r>
    </w:p>
    <w:p w14:paraId="27E247D5" w14:textId="02DE5081" w:rsidR="00BA1D79" w:rsidRPr="00E1253A" w:rsidRDefault="00BA1D79" w:rsidP="0012453C">
      <w:pPr>
        <w:spacing w:line="480" w:lineRule="auto"/>
        <w:ind w:firstLine="720"/>
        <w:jc w:val="both"/>
        <w:rPr>
          <w:color w:val="000000" w:themeColor="text1"/>
        </w:rPr>
      </w:pPr>
      <w:r w:rsidRPr="00E1253A">
        <w:rPr>
          <w:color w:val="000000" w:themeColor="text1"/>
        </w:rPr>
        <w:t>A 2018 legal insights piece by Clifford Chance cites increasing shareholder pressure for sustainability disclosure has centered on ensuring companies are not only behaving ethically, but also not favoring short-term gain over long-term returns.</w:t>
      </w:r>
      <w:r w:rsidRPr="00E1253A">
        <w:rPr>
          <w:color w:val="000000" w:themeColor="text1"/>
          <w:vertAlign w:val="superscript"/>
        </w:rPr>
        <w:footnoteReference w:id="166"/>
      </w:r>
      <w:r w:rsidRPr="00E1253A">
        <w:rPr>
          <w:color w:val="000000" w:themeColor="text1"/>
        </w:rPr>
        <w:t xml:space="preserve"> The report notes, “at the consumer-end, shoppers are much more likely now to take into account sustainability concerns when choosing products; [and] corporate customers are also being challenged to demonstrate the sustainability of their whole supply chain”.</w:t>
      </w:r>
      <w:r w:rsidRPr="00E1253A">
        <w:rPr>
          <w:color w:val="000000" w:themeColor="text1"/>
          <w:vertAlign w:val="superscript"/>
        </w:rPr>
        <w:footnoteReference w:id="167"/>
      </w:r>
      <w:r w:rsidRPr="00E1253A">
        <w:rPr>
          <w:color w:val="000000" w:themeColor="text1"/>
        </w:rPr>
        <w:t xml:space="preserve"> Unethical behavior that treats stakeholders as a means to the end of shareholders, including the violation of human rights and the unfair fulfillment of obligations more broadly, ultimately damages enterprise reputation thereby harming long-term prospects and shareholder value. The preservation of enterprise value requires fair attention to stakeholders’ important needs, or else directors risk incurring social sanctioning and potential economic costs in the long run. </w:t>
      </w:r>
    </w:p>
    <w:p w14:paraId="4F8C634D" w14:textId="77777777" w:rsidR="00987B63" w:rsidRPr="00E1253A" w:rsidRDefault="00BA1D79" w:rsidP="0012453C">
      <w:pPr>
        <w:spacing w:line="480" w:lineRule="auto"/>
        <w:ind w:firstLine="720"/>
        <w:jc w:val="both"/>
        <w:rPr>
          <w:color w:val="000000" w:themeColor="text1"/>
        </w:rPr>
      </w:pPr>
      <w:r w:rsidRPr="00E1253A">
        <w:rPr>
          <w:color w:val="000000" w:themeColor="text1"/>
        </w:rPr>
        <w:t xml:space="preserve">There is evidence that the business and social paradigm is shifting towards a broader definition of the responsibilities owed by corporate fiduciaries. From the EU Sustainable Finance Commission to the United Nations Principles for Responsible Investment (UNPRI), there has been a wide shift in global expectations and also companies voluntarily promoting societal objectives across their businesses that does not directly benefit their bottom-line. </w:t>
      </w:r>
      <w:r w:rsidR="00987B63" w:rsidRPr="00E1253A">
        <w:rPr>
          <w:color w:val="000000" w:themeColor="text1"/>
        </w:rPr>
        <w:t>Moreover, t</w:t>
      </w:r>
      <w:r w:rsidRPr="00E1253A">
        <w:rPr>
          <w:color w:val="000000" w:themeColor="text1"/>
        </w:rPr>
        <w:t>he Business Roundtable—the leading US association of chief executives—hosted its annual Business Roundtable meeting in August of 2019, where 200 chief executives met to redefine the role of business in society. They issued a statement on “the purpose of a corporation,” arguing that companies should no longer advance only the interests of shareholders. Instead, “the group said, they must also invest in their employees, protect the environment, and deal fairly with their suppliers,” which “was an explicit rebuke of the notion that the corporation is to maximize profits at all costs – the philosophy that has held sway on Wall Street and in the boardroom for 50 years”.</w:t>
      </w:r>
      <w:r w:rsidRPr="00E1253A">
        <w:rPr>
          <w:color w:val="000000" w:themeColor="text1"/>
          <w:vertAlign w:val="superscript"/>
        </w:rPr>
        <w:footnoteReference w:id="168"/>
      </w:r>
      <w:r w:rsidRPr="00E1253A">
        <w:rPr>
          <w:color w:val="000000" w:themeColor="text1"/>
        </w:rPr>
        <w:t xml:space="preserve"> This shift is significant when considering the roundtable had previously articulated in 1997, that “the paramount duty of management and of boards of directors is to the corporation’s stockholders,” and each version of its principles over the past 20 years has echoed this claim that corporations exist principally to serve their shareholders.</w:t>
      </w:r>
      <w:r w:rsidRPr="00E1253A">
        <w:rPr>
          <w:color w:val="000000" w:themeColor="text1"/>
          <w:vertAlign w:val="superscript"/>
        </w:rPr>
        <w:footnoteReference w:id="169"/>
      </w:r>
      <w:r w:rsidRPr="00E1253A">
        <w:rPr>
          <w:color w:val="000000" w:themeColor="text1"/>
        </w:rPr>
        <w:t xml:space="preserve"> This </w:t>
      </w:r>
      <w:r w:rsidR="00987B63" w:rsidRPr="00E1253A">
        <w:rPr>
          <w:color w:val="000000" w:themeColor="text1"/>
        </w:rPr>
        <w:t xml:space="preserve">also </w:t>
      </w:r>
      <w:r w:rsidRPr="00E1253A">
        <w:rPr>
          <w:color w:val="000000" w:themeColor="text1"/>
        </w:rPr>
        <w:t>comes at a time where many investors and chief executives, including BlackRock’s Larry Fink (CEO of the largest asset management firm in the world with over $7.4 Trillion under management), have been calling on companies to be more responsible, along with widespread shifts in attitudes towards these ESG considerations. Klaus Schwab, the chairman of the World Economic forum, has stated, “the threshold has moved substantially for what people expect from a company… it’s more than just producing profits for the shareholders”.</w:t>
      </w:r>
      <w:r w:rsidRPr="00E1253A">
        <w:rPr>
          <w:color w:val="000000" w:themeColor="text1"/>
          <w:vertAlign w:val="superscript"/>
        </w:rPr>
        <w:footnoteReference w:id="170"/>
      </w:r>
      <w:r w:rsidRPr="00E1253A">
        <w:rPr>
          <w:color w:val="000000" w:themeColor="text1"/>
        </w:rPr>
        <w:t xml:space="preserve"> Th</w:t>
      </w:r>
      <w:r w:rsidR="00987B63" w:rsidRPr="00E1253A">
        <w:rPr>
          <w:color w:val="000000" w:themeColor="text1"/>
        </w:rPr>
        <w:t xml:space="preserve">ese public </w:t>
      </w:r>
      <w:r w:rsidRPr="00E1253A">
        <w:rPr>
          <w:color w:val="000000" w:themeColor="text1"/>
        </w:rPr>
        <w:t>revision</w:t>
      </w:r>
      <w:r w:rsidR="00987B63" w:rsidRPr="00E1253A">
        <w:rPr>
          <w:color w:val="000000" w:themeColor="text1"/>
        </w:rPr>
        <w:t>s</w:t>
      </w:r>
      <w:r w:rsidRPr="00E1253A">
        <w:rPr>
          <w:color w:val="000000" w:themeColor="text1"/>
        </w:rPr>
        <w:t xml:space="preserve"> from business, legal, and economic practitioners is one signal that the community of executive management in America is shifting from the singular pursuit of profits to encompass broader duties to society. </w:t>
      </w:r>
    </w:p>
    <w:p w14:paraId="08023B23" w14:textId="77777777" w:rsidR="00987B63" w:rsidRPr="00E1253A" w:rsidRDefault="00BA1D79" w:rsidP="0012453C">
      <w:pPr>
        <w:spacing w:line="480" w:lineRule="auto"/>
        <w:ind w:firstLine="720"/>
        <w:jc w:val="both"/>
        <w:rPr>
          <w:color w:val="000000" w:themeColor="text1"/>
        </w:rPr>
      </w:pPr>
      <w:r w:rsidRPr="00E1253A">
        <w:rPr>
          <w:color w:val="000000" w:themeColor="text1"/>
        </w:rPr>
        <w:t>The shifting demands and expectations of shareholder coalitions and the accompanying explosion of ESG investments can be seen as impacting the duty of care to reasonably manage corporate risks and opportunities over a longer time horizon. The world’s largest “asset managers are pushing companies to take actions that benefit the interests of long-term shareholders through emphasis on purpose, culture and other intangibles — concepts that have not traditionally been measured or discussed with investors”.</w:t>
      </w:r>
      <w:r w:rsidRPr="00E1253A">
        <w:rPr>
          <w:rStyle w:val="FootnoteReference"/>
          <w:color w:val="000000" w:themeColor="text1"/>
        </w:rPr>
        <w:footnoteReference w:id="171"/>
      </w:r>
      <w:r w:rsidRPr="00E1253A">
        <w:rPr>
          <w:color w:val="000000" w:themeColor="text1"/>
        </w:rPr>
        <w:t xml:space="preserve"> They accordingly promote practices that support a long-term outlook rather than a narrow focus on short-term financial results, and believe that “purpose and profit are “inextricably linked” and seek to elevate “value” (not “values”) in support of long-termism over short-termism”.</w:t>
      </w:r>
      <w:r w:rsidRPr="00E1253A">
        <w:rPr>
          <w:rStyle w:val="FootnoteReference"/>
          <w:color w:val="000000" w:themeColor="text1"/>
        </w:rPr>
        <w:footnoteReference w:id="172"/>
      </w:r>
      <w:r w:rsidRPr="00E1253A">
        <w:rPr>
          <w:color w:val="000000" w:themeColor="text1"/>
        </w:rPr>
        <w:t xml:space="preserve"> This underscores the transformation of financial markets that is underway. </w:t>
      </w:r>
    </w:p>
    <w:p w14:paraId="7EE5DFCC" w14:textId="77777777" w:rsidR="007F2208" w:rsidRPr="00E1253A" w:rsidRDefault="00987B63" w:rsidP="0012453C">
      <w:pPr>
        <w:spacing w:line="480" w:lineRule="auto"/>
        <w:ind w:firstLine="720"/>
        <w:jc w:val="both"/>
        <w:rPr>
          <w:color w:val="000000" w:themeColor="text1"/>
        </w:rPr>
      </w:pPr>
      <w:r w:rsidRPr="00E1253A">
        <w:rPr>
          <w:color w:val="000000" w:themeColor="text1"/>
        </w:rPr>
        <w:t xml:space="preserve">Observers of financial markets have raised concerns about short-term thinking as it relates to building value in companies as well investment decision-making. </w:t>
      </w:r>
      <w:r w:rsidR="00BA1D79" w:rsidRPr="00E1253A">
        <w:rPr>
          <w:color w:val="000000" w:themeColor="text1"/>
        </w:rPr>
        <w:t>As Larry Fink observed, financial analysis of quarterly statistics, and companies themselves, suffer from short-term thinking which can lead to them systemically discounting material long-term information. Short time horizons “cause companies to focus less than they should on the development of long-term value [as] companies face pressures to maximize short-term profit at the expense of long-term value and are pushed to emphasize short-term improvements in quarterly reports”.</w:t>
      </w:r>
      <w:r w:rsidR="00BA1D79" w:rsidRPr="00E1253A">
        <w:rPr>
          <w:rStyle w:val="FootnoteReference"/>
          <w:color w:val="000000" w:themeColor="text1"/>
        </w:rPr>
        <w:footnoteReference w:id="173"/>
      </w:r>
      <w:r w:rsidR="00BA1D79" w:rsidRPr="00E1253A">
        <w:rPr>
          <w:color w:val="000000" w:themeColor="text1"/>
        </w:rPr>
        <w:t xml:space="preserve">  A survey of corporate executives and board members additionally “found that 79 percent felt ‘pressure to deliver financial results in two years or less’, [while] 86 percent of them reported that they believed a longer time horizon for business decisions would improve corporate performance by strengthening longer-term financial returns and increasing innovation”.</w:t>
      </w:r>
      <w:r w:rsidR="00BA1D79" w:rsidRPr="00E1253A">
        <w:rPr>
          <w:rStyle w:val="FootnoteReference"/>
          <w:color w:val="000000" w:themeColor="text1"/>
        </w:rPr>
        <w:footnoteReference w:id="174"/>
      </w:r>
      <w:r w:rsidR="00BA1D79" w:rsidRPr="00E1253A">
        <w:rPr>
          <w:color w:val="000000" w:themeColor="text1"/>
        </w:rPr>
        <w:t xml:space="preserve"> </w:t>
      </w:r>
      <w:r w:rsidR="007F2208" w:rsidRPr="00E1253A">
        <w:rPr>
          <w:color w:val="000000" w:themeColor="text1"/>
        </w:rPr>
        <w:t>Likewise, according to a S&amp;P Global Research Paper, “short-termism… has the potential to undermine future economic growth with the lack of long-term investment”, further citing 44% of executives surveyed claim they use a time horizon of less than 3 years for setting strategy, while 88% of this same group also believed using a longer time horizon to make decisions would increase performance and returns</w:t>
      </w:r>
      <w:r w:rsidR="007F2208" w:rsidRPr="00E1253A">
        <w:rPr>
          <w:color w:val="000000" w:themeColor="text1"/>
          <w:vertAlign w:val="superscript"/>
        </w:rPr>
        <w:footnoteReference w:id="175"/>
      </w:r>
      <w:r w:rsidR="007F2208" w:rsidRPr="00E1253A">
        <w:rPr>
          <w:color w:val="000000" w:themeColor="text1"/>
        </w:rPr>
        <w:t xml:space="preserve">. </w:t>
      </w:r>
    </w:p>
    <w:p w14:paraId="0187D97D" w14:textId="61B38897" w:rsidR="007F2208" w:rsidRPr="00E1253A" w:rsidRDefault="007F2208" w:rsidP="0012453C">
      <w:pPr>
        <w:spacing w:line="480" w:lineRule="auto"/>
        <w:ind w:firstLine="720"/>
        <w:jc w:val="both"/>
        <w:rPr>
          <w:color w:val="000000" w:themeColor="text1"/>
        </w:rPr>
      </w:pPr>
      <w:r w:rsidRPr="00E1253A">
        <w:rPr>
          <w:color w:val="000000" w:themeColor="text1"/>
        </w:rPr>
        <w:t>A 2016 survey conducted by State Street Bank reported that “a majority of retail investors view the ability to obtain long-term gains as more important than short-term outperformance”, while “75 percent of institutional investors [also] expected outperformance from ESG factors in three years or more”.</w:t>
      </w:r>
      <w:r w:rsidRPr="00E1253A">
        <w:rPr>
          <w:rStyle w:val="FootnoteReference"/>
          <w:color w:val="000000" w:themeColor="text1"/>
        </w:rPr>
        <w:footnoteReference w:id="176"/>
      </w:r>
      <w:r w:rsidRPr="00E1253A">
        <w:rPr>
          <w:color w:val="000000" w:themeColor="text1"/>
        </w:rPr>
        <w:t xml:space="preserve"> A 2018 publication by the Global Legal Group and Wachtell, Lipton, Rosen &amp; Katz cites the NYSE Commission on Corporate Governance’s claim, that “help[ing] the corporation build long-term, sustainable growth in value for shareholders and, by extension, other stakeholders”, has been repeatedly described by the commission as the “fundamental objective” of the board of directors.</w:t>
      </w:r>
      <w:r w:rsidRPr="00E1253A">
        <w:rPr>
          <w:color w:val="000000" w:themeColor="text1"/>
          <w:vertAlign w:val="superscript"/>
        </w:rPr>
        <w:footnoteReference w:id="177"/>
      </w:r>
      <w:r w:rsidRPr="00E1253A">
        <w:rPr>
          <w:color w:val="000000" w:themeColor="text1"/>
        </w:rPr>
        <w:t xml:space="preserve"> It is increasingly being argued by leading investment authorities, the “transparency of companies in terms of the target and the results of executive performance are also critical elements in determining the quality of the corporate governance of a company in relation to long-term performance”, while longer time frames in performance metrics tied executive compensation are signs of stronger governance. This presents an agency issue as the median CEO tenure at large-cap companies is a mere 5 years, while the median Director tenure at large companies is 7.5 years.</w:t>
      </w:r>
      <w:r w:rsidRPr="00E1253A">
        <w:rPr>
          <w:color w:val="000000" w:themeColor="text1"/>
          <w:vertAlign w:val="superscript"/>
        </w:rPr>
        <w:footnoteReference w:id="178"/>
      </w:r>
      <w:r w:rsidRPr="00E1253A">
        <w:rPr>
          <w:color w:val="000000" w:themeColor="text1"/>
        </w:rPr>
        <w:t xml:space="preserve"> This can create a conflict of interest when incentive structures for fiduciaries geared towards short-term profits are not adequately aligned with the interests of the corporation and its’ shareholders. Although there is evidence that officers and directors have a duty to consider the long-term in managing a corporation, there is also ambiguity with regard to how far into the future fiduciaries are tasked with considering in their carrying out their business duties, and when can a failure to consider these issues constitute a breach of duty. Practitioner insight and changing investor and consumer expectations, however, support a view that the focus of these duties is normatively evolving to become more long-term and sustainable in nature.</w:t>
      </w:r>
    </w:p>
    <w:p w14:paraId="3DA61C37" w14:textId="3687101A" w:rsidR="00BA1D79" w:rsidRPr="00E1253A" w:rsidRDefault="00BA1D79" w:rsidP="0012453C">
      <w:pPr>
        <w:spacing w:line="480" w:lineRule="auto"/>
        <w:ind w:firstLine="720"/>
        <w:jc w:val="both"/>
        <w:rPr>
          <w:color w:val="000000" w:themeColor="text1"/>
        </w:rPr>
      </w:pPr>
      <w:r w:rsidRPr="00E1253A">
        <w:rPr>
          <w:color w:val="000000" w:themeColor="text1"/>
        </w:rPr>
        <w:t>In the United States alone,  asset</w:t>
      </w:r>
      <w:r w:rsidR="002D2476">
        <w:rPr>
          <w:color w:val="000000" w:themeColor="text1"/>
        </w:rPr>
        <w:t>s</w:t>
      </w:r>
      <w:r w:rsidRPr="00E1253A">
        <w:rPr>
          <w:color w:val="000000" w:themeColor="text1"/>
        </w:rPr>
        <w:t xml:space="preserve"> under management utilizing sustainable strategies increased from $8.7 trillion in 2016 to $12.0 trillion in 2018, marking a 38 percent increase.</w:t>
      </w:r>
      <w:r w:rsidRPr="00E1253A">
        <w:rPr>
          <w:rStyle w:val="FootnoteReference"/>
          <w:color w:val="000000" w:themeColor="text1"/>
        </w:rPr>
        <w:footnoteReference w:id="179"/>
      </w:r>
      <w:r w:rsidRPr="00E1253A">
        <w:rPr>
          <w:color w:val="000000" w:themeColor="text1"/>
        </w:rPr>
        <w:t> While recent surveys demonstrate that 80 to 82% of global institutional investors now consider ESG data when making investment decisions.</w:t>
      </w:r>
      <w:r w:rsidRPr="00E1253A">
        <w:rPr>
          <w:rStyle w:val="FootnoteReference"/>
          <w:color w:val="000000" w:themeColor="text1"/>
        </w:rPr>
        <w:footnoteReference w:id="180"/>
      </w:r>
      <w:r w:rsidRPr="00E1253A">
        <w:rPr>
          <w:color w:val="000000" w:themeColor="text1"/>
          <w:vertAlign w:val="superscript"/>
        </w:rPr>
        <w:t> </w:t>
      </w:r>
      <w:r w:rsidRPr="00E1253A">
        <w:rPr>
          <w:color w:val="000000" w:themeColor="text1"/>
        </w:rPr>
        <w:t>There has also been a considerable rise in shareholder resolutions requesting disclosure of ESG issues,  both in the number of resolutions filed, and the support for these proposals when they are voted on. According to ISS, the average support for ESG resolutions rapidly expanded  from 7% in 2006 to 24% in 2018. Although these shareholder resolutions are non-binding (or ‘precatory’ in legal terms), companies are often complying with proposals receiving high levels of shareholder support to avoid reputational damages among shareholders and in the media. Yet, shareholder resolutions are only the tip of the iceberg when discussing shareholder engagement. The dialogue most commonly occurs in an informal manner first, through letters to management, or even engaging in direct conversation  with management in broader investor coalitions. When bilateral discussions fail, investors may turn to shareholders resolutions to increase pressure. Given the  increased impact of reputation on a business’ trading position in the market, ethics has become more important to making profits in the 21</w:t>
      </w:r>
      <w:r w:rsidRPr="00E1253A">
        <w:rPr>
          <w:color w:val="000000" w:themeColor="text1"/>
          <w:vertAlign w:val="superscript"/>
        </w:rPr>
        <w:t>st</w:t>
      </w:r>
      <w:r w:rsidRPr="00E1253A">
        <w:rPr>
          <w:color w:val="000000" w:themeColor="text1"/>
        </w:rPr>
        <w:t xml:space="preserve"> century new paradigm.</w:t>
      </w:r>
    </w:p>
    <w:p w14:paraId="564AF327" w14:textId="77777777" w:rsidR="007F2208" w:rsidRPr="00E1253A" w:rsidRDefault="00BA1D79" w:rsidP="0012453C">
      <w:pPr>
        <w:spacing w:line="480" w:lineRule="auto"/>
        <w:ind w:firstLine="360"/>
        <w:jc w:val="both"/>
        <w:rPr>
          <w:color w:val="000000" w:themeColor="text1"/>
        </w:rPr>
      </w:pPr>
      <w:r w:rsidRPr="00E1253A">
        <w:rPr>
          <w:color w:val="000000" w:themeColor="text1"/>
        </w:rPr>
        <w:t>The increasing evidence of institutional investors demanding ESG disclosures</w:t>
      </w:r>
      <w:r w:rsidR="007F2208" w:rsidRPr="00E1253A">
        <w:rPr>
          <w:color w:val="000000" w:themeColor="text1"/>
        </w:rPr>
        <w:t>, actively engaging reforms among industry leaders,</w:t>
      </w:r>
      <w:r w:rsidRPr="00E1253A">
        <w:rPr>
          <w:color w:val="000000" w:themeColor="text1"/>
        </w:rPr>
        <w:t xml:space="preserve"> and </w:t>
      </w:r>
      <w:r w:rsidR="007F2208" w:rsidRPr="00E1253A">
        <w:rPr>
          <w:color w:val="000000" w:themeColor="text1"/>
        </w:rPr>
        <w:t xml:space="preserve">increasingly </w:t>
      </w:r>
      <w:r w:rsidRPr="00E1253A">
        <w:rPr>
          <w:color w:val="000000" w:themeColor="text1"/>
        </w:rPr>
        <w:t>pricing these risks into their portfolios further reveals enterprise value encompasses broader metrics than quarterly accounting measures in the eyes of both business practitioners as well as the law. Governance quality has always been an important indicator of future enterprise value, as studies have repeatedly found “companies with quality governance system perform well in both sustainability as well as financial performance”, where firms in which “rule of laws are effectively implemented may maintain better image in the eyes of stakeholders and investors that ultimately contribute in business success”.</w:t>
      </w:r>
      <w:bookmarkStart w:id="297" w:name="OLE_LINK31"/>
      <w:bookmarkStart w:id="298" w:name="OLE_LINK32"/>
      <w:r w:rsidRPr="00E1253A">
        <w:rPr>
          <w:rStyle w:val="FootnoteReference"/>
          <w:color w:val="000000" w:themeColor="text1"/>
        </w:rPr>
        <w:footnoteReference w:id="181"/>
      </w:r>
      <w:r w:rsidRPr="00E1253A">
        <w:rPr>
          <w:color w:val="000000" w:themeColor="text1"/>
        </w:rPr>
        <w:t xml:space="preserve"> </w:t>
      </w:r>
      <w:bookmarkEnd w:id="297"/>
      <w:bookmarkEnd w:id="298"/>
      <w:r w:rsidRPr="00E1253A">
        <w:rPr>
          <w:color w:val="000000" w:themeColor="text1"/>
        </w:rPr>
        <w:t>Furthermore, a better governance structure “not only accounts for the claims of the shareholders but it also concerns the community and stakeholders”, helping to implement sustainable strategy and achieve improved sustainability performance.</w:t>
      </w:r>
      <w:r w:rsidRPr="00E1253A">
        <w:rPr>
          <w:rStyle w:val="FootnoteReference"/>
          <w:color w:val="000000" w:themeColor="text1"/>
        </w:rPr>
        <w:footnoteReference w:id="182"/>
      </w:r>
      <w:r w:rsidRPr="00E1253A">
        <w:rPr>
          <w:color w:val="000000" w:themeColor="text1"/>
        </w:rPr>
        <w:t xml:space="preserve"> A corporate counsel article by partner at Baker Botts, Amy Conway-Hatcher, and CEO of Alpha Advisory Partners, Sheila Hooda, warns corporate fiduciaries to “expect more scrutiny” along ESG dimensions as the “#MeToo” movement has been a “catalyst for change across business and society, [which] has forced a spotlight on culture as a critical corporate asset”</w:t>
      </w:r>
      <w:r w:rsidRPr="00E1253A">
        <w:rPr>
          <w:rStyle w:val="FootnoteReference"/>
          <w:color w:val="000000" w:themeColor="text1"/>
        </w:rPr>
        <w:footnoteReference w:id="183"/>
      </w:r>
      <w:r w:rsidRPr="00E1253A">
        <w:rPr>
          <w:color w:val="000000" w:themeColor="text1"/>
        </w:rPr>
        <w:t>. A 2015 publication by Linklaters reflects this view from the eyes of the legal profession by suggesting the world is currently making the transition from a normative and voluntary system, to a compliance based ESG framework.</w:t>
      </w:r>
      <w:r w:rsidRPr="00E1253A">
        <w:rPr>
          <w:rStyle w:val="FootnoteReference"/>
          <w:color w:val="000000" w:themeColor="text1"/>
        </w:rPr>
        <w:footnoteReference w:id="184"/>
      </w:r>
      <w:r w:rsidRPr="00E1253A">
        <w:rPr>
          <w:color w:val="000000" w:themeColor="text1"/>
        </w:rPr>
        <w:t xml:space="preserve"> The publication specifically warns corporations that that although the regulatory risks of non-compliance with these regulations are limited, the potential reputational and commercial damages from non-compliance may be significant as the broader movement for ESG and its disclosure gains traction. </w:t>
      </w:r>
    </w:p>
    <w:p w14:paraId="13F236C4" w14:textId="77777777" w:rsidR="007D5620" w:rsidRPr="00E1253A" w:rsidRDefault="00BA1D79" w:rsidP="0012453C">
      <w:pPr>
        <w:spacing w:line="480" w:lineRule="auto"/>
        <w:ind w:firstLine="360"/>
        <w:jc w:val="both"/>
        <w:rPr>
          <w:color w:val="000000" w:themeColor="text1"/>
        </w:rPr>
      </w:pPr>
      <w:r w:rsidRPr="00E1253A">
        <w:rPr>
          <w:color w:val="000000" w:themeColor="text1"/>
        </w:rPr>
        <w:t xml:space="preserve">Reputation is </w:t>
      </w:r>
      <w:r w:rsidR="007F2208" w:rsidRPr="00E1253A">
        <w:rPr>
          <w:color w:val="000000" w:themeColor="text1"/>
        </w:rPr>
        <w:t xml:space="preserve">also </w:t>
      </w:r>
      <w:r w:rsidRPr="00E1253A">
        <w:rPr>
          <w:color w:val="000000" w:themeColor="text1"/>
        </w:rPr>
        <w:t>important to financial well-being in being able to hire and keep talented employees, but also to avoid activist campaigns by consumers concerned by social and environmental issues. Thus, compliance to the normative ESG movement has an indirect link to businesses’ bottom-lines as consumers and investors increasingly demand verifiable ethical business practices from the businesses they choose to transact with. A Sidley Austin publication, for instance, reports that investors increasingly view CSR issues as interconnected with corporate values and financial performance. Specifically, the firm cites that 90% of investor respondents indicated CSR issues “played a pivotal role” in their investment decisions, also advising that “corporate investment in CSR not only enhances market and accounting performance, but also lowers the cost of capital, improves business reputation, and fosters new revenue growth when channeled to product innovation”.</w:t>
      </w:r>
      <w:r w:rsidRPr="00E1253A">
        <w:rPr>
          <w:color w:val="000000" w:themeColor="text1"/>
          <w:vertAlign w:val="superscript"/>
        </w:rPr>
        <w:footnoteReference w:id="185"/>
      </w:r>
      <w:r w:rsidRPr="00E1253A">
        <w:rPr>
          <w:color w:val="000000" w:themeColor="text1"/>
        </w:rPr>
        <w:t xml:space="preserve"> The publication advises that shareholder value should be the guiding principle but also suggests companies consider established benchmarks like the GRI, SASB, and even peer competitors in their respective industries. </w:t>
      </w:r>
    </w:p>
    <w:p w14:paraId="289537AF" w14:textId="5959A4FB" w:rsidR="00BA1D79" w:rsidRPr="00E1253A" w:rsidRDefault="00BA1D79" w:rsidP="0012453C">
      <w:pPr>
        <w:spacing w:line="480" w:lineRule="auto"/>
        <w:ind w:firstLine="360"/>
        <w:jc w:val="both"/>
        <w:rPr>
          <w:color w:val="000000" w:themeColor="text1"/>
        </w:rPr>
      </w:pPr>
      <w:r w:rsidRPr="00E1253A">
        <w:rPr>
          <w:color w:val="000000" w:themeColor="text1"/>
        </w:rPr>
        <w:t xml:space="preserve">As legal experts are increasingly recommending corporations must consider and manage these issues, and companies are pressured by competition to follow voluntary industry standards, the prudent business standard appears to be evolving to ordinarily consider these issues as important risk factors in the contemporary economy. Supporting corporate business ethics can increasingly be seen as a form of social risk management as misconduct becomes more costly and likely to be detected under the scrutiny-intensive and more value-conscious new paradigm. Where directors have a duty to protect shareholder  and enterprise interests, managing the production of information relating to negative ESG performance or unfair contracting is becoming increasingly important towards preserving enterprise value in the short, medium, and especially long-run. </w:t>
      </w:r>
    </w:p>
    <w:p w14:paraId="2DA7BE27" w14:textId="77777777" w:rsidR="006D7D87" w:rsidRPr="00E1253A" w:rsidRDefault="006D7D87" w:rsidP="006D7D87">
      <w:pPr>
        <w:spacing w:line="480" w:lineRule="auto"/>
        <w:ind w:firstLine="720"/>
        <w:jc w:val="both"/>
        <w:rPr>
          <w:color w:val="000000" w:themeColor="text1"/>
        </w:rPr>
      </w:pPr>
      <w:r w:rsidRPr="00E1253A">
        <w:rPr>
          <w:color w:val="000000" w:themeColor="text1"/>
        </w:rPr>
        <w:t>Shareholders “do not possess an inviolable legal or moral claim to the surplus generated by “their” corporations”, but rather, “shareholders represent a narrow segment of the public; working- and middle-class Americans own only a small fraction of corporate stock… [and] the interest of a small group of wealth shareholders in immediate payouts does not trump the interest of society at large”.</w:t>
      </w:r>
      <w:r w:rsidRPr="00E1253A">
        <w:rPr>
          <w:color w:val="000000" w:themeColor="text1"/>
          <w:vertAlign w:val="superscript"/>
        </w:rPr>
        <w:footnoteReference w:id="186"/>
      </w:r>
      <w:r w:rsidRPr="00E1253A">
        <w:rPr>
          <w:color w:val="000000" w:themeColor="text1"/>
        </w:rPr>
        <w:t xml:space="preserve"> Prioritizing current shareholders passive property claims on corporate resources makes long-term investment difficult and hurts innovation and future growth. Research has shown short-termism has consequences as “a reduction investment by one firm [in a demand-constrained economy such as the United States] will tend to reduce, not increase, investment by other firms”.</w:t>
      </w:r>
      <w:r w:rsidRPr="00E1253A">
        <w:rPr>
          <w:color w:val="000000" w:themeColor="text1"/>
          <w:vertAlign w:val="superscript"/>
        </w:rPr>
        <w:footnoteReference w:id="187"/>
      </w:r>
      <w:r w:rsidRPr="00E1253A">
        <w:rPr>
          <w:color w:val="000000" w:themeColor="text1"/>
        </w:rPr>
        <w:t xml:space="preserve"> However, when corporate fiduciaries play their role as a trustee for the enterprise and “invest more, it has a range of positive spillover effects for the development of technology, the dissemination of new skills, and more”.</w:t>
      </w:r>
      <w:r w:rsidRPr="00E1253A">
        <w:rPr>
          <w:color w:val="000000" w:themeColor="text1"/>
          <w:vertAlign w:val="superscript"/>
        </w:rPr>
        <w:footnoteReference w:id="188"/>
      </w:r>
      <w:r w:rsidRPr="00E1253A">
        <w:rPr>
          <w:color w:val="000000" w:themeColor="text1"/>
        </w:rPr>
        <w:t xml:space="preserve"> When corporations cease to invest, these benefits instead decline, and given the concentration of stock ownership in America—with just 4 percent of households owning a majority of all shares—short-termism thus exacerbates inequality.</w:t>
      </w:r>
      <w:r w:rsidRPr="00E1253A">
        <w:rPr>
          <w:color w:val="000000" w:themeColor="text1"/>
          <w:vertAlign w:val="superscript"/>
        </w:rPr>
        <w:footnoteReference w:id="189"/>
      </w:r>
      <w:r w:rsidRPr="00E1253A">
        <w:rPr>
          <w:color w:val="000000" w:themeColor="text1"/>
        </w:rPr>
        <w:t xml:space="preserve"> A narrow focus on short-term ﬁnancial results has been reported as “discouraging public companies from investment in research, innovation, technology and hiring, and private companies from going public”.</w:t>
      </w:r>
      <w:r w:rsidRPr="00E1253A">
        <w:rPr>
          <w:color w:val="000000" w:themeColor="text1"/>
          <w:vertAlign w:val="superscript"/>
        </w:rPr>
        <w:footnoteReference w:id="190"/>
      </w:r>
      <w:r w:rsidRPr="00E1253A">
        <w:rPr>
          <w:color w:val="000000" w:themeColor="text1"/>
        </w:rPr>
        <w:t xml:space="preserve"> </w:t>
      </w:r>
    </w:p>
    <w:p w14:paraId="5F1B1955" w14:textId="77777777" w:rsidR="006D7D87" w:rsidRPr="00E1253A" w:rsidRDefault="006D7D87" w:rsidP="0012453C">
      <w:pPr>
        <w:spacing w:line="480" w:lineRule="auto"/>
        <w:ind w:firstLine="360"/>
        <w:jc w:val="both"/>
        <w:rPr>
          <w:color w:val="000000" w:themeColor="text1"/>
        </w:rPr>
      </w:pPr>
    </w:p>
    <w:p w14:paraId="28A71877" w14:textId="19542110" w:rsidR="00CD1B9E" w:rsidRPr="00E1253A" w:rsidRDefault="00BA1D79" w:rsidP="006D3021">
      <w:pPr>
        <w:spacing w:line="480" w:lineRule="auto"/>
        <w:ind w:firstLine="360"/>
        <w:jc w:val="both"/>
        <w:rPr>
          <w:color w:val="000000" w:themeColor="text1"/>
        </w:rPr>
      </w:pPr>
      <w:r w:rsidRPr="00E1253A">
        <w:rPr>
          <w:color w:val="000000" w:themeColor="text1"/>
        </w:rPr>
        <w:t>In light of the historical origin of the corporation and its role in fostering investment in long-term, uncertain, and complex projects, a longer-view of corporate management only seems appropriate as well as necessary. Incentivizing investment into risky enterprise-specific assets was after all one of the principal benefits the corporate form was introduced to promote in society through the provision of government charters.</w:t>
      </w:r>
      <w:r w:rsidRPr="00E1253A">
        <w:rPr>
          <w:rStyle w:val="FootnoteReference"/>
          <w:color w:val="000000" w:themeColor="text1"/>
        </w:rPr>
        <w:footnoteReference w:id="191"/>
      </w:r>
      <w:r w:rsidRPr="00E1253A">
        <w:rPr>
          <w:color w:val="000000" w:themeColor="text1"/>
        </w:rPr>
        <w:t xml:space="preserve"> Moreover, the contractual individuality of the corporation as a distinct entity makes social reputation an especially important driver of value in the long-run. Transaction uncertainty, and information signaling theories reveal that risk-averse customers and suppliers are alert to signs of counterparty risk, and thus the role of the digital revolution has only made social capital more important to sustaining economic growth. Critical to enterprise value creation is the protection and enhancement of a corporation’s “Social License to Operate”, namely the implicit acceptance society awards companies. This is centrally linked to business ethics, stakeholder responsibilities, and the social contract—all of which impact the legitimacy and trading position of business in society.</w:t>
      </w:r>
      <w:bookmarkEnd w:id="290"/>
      <w:bookmarkEnd w:id="291"/>
    </w:p>
    <w:p w14:paraId="4B852BA4" w14:textId="77777777" w:rsidR="006D3021" w:rsidRPr="00E1253A" w:rsidRDefault="006D3021" w:rsidP="006D3021">
      <w:pPr>
        <w:spacing w:line="480" w:lineRule="auto"/>
        <w:ind w:firstLine="360"/>
        <w:jc w:val="both"/>
        <w:rPr>
          <w:color w:val="000000" w:themeColor="text1"/>
        </w:rPr>
      </w:pPr>
    </w:p>
    <w:p w14:paraId="3565C8F3" w14:textId="6565D58F" w:rsidR="0012453C" w:rsidRPr="00E1253A" w:rsidRDefault="00E87FA1" w:rsidP="006D3021">
      <w:pPr>
        <w:pStyle w:val="Heading2"/>
        <w:spacing w:line="480" w:lineRule="auto"/>
        <w:jc w:val="both"/>
      </w:pPr>
      <w:r w:rsidRPr="00E1253A">
        <w:t>Corporate</w:t>
      </w:r>
      <w:r w:rsidR="0012453C" w:rsidRPr="00E1253A">
        <w:t xml:space="preserve"> </w:t>
      </w:r>
      <w:r w:rsidR="00357C7F" w:rsidRPr="00E1253A">
        <w:t>Purpose</w:t>
      </w:r>
      <w:r w:rsidR="0012453C" w:rsidRPr="00E1253A">
        <w:t xml:space="preserve"> – Higher Duties</w:t>
      </w:r>
    </w:p>
    <w:p w14:paraId="43FB6468" w14:textId="0BFD5ACD" w:rsidR="000629B2" w:rsidRPr="00E1253A" w:rsidRDefault="00357C7F" w:rsidP="000629B2">
      <w:pPr>
        <w:spacing w:line="480" w:lineRule="auto"/>
        <w:ind w:firstLine="720"/>
        <w:jc w:val="both"/>
        <w:rPr>
          <w:color w:val="000000" w:themeColor="text1"/>
        </w:rPr>
      </w:pPr>
      <w:bookmarkStart w:id="299" w:name="OLE_LINK54"/>
      <w:bookmarkStart w:id="300" w:name="OLE_LINK55"/>
      <w:r w:rsidRPr="00E1253A">
        <w:rPr>
          <w:color w:val="000000" w:themeColor="text1"/>
        </w:rPr>
        <w:t>C</w:t>
      </w:r>
      <w:r w:rsidR="00002A1B" w:rsidRPr="00E1253A">
        <w:rPr>
          <w:color w:val="000000" w:themeColor="text1"/>
        </w:rPr>
        <w:t>orporations are credited with being the “engines of growth and prosperity in the United States since the beginning of the twentieth century, leading to an unprecedented increase in the standard of living and the development of extraordinarily innovative products and services”.</w:t>
      </w:r>
      <w:r w:rsidR="00002A1B" w:rsidRPr="00E1253A">
        <w:rPr>
          <w:color w:val="000000" w:themeColor="text1"/>
          <w:vertAlign w:val="superscript"/>
        </w:rPr>
        <w:footnoteReference w:id="192"/>
      </w:r>
      <w:r w:rsidR="00002A1B" w:rsidRPr="00E1253A">
        <w:rPr>
          <w:color w:val="000000" w:themeColor="text1"/>
        </w:rPr>
        <w:t xml:space="preserve"> Yet at the turn of the twenty-first century “the future prosperity of this engine of growth is being jeopardized by the short-term focus of many public companies on extracting value today instead of investing for the creation of value in the future”.</w:t>
      </w:r>
      <w:r w:rsidR="00002A1B" w:rsidRPr="00E1253A">
        <w:rPr>
          <w:color w:val="000000" w:themeColor="text1"/>
          <w:vertAlign w:val="superscript"/>
        </w:rPr>
        <w:footnoteReference w:id="193"/>
      </w:r>
      <w:r w:rsidR="00002A1B" w:rsidRPr="00E1253A">
        <w:rPr>
          <w:color w:val="000000" w:themeColor="text1"/>
        </w:rPr>
        <w:t xml:space="preserve"> </w:t>
      </w:r>
      <w:r w:rsidRPr="00E1253A">
        <w:rPr>
          <w:color w:val="000000" w:themeColor="text1"/>
        </w:rPr>
        <w:t xml:space="preserve">The shareholder-centric ownership conception of corporate purpose places current equity-holders’ passive property rights above all else, and has a tendency to promote short-termism, inefficiency, lagging productivity, and most egregiously, has allowed the violation of basic human rights and moral standards, and the destruction of the environment. </w:t>
      </w:r>
      <w:r w:rsidR="000B0E07" w:rsidRPr="00E1253A">
        <w:rPr>
          <w:color w:val="000000" w:themeColor="text1"/>
        </w:rPr>
        <w:t xml:space="preserve">The tensions between the shareholder primacy orthodoxy and an emerging new paradigm of sustainable finance and ESG investing reveals the necessity for public companies, their shareholders, and policy makers to begin to right the balance from quarterly capitalism pressures to a longer-term focus that harmonizes these competing interests with the larger social purpose of corporations. Thus, I propose an enterprise-centric conception of </w:t>
      </w:r>
      <w:r w:rsidR="00E50357" w:rsidRPr="00E1253A">
        <w:rPr>
          <w:color w:val="000000" w:themeColor="text1"/>
        </w:rPr>
        <w:t>the corporation as a “nexus of relationships” with the</w:t>
      </w:r>
      <w:r w:rsidR="000B0E07" w:rsidRPr="00E1253A">
        <w:rPr>
          <w:color w:val="000000" w:themeColor="text1"/>
        </w:rPr>
        <w:t xml:space="preserve"> </w:t>
      </w:r>
      <w:r w:rsidR="00E50357" w:rsidRPr="00E1253A">
        <w:rPr>
          <w:color w:val="000000" w:themeColor="text1"/>
        </w:rPr>
        <w:t>role</w:t>
      </w:r>
      <w:r w:rsidR="000B0E07" w:rsidRPr="00E1253A">
        <w:rPr>
          <w:color w:val="000000" w:themeColor="text1"/>
        </w:rPr>
        <w:t xml:space="preserve"> </w:t>
      </w:r>
      <w:r w:rsidR="00E50357" w:rsidRPr="00E1253A">
        <w:rPr>
          <w:color w:val="000000" w:themeColor="text1"/>
        </w:rPr>
        <w:t>of</w:t>
      </w:r>
      <w:r w:rsidR="000B0E07" w:rsidRPr="00E1253A">
        <w:rPr>
          <w:color w:val="000000" w:themeColor="text1"/>
        </w:rPr>
        <w:t xml:space="preserve"> fiduciaries acting as trustees for the long-term benefit of the enterprise and its most important stakeholders.</w:t>
      </w:r>
    </w:p>
    <w:p w14:paraId="641C64B0" w14:textId="6B0245AB" w:rsidR="00305967" w:rsidRPr="00E1253A" w:rsidRDefault="00E50357" w:rsidP="00DA7460">
      <w:pPr>
        <w:spacing w:line="480" w:lineRule="auto"/>
        <w:ind w:firstLine="720"/>
        <w:jc w:val="both"/>
        <w:rPr>
          <w:color w:val="000000" w:themeColor="text1"/>
        </w:rPr>
      </w:pPr>
      <w:r w:rsidRPr="00E1253A">
        <w:rPr>
          <w:color w:val="000000" w:themeColor="text1"/>
        </w:rPr>
        <w:t xml:space="preserve">An enterprise-centric conception of the corporation makes the objective of fiduciary duties the long-term value of the firm, rather than merely short-term profits. This enterprise-centric conception deviates from the reductionism of neoclassical economic theories that have misconstrued the nature of corporate governance to single agency relationship between shareholders and corporate agents. </w:t>
      </w:r>
      <w:r w:rsidR="00AE43EB" w:rsidRPr="00E1253A">
        <w:rPr>
          <w:color w:val="000000" w:themeColor="text1"/>
        </w:rPr>
        <w:t xml:space="preserve">Although this view acknowledges more stringent social and moral duties that preclude the violation of human rights, the law, and even prevailing ethical and social norms, it does not provide an explicit formula for corporations to balance various current and future interests with stakeholder interests. Thus, economic theory’s contributions for production efficiency remains an extremely useful and indispensable construct to provide an economic basis for which companies can assess and ultimately discriminate between various corporate decisions and investments. However, by viewing corporation as a “nexus of relationships,” it rather highlights the more humane, personal, and relational aspects that make corporations successful in society. Thus, stakeholders and other members of society are no longer viewed through the lens of detached contracting, but rather through the perspective of </w:t>
      </w:r>
      <w:r w:rsidR="004C2E08" w:rsidRPr="00E1253A">
        <w:rPr>
          <w:color w:val="000000" w:themeColor="text1"/>
        </w:rPr>
        <w:t xml:space="preserve">a long-term relationship. </w:t>
      </w:r>
    </w:p>
    <w:p w14:paraId="0FC76B53" w14:textId="706D0579" w:rsidR="00DA7460" w:rsidRPr="00E1253A" w:rsidRDefault="00305967" w:rsidP="00DA7460">
      <w:pPr>
        <w:spacing w:line="480" w:lineRule="auto"/>
        <w:ind w:firstLine="720"/>
        <w:jc w:val="both"/>
        <w:rPr>
          <w:color w:val="000000" w:themeColor="text1"/>
        </w:rPr>
      </w:pPr>
      <w:r w:rsidRPr="00E1253A">
        <w:rPr>
          <w:color w:val="000000" w:themeColor="text1"/>
        </w:rPr>
        <w:t>Given the misalignment between the time managers, directors, and shareholders have interests in the corporation, and all the potential interests all future shareholders will have in the corporation, fiduciaries cannot discriminate between one class of shareholders. Although the fiduciary duty of impartiality is especially relevant for long-term investment funds, it has application to all fiduciary contexts. A fiduciary “may be managing assets for multiple beneficiaries with current interests or for beneficiaries with interests that become active at different times”, and the duty of impartiality prevents discrimination between these groups.</w:t>
      </w:r>
      <w:r w:rsidRPr="00E1253A">
        <w:rPr>
          <w:color w:val="000000" w:themeColor="text1"/>
          <w:vertAlign w:val="superscript"/>
        </w:rPr>
        <w:footnoteReference w:id="194"/>
      </w:r>
      <w:r w:rsidRPr="00E1253A">
        <w:rPr>
          <w:color w:val="000000" w:themeColor="text1"/>
        </w:rPr>
        <w:t xml:space="preserve"> This duty is an extension of the duty of loyalty, which “requires the fiduciary to act in the best interests of the beneficiaries… [which] requires the trustee to consider the different needs of all present and future beneficiaries”.</w:t>
      </w:r>
      <w:r w:rsidRPr="00E1253A">
        <w:rPr>
          <w:color w:val="000000" w:themeColor="text1"/>
          <w:vertAlign w:val="superscript"/>
        </w:rPr>
        <w:footnoteReference w:id="195"/>
      </w:r>
      <w:r w:rsidRPr="00E1253A">
        <w:rPr>
          <w:color w:val="000000" w:themeColor="text1"/>
        </w:rPr>
        <w:t xml:space="preserve"> Given the perpetual life of the corporation, the importance it serves as a vehicle of national economic investment and growth, and all the many potential future beneficiaries of the enterprise, it would only be prudent to administer the enterprise as a trust. </w:t>
      </w:r>
    </w:p>
    <w:p w14:paraId="304F9B1D" w14:textId="3554C2F1" w:rsidR="00305967" w:rsidRPr="00E1253A" w:rsidRDefault="00305967" w:rsidP="00DA7460">
      <w:pPr>
        <w:spacing w:line="480" w:lineRule="auto"/>
        <w:ind w:firstLine="720"/>
        <w:jc w:val="both"/>
        <w:rPr>
          <w:color w:val="000000" w:themeColor="text1"/>
        </w:rPr>
      </w:pPr>
      <w:r w:rsidRPr="00E1253A">
        <w:rPr>
          <w:color w:val="000000" w:themeColor="text1"/>
        </w:rPr>
        <w:t xml:space="preserve">Moreover, given the nature of secondary markets where corporate shares are freely traded and ownership is frequently changing, there is an argument to be made that the public corporation represents a trust in a similar manner. Investors sacrifice liquidity for the time they hold their shares until it is sold to another buyer on the market. Thus, any individual on the public markets could be holding a security at a given point in time in a manner similar to beneficiaries of a trust or mutual fund whom sacrifice liquidity to the fund. By aiming at the long-run risk-adjusted annualized returns through an enlightened view that minimizes counterparty risks, invests in key intangible assets, and respects the interests and needs of a company’s most important stakeholders, corporate trustees can best serve all current and future beneficiaries of the enterprise.   </w:t>
      </w:r>
    </w:p>
    <w:p w14:paraId="267B5298" w14:textId="50951477" w:rsidR="00305967" w:rsidRPr="00E1253A" w:rsidRDefault="00305967" w:rsidP="00305967">
      <w:pPr>
        <w:spacing w:line="480" w:lineRule="auto"/>
        <w:ind w:firstLine="720"/>
        <w:jc w:val="both"/>
        <w:rPr>
          <w:color w:val="000000" w:themeColor="text1"/>
        </w:rPr>
      </w:pPr>
      <w:r w:rsidRPr="00E1253A">
        <w:rPr>
          <w:color w:val="000000" w:themeColor="text1"/>
        </w:rPr>
        <w:t>Harvard Business School Professors Joseph Bower and Lynn Paine have argued for a “company-centered” model, which underscores “the need for an approach to governance that takes the corporation seriously as an institution in society and centers on the sustained performance of the enterprise.</w:t>
      </w:r>
      <w:r w:rsidRPr="00E1253A">
        <w:rPr>
          <w:rStyle w:val="FootnoteReference"/>
          <w:color w:val="000000" w:themeColor="text1"/>
        </w:rPr>
        <w:footnoteReference w:id="196"/>
      </w:r>
      <w:r w:rsidRPr="00E1253A">
        <w:rPr>
          <w:color w:val="000000" w:themeColor="text1"/>
        </w:rPr>
        <w:t xml:space="preserve"> Their theory recognizes that, “corporations are independent entities serving multiple purposes and endowed by the law with the potential to endure over time”.</w:t>
      </w:r>
      <w:r w:rsidRPr="00E1253A">
        <w:rPr>
          <w:rStyle w:val="FootnoteReference"/>
          <w:color w:val="000000" w:themeColor="text1"/>
        </w:rPr>
        <w:footnoteReference w:id="197"/>
      </w:r>
      <w:r w:rsidRPr="00E1253A">
        <w:rPr>
          <w:color w:val="000000" w:themeColor="text1"/>
        </w:rPr>
        <w:t xml:space="preserve">  This</w:t>
      </w:r>
      <w:r w:rsidR="00DA7460" w:rsidRPr="00E1253A">
        <w:rPr>
          <w:color w:val="000000" w:themeColor="text1"/>
        </w:rPr>
        <w:t xml:space="preserve"> thesis’ </w:t>
      </w:r>
      <w:r w:rsidRPr="00E1253A">
        <w:rPr>
          <w:color w:val="000000" w:themeColor="text1"/>
        </w:rPr>
        <w:t xml:space="preserve">institutional political economy analysis of the modern corporation has likewise highlighted the quasi-public nature of the corporate form, and its key role in the corporatist economy. Corporations need to take a more enlightened view of their role in society that recognizes the larger socio-political significance of their existence in the modern political economy. </w:t>
      </w:r>
    </w:p>
    <w:p w14:paraId="10F878AE" w14:textId="5CA7BB1D" w:rsidR="00E50357" w:rsidRPr="00E1253A" w:rsidRDefault="00E50357" w:rsidP="004C2E08">
      <w:pPr>
        <w:spacing w:line="480" w:lineRule="auto"/>
        <w:ind w:firstLine="720"/>
        <w:jc w:val="both"/>
        <w:rPr>
          <w:color w:val="000000" w:themeColor="text1"/>
        </w:rPr>
      </w:pPr>
      <w:r w:rsidRPr="00E1253A">
        <w:rPr>
          <w:color w:val="000000" w:themeColor="text1"/>
        </w:rPr>
        <w:t>Shareholders “do not possess an inviolable legal or moral claim to the surplus generated by “their” corporations”, but rather, “shareholders represent a narrow segment of the public; working- and middle-class Americans own only a small fraction of corporate stock… [and] the interest of a small group of wealth shareholders in immediate payouts does not trump the interest of society at large”.</w:t>
      </w:r>
      <w:r w:rsidRPr="00E1253A">
        <w:rPr>
          <w:color w:val="000000" w:themeColor="text1"/>
          <w:vertAlign w:val="superscript"/>
        </w:rPr>
        <w:footnoteReference w:id="198"/>
      </w:r>
      <w:r w:rsidRPr="00E1253A">
        <w:rPr>
          <w:color w:val="000000" w:themeColor="text1"/>
        </w:rPr>
        <w:t xml:space="preserve"> Th</w:t>
      </w:r>
      <w:r w:rsidR="001C4C66" w:rsidRPr="00E1253A">
        <w:rPr>
          <w:color w:val="000000" w:themeColor="text1"/>
        </w:rPr>
        <w:t>e c</w:t>
      </w:r>
      <w:r w:rsidRPr="00E1253A">
        <w:rPr>
          <w:color w:val="000000" w:themeColor="text1"/>
        </w:rPr>
        <w:t>ontingent interest of a small group of passive property owners c</w:t>
      </w:r>
      <w:r w:rsidR="001C4C66" w:rsidRPr="00E1253A">
        <w:rPr>
          <w:color w:val="000000" w:themeColor="text1"/>
        </w:rPr>
        <w:t xml:space="preserve">annot be prioritized at the expense of the vast number of individuals in society who are affected by the power of corporate enterprises. This thesis has demonstrated that United States law in fact imposes no legal obligation on corporate directors to maximize shareholder profits. Not only is the optimization of profits </w:t>
      </w:r>
      <w:r w:rsidR="00DA7460" w:rsidRPr="00E1253A">
        <w:rPr>
          <w:color w:val="000000" w:themeColor="text1"/>
        </w:rPr>
        <w:t>impossible but</w:t>
      </w:r>
      <w:r w:rsidR="001C4C66" w:rsidRPr="00E1253A">
        <w:rPr>
          <w:color w:val="000000" w:themeColor="text1"/>
        </w:rPr>
        <w:t xml:space="preserve"> aiming for short-term measures of profitability ultimately undermines the long-term economic growth of the enterprise itself, as well as nation as a whole. </w:t>
      </w:r>
      <w:r w:rsidRPr="00E1253A">
        <w:rPr>
          <w:color w:val="000000" w:themeColor="text1"/>
        </w:rPr>
        <w:t xml:space="preserve">Instead, corporate governance requires a balancing of competing stakeholder claims </w:t>
      </w:r>
      <w:r w:rsidR="001C4C66" w:rsidRPr="00E1253A">
        <w:rPr>
          <w:color w:val="000000" w:themeColor="text1"/>
        </w:rPr>
        <w:t>to create the largest long-term surplus for the enterprise</w:t>
      </w:r>
      <w:bookmarkStart w:id="301" w:name="OLE_LINK821"/>
      <w:bookmarkStart w:id="302" w:name="OLE_LINK822"/>
      <w:r w:rsidR="00305967" w:rsidRPr="00E1253A">
        <w:rPr>
          <w:color w:val="000000" w:themeColor="text1"/>
        </w:rPr>
        <w:t xml:space="preserve"> by harnessing the diversity of interests that make the company successful. </w:t>
      </w:r>
    </w:p>
    <w:p w14:paraId="1FD9DDE8" w14:textId="77777777" w:rsidR="00305967" w:rsidRPr="00E1253A" w:rsidRDefault="00305967" w:rsidP="004C2E08">
      <w:pPr>
        <w:spacing w:line="480" w:lineRule="auto"/>
        <w:ind w:firstLine="720"/>
        <w:jc w:val="both"/>
        <w:rPr>
          <w:color w:val="000000" w:themeColor="text1"/>
        </w:rPr>
      </w:pPr>
      <w:r w:rsidRPr="00E1253A">
        <w:rPr>
          <w:color w:val="000000" w:themeColor="text1"/>
        </w:rPr>
        <w:t xml:space="preserve">This analysis has specifically emphasized the role of corporate fiduciaries to exercise their wide discretion to invest in the long-term viability of the enterprise. </w:t>
      </w:r>
      <w:r w:rsidR="004A7EF5" w:rsidRPr="00E1253A">
        <w:rPr>
          <w:color w:val="000000" w:themeColor="text1"/>
        </w:rPr>
        <w:t xml:space="preserve">Corporate fiduciaries are provided “powers in trust” to manage the firm in trust for the benefit of the corporation as a whole. The enterprise-centric conception underscores the social quasi-public function corporations play in society in emphasizing the ethical and social responsibilities of firms to society but does not deviate from the economic concepts of efficient production. Corporate fiduciary duties resemble those of trustees and these duties are owed to the corporation, and only through the corporation to its shareholders. </w:t>
      </w:r>
    </w:p>
    <w:p w14:paraId="04E70816" w14:textId="7C1C1523" w:rsidR="004C2E08" w:rsidRPr="00E1253A" w:rsidRDefault="00DA7460" w:rsidP="004C2E08">
      <w:pPr>
        <w:spacing w:line="480" w:lineRule="auto"/>
        <w:ind w:firstLine="720"/>
        <w:jc w:val="both"/>
        <w:rPr>
          <w:color w:val="000000" w:themeColor="text1"/>
        </w:rPr>
      </w:pPr>
      <w:r w:rsidRPr="00E1253A">
        <w:rPr>
          <w:color w:val="000000" w:themeColor="text1"/>
        </w:rPr>
        <w:t>Under this theory, regardless</w:t>
      </w:r>
      <w:r w:rsidR="004C2E08" w:rsidRPr="00E1253A">
        <w:rPr>
          <w:rFonts w:eastAsiaTheme="minorHAnsi"/>
          <w:color w:val="000000" w:themeColor="text1"/>
        </w:rPr>
        <w:t xml:space="preserve"> if corporate managers and directors do not owe primary fiduciary duties to non-shareholder constituents, it is increasingly in their own economic self-interest to meet the needs of the company’s most important stakeholders. However, I do not wish to simply advance an instrumental theory of corporate duties to stakeholders merely in their own interest. Instead, corporate entities should treat each and every stakeholder with maximum respect for their human agency. There </w:t>
      </w:r>
      <w:r w:rsidR="00305967" w:rsidRPr="00E1253A">
        <w:rPr>
          <w:rFonts w:eastAsiaTheme="minorHAnsi"/>
          <w:color w:val="000000" w:themeColor="text1"/>
        </w:rPr>
        <w:t xml:space="preserve">will naturally be more attention paid to the needs of stakeholders most central to the company, namely employees, but this does not preclude the company from being a good corporate citizen. </w:t>
      </w:r>
      <w:r w:rsidR="004C2E08" w:rsidRPr="00E1253A">
        <w:rPr>
          <w:rFonts w:eastAsiaTheme="minorHAnsi"/>
          <w:color w:val="000000" w:themeColor="text1"/>
        </w:rPr>
        <w:t xml:space="preserve">Thus, even if corporate managers and directors do not owe fiduciary duties directly to non-shareholder constituents, they nonetheless have morally significant duties to stakeholders across society in order to retain their social license to operate. </w:t>
      </w:r>
    </w:p>
    <w:bookmarkEnd w:id="299"/>
    <w:bookmarkEnd w:id="300"/>
    <w:bookmarkEnd w:id="301"/>
    <w:bookmarkEnd w:id="302"/>
    <w:p w14:paraId="6BC1502A" w14:textId="18F032BF" w:rsidR="00AE43EB" w:rsidRPr="00E1253A" w:rsidRDefault="00AE43EB" w:rsidP="00E2057F">
      <w:pPr>
        <w:spacing w:line="480" w:lineRule="auto"/>
        <w:jc w:val="both"/>
        <w:rPr>
          <w:color w:val="000000" w:themeColor="text1"/>
        </w:rPr>
      </w:pPr>
    </w:p>
    <w:p w14:paraId="1BAAE103" w14:textId="77777777" w:rsidR="00AC1DE2" w:rsidRPr="00E1253A" w:rsidRDefault="00AC1DE2" w:rsidP="00DA7460">
      <w:pPr>
        <w:pBdr>
          <w:top w:val="single" w:sz="4" w:space="1" w:color="auto"/>
        </w:pBdr>
        <w:spacing w:line="480" w:lineRule="auto"/>
        <w:jc w:val="both"/>
        <w:rPr>
          <w:color w:val="000000" w:themeColor="text1"/>
        </w:rPr>
      </w:pPr>
    </w:p>
    <w:p w14:paraId="6D75E99D" w14:textId="41928CBD" w:rsidR="007B2E8E" w:rsidRPr="00E1253A" w:rsidRDefault="007B2E8E" w:rsidP="0012453C">
      <w:pPr>
        <w:pStyle w:val="Heading1"/>
        <w:spacing w:line="480" w:lineRule="auto"/>
        <w:jc w:val="both"/>
      </w:pPr>
      <w:bookmarkStart w:id="303" w:name="OLE_LINK440"/>
      <w:bookmarkStart w:id="304" w:name="OLE_LINK441"/>
      <w:r w:rsidRPr="00E1253A">
        <w:t>Concl</w:t>
      </w:r>
      <w:r w:rsidR="00B84D81" w:rsidRPr="00E1253A">
        <w:t>uding Remarks</w:t>
      </w:r>
    </w:p>
    <w:bookmarkEnd w:id="303"/>
    <w:bookmarkEnd w:id="304"/>
    <w:p w14:paraId="4FB221BF" w14:textId="15FEC474" w:rsidR="000B0E07" w:rsidRPr="00E1253A" w:rsidRDefault="000B0E07" w:rsidP="000B0E07">
      <w:pPr>
        <w:spacing w:line="480" w:lineRule="auto"/>
        <w:ind w:firstLine="720"/>
        <w:jc w:val="both"/>
        <w:rPr>
          <w:color w:val="000000" w:themeColor="text1"/>
        </w:rPr>
      </w:pPr>
      <w:r w:rsidRPr="00E1253A">
        <w:rPr>
          <w:color w:val="000000" w:themeColor="text1"/>
        </w:rPr>
        <w:t xml:space="preserve">In this thesis I </w:t>
      </w:r>
      <w:r w:rsidR="00E95C2F" w:rsidRPr="00E1253A">
        <w:rPr>
          <w:color w:val="000000" w:themeColor="text1"/>
        </w:rPr>
        <w:t xml:space="preserve">have addressed the question over the purpose of the modern corporation through an institutional political economy analysis. This analysis has not only </w:t>
      </w:r>
      <w:r w:rsidRPr="00E1253A">
        <w:rPr>
          <w:color w:val="000000" w:themeColor="text1"/>
        </w:rPr>
        <w:t xml:space="preserve">revealed the inconsistencies of the neoclassical conception of the firm as a purely private entity defined in solely economic </w:t>
      </w:r>
      <w:r w:rsidR="005131BF" w:rsidRPr="00E1253A">
        <w:rPr>
          <w:color w:val="000000" w:themeColor="text1"/>
        </w:rPr>
        <w:t>terms but</w:t>
      </w:r>
      <w:r w:rsidR="00E95C2F" w:rsidRPr="00E1253A">
        <w:rPr>
          <w:color w:val="000000" w:themeColor="text1"/>
        </w:rPr>
        <w:t xml:space="preserve"> has further </w:t>
      </w:r>
      <w:r w:rsidRPr="00E1253A">
        <w:rPr>
          <w:color w:val="000000" w:themeColor="text1"/>
        </w:rPr>
        <w:t xml:space="preserve">demonstrated that United States corporate law in fact imposes no </w:t>
      </w:r>
      <w:r w:rsidR="00E95C2F" w:rsidRPr="00E1253A">
        <w:rPr>
          <w:color w:val="000000" w:themeColor="text1"/>
        </w:rPr>
        <w:t xml:space="preserve">obligation on companies to maximize shareholder profits. </w:t>
      </w:r>
      <w:r w:rsidR="00EE2B3E" w:rsidRPr="00E1253A">
        <w:rPr>
          <w:color w:val="000000" w:themeColor="text1"/>
        </w:rPr>
        <w:t>By drawing attention to the anomalous features</w:t>
      </w:r>
      <w:r w:rsidR="00F26183" w:rsidRPr="00E1253A">
        <w:rPr>
          <w:color w:val="000000" w:themeColor="text1"/>
        </w:rPr>
        <w:t xml:space="preserve"> provided by state power, the political powers and threats posed by modern corporation</w:t>
      </w:r>
      <w:r w:rsidR="008269E4">
        <w:rPr>
          <w:color w:val="000000" w:themeColor="text1"/>
        </w:rPr>
        <w:t>s</w:t>
      </w:r>
      <w:r w:rsidR="00F26183" w:rsidRPr="00E1253A">
        <w:rPr>
          <w:color w:val="000000" w:themeColor="text1"/>
        </w:rPr>
        <w:t xml:space="preserve">, the governing authority over corporate employees and assets, and the role of corporate governance in ensuring the legitimacy of corporate power, this thesis </w:t>
      </w:r>
      <w:r w:rsidR="00EE2B3E" w:rsidRPr="00E1253A">
        <w:rPr>
          <w:color w:val="000000" w:themeColor="text1"/>
        </w:rPr>
        <w:t>contributes a new conceptual model of the modern corporation</w:t>
      </w:r>
      <w:r w:rsidR="00F26183" w:rsidRPr="00E1253A">
        <w:rPr>
          <w:color w:val="000000" w:themeColor="text1"/>
        </w:rPr>
        <w:t xml:space="preserve">. By emphasizing the </w:t>
      </w:r>
      <w:r w:rsidR="00EE2B3E" w:rsidRPr="00E1253A">
        <w:rPr>
          <w:color w:val="000000" w:themeColor="text1"/>
        </w:rPr>
        <w:t xml:space="preserve">distinctly quasi-public </w:t>
      </w:r>
      <w:r w:rsidR="00F26183" w:rsidRPr="00E1253A">
        <w:rPr>
          <w:color w:val="000000" w:themeColor="text1"/>
        </w:rPr>
        <w:t>nature of the corporation and the interrelations between markets, states, politics, and corporations</w:t>
      </w:r>
      <w:r w:rsidR="008269E4">
        <w:rPr>
          <w:color w:val="000000" w:themeColor="text1"/>
        </w:rPr>
        <w:t xml:space="preserve">, </w:t>
      </w:r>
      <w:r w:rsidR="00F26183" w:rsidRPr="00E1253A">
        <w:rPr>
          <w:color w:val="000000" w:themeColor="text1"/>
        </w:rPr>
        <w:t>this thesis has provided key insight into the substance and evolution of corporations in society that the existing scholarship and the current paradigm fails to consider.</w:t>
      </w:r>
    </w:p>
    <w:p w14:paraId="5A0F4A06" w14:textId="2ABE257F" w:rsidR="005131BF" w:rsidRPr="00E1253A" w:rsidRDefault="00034B2C" w:rsidP="00034B2C">
      <w:pPr>
        <w:spacing w:line="480" w:lineRule="auto"/>
        <w:jc w:val="both"/>
        <w:rPr>
          <w:color w:val="000000" w:themeColor="text1"/>
        </w:rPr>
      </w:pPr>
      <w:r w:rsidRPr="00E1253A">
        <w:rPr>
          <w:color w:val="000000" w:themeColor="text1"/>
        </w:rPr>
        <w:tab/>
        <w:t>The dominant paradigm of the neoclassical conception of the firm as a purely ‘private’ e</w:t>
      </w:r>
      <w:r w:rsidR="000A3201" w:rsidRPr="00E1253A">
        <w:rPr>
          <w:color w:val="000000" w:themeColor="text1"/>
        </w:rPr>
        <w:t>ntity is at once theoretically flawed, empirically inaccurate, and prudentially destructive. By construing shareholder rights with those of traditional property owners, this conception ultimately mistakes the shareholder-fiduciary relationship as the only agency relationship of interest</w:t>
      </w:r>
      <w:r w:rsidR="005131BF" w:rsidRPr="00E1253A">
        <w:rPr>
          <w:color w:val="000000" w:themeColor="text1"/>
        </w:rPr>
        <w:t xml:space="preserve">, </w:t>
      </w:r>
      <w:r w:rsidR="000A3201" w:rsidRPr="00E1253A">
        <w:rPr>
          <w:color w:val="000000" w:themeColor="text1"/>
        </w:rPr>
        <w:t>fixat</w:t>
      </w:r>
      <w:r w:rsidR="005131BF" w:rsidRPr="00E1253A">
        <w:rPr>
          <w:color w:val="000000" w:themeColor="text1"/>
        </w:rPr>
        <w:t>ing</w:t>
      </w:r>
      <w:r w:rsidR="000A3201" w:rsidRPr="00E1253A">
        <w:rPr>
          <w:color w:val="000000" w:themeColor="text1"/>
        </w:rPr>
        <w:t xml:space="preserve"> corporate management on short-term measures of profits. </w:t>
      </w:r>
      <w:r w:rsidR="00B84D81" w:rsidRPr="00E1253A">
        <w:rPr>
          <w:color w:val="000000" w:themeColor="text1"/>
        </w:rPr>
        <w:t>Moreover</w:t>
      </w:r>
      <w:r w:rsidR="000A3201" w:rsidRPr="00E1253A">
        <w:rPr>
          <w:color w:val="000000" w:themeColor="text1"/>
        </w:rPr>
        <w:t xml:space="preserve">, </w:t>
      </w:r>
      <w:r w:rsidR="005131BF" w:rsidRPr="00E1253A">
        <w:rPr>
          <w:color w:val="000000" w:themeColor="text1"/>
        </w:rPr>
        <w:t>it was demonstrated that this</w:t>
      </w:r>
      <w:r w:rsidR="000A3201" w:rsidRPr="00E1253A">
        <w:rPr>
          <w:color w:val="000000" w:themeColor="text1"/>
        </w:rPr>
        <w:t xml:space="preserve"> view fundamentally fails to see the importance of other non-financial</w:t>
      </w:r>
      <w:r w:rsidR="005131BF" w:rsidRPr="00E1253A">
        <w:rPr>
          <w:color w:val="000000" w:themeColor="text1"/>
        </w:rPr>
        <w:t xml:space="preserve"> less easily</w:t>
      </w:r>
      <w:r w:rsidR="000A3201" w:rsidRPr="00E1253A">
        <w:rPr>
          <w:color w:val="000000" w:themeColor="text1"/>
        </w:rPr>
        <w:t xml:space="preserve"> measurable determinants of corporate success including enterprise-specific investments, supporting key employees, investing in the quality of stakeholder relationships, and the development of intangible value more broadly. </w:t>
      </w:r>
    </w:p>
    <w:p w14:paraId="06D72EE1" w14:textId="511D0839" w:rsidR="000A3201" w:rsidRPr="00E1253A" w:rsidRDefault="000A3201" w:rsidP="005131BF">
      <w:pPr>
        <w:spacing w:line="480" w:lineRule="auto"/>
        <w:ind w:firstLine="720"/>
        <w:jc w:val="both"/>
        <w:rPr>
          <w:color w:val="000000" w:themeColor="text1"/>
        </w:rPr>
      </w:pPr>
      <w:r w:rsidRPr="00E1253A">
        <w:rPr>
          <w:color w:val="000000" w:themeColor="text1"/>
        </w:rPr>
        <w:t xml:space="preserve">This institutional political analysis </w:t>
      </w:r>
      <w:r w:rsidR="0047076D" w:rsidRPr="00E1253A">
        <w:rPr>
          <w:color w:val="000000" w:themeColor="text1"/>
        </w:rPr>
        <w:t xml:space="preserve">has aimed to resituate societies dominant institution within the socio-political determinations that determine what makes a business truly successful in society. By highlighting the central role of entrepreneurship in society, I have demonstrated the inherent connection between solving societal problems and creating shared value across society </w:t>
      </w:r>
      <w:r w:rsidR="005131BF" w:rsidRPr="00E1253A">
        <w:rPr>
          <w:color w:val="000000" w:themeColor="text1"/>
        </w:rPr>
        <w:t>with</w:t>
      </w:r>
      <w:r w:rsidR="0047076D" w:rsidRPr="00E1253A">
        <w:rPr>
          <w:color w:val="000000" w:themeColor="text1"/>
        </w:rPr>
        <w:t xml:space="preserve"> business success. </w:t>
      </w:r>
      <w:r w:rsidR="005F745F" w:rsidRPr="00E1253A">
        <w:rPr>
          <w:color w:val="000000" w:themeColor="text1"/>
        </w:rPr>
        <w:t>Through analysis of</w:t>
      </w:r>
      <w:r w:rsidR="0047076D" w:rsidRPr="00E1253A">
        <w:rPr>
          <w:color w:val="000000" w:themeColor="text1"/>
        </w:rPr>
        <w:t xml:space="preserve"> the institutional dynamics between the state, market, politics, and corporation I have shown the interrelations between the political dynamics </w:t>
      </w:r>
      <w:r w:rsidR="005131BF" w:rsidRPr="00E1253A">
        <w:rPr>
          <w:color w:val="000000" w:themeColor="text1"/>
        </w:rPr>
        <w:t>that</w:t>
      </w:r>
      <w:r w:rsidR="0047076D" w:rsidRPr="00E1253A">
        <w:rPr>
          <w:color w:val="000000" w:themeColor="text1"/>
        </w:rPr>
        <w:t xml:space="preserve"> </w:t>
      </w:r>
      <w:r w:rsidR="005131BF" w:rsidRPr="00E1253A">
        <w:rPr>
          <w:color w:val="000000" w:themeColor="text1"/>
        </w:rPr>
        <w:t>construct and maintain</w:t>
      </w:r>
      <w:r w:rsidR="0047076D" w:rsidRPr="00E1253A">
        <w:rPr>
          <w:color w:val="000000" w:themeColor="text1"/>
        </w:rPr>
        <w:t xml:space="preserve"> the </w:t>
      </w:r>
      <w:r w:rsidR="00950207" w:rsidRPr="00E1253A">
        <w:rPr>
          <w:color w:val="000000" w:themeColor="text1"/>
        </w:rPr>
        <w:t xml:space="preserve">integrity of the </w:t>
      </w:r>
      <w:r w:rsidR="0047076D" w:rsidRPr="00E1253A">
        <w:rPr>
          <w:color w:val="000000" w:themeColor="text1"/>
        </w:rPr>
        <w:t xml:space="preserve">market. </w:t>
      </w:r>
      <w:r w:rsidR="005131BF" w:rsidRPr="00E1253A">
        <w:rPr>
          <w:color w:val="000000" w:themeColor="text1"/>
        </w:rPr>
        <w:t>Importantly</w:t>
      </w:r>
      <w:r w:rsidR="005F745F" w:rsidRPr="00E1253A">
        <w:rPr>
          <w:color w:val="000000" w:themeColor="text1"/>
        </w:rPr>
        <w:t xml:space="preserve">, through consideration of the philosophical basis of individual freedom and autonomy, I have shown that </w:t>
      </w:r>
      <w:r w:rsidR="005131BF" w:rsidRPr="00E1253A">
        <w:rPr>
          <w:color w:val="000000" w:themeColor="text1"/>
        </w:rPr>
        <w:t xml:space="preserve">the </w:t>
      </w:r>
      <w:r w:rsidR="005F745F" w:rsidRPr="00E1253A">
        <w:rPr>
          <w:color w:val="000000" w:themeColor="text1"/>
        </w:rPr>
        <w:t xml:space="preserve">corporate governance is a dynamic process that seeks to </w:t>
      </w:r>
      <w:r w:rsidR="00950207" w:rsidRPr="00E1253A">
        <w:rPr>
          <w:color w:val="000000" w:themeColor="text1"/>
        </w:rPr>
        <w:t>balance</w:t>
      </w:r>
      <w:r w:rsidR="005F745F" w:rsidRPr="00E1253A">
        <w:rPr>
          <w:color w:val="000000" w:themeColor="text1"/>
        </w:rPr>
        <w:t xml:space="preserve"> the concentration of power in </w:t>
      </w:r>
      <w:r w:rsidR="00950207" w:rsidRPr="00E1253A">
        <w:rPr>
          <w:color w:val="000000" w:themeColor="text1"/>
        </w:rPr>
        <w:t xml:space="preserve">society in line with the democratic tradition of society. </w:t>
      </w:r>
      <w:r w:rsidR="00E2057F" w:rsidRPr="00E1253A">
        <w:rPr>
          <w:color w:val="000000" w:themeColor="text1"/>
        </w:rPr>
        <w:t xml:space="preserve">In turn, political economic analysis reveals the dual role of the processes of corporate governance to both ensure economic performance, and </w:t>
      </w:r>
      <w:r w:rsidR="008269E4">
        <w:rPr>
          <w:color w:val="000000" w:themeColor="text1"/>
        </w:rPr>
        <w:t xml:space="preserve">the </w:t>
      </w:r>
      <w:r w:rsidR="00E2057F" w:rsidRPr="00E1253A">
        <w:rPr>
          <w:color w:val="000000" w:themeColor="text1"/>
        </w:rPr>
        <w:t xml:space="preserve">legitimacy of corporate power in society. </w:t>
      </w:r>
    </w:p>
    <w:p w14:paraId="4330638A" w14:textId="4BB3122A" w:rsidR="00950207" w:rsidRPr="00E1253A" w:rsidRDefault="00B84D81" w:rsidP="00E72428">
      <w:pPr>
        <w:spacing w:line="480" w:lineRule="auto"/>
        <w:ind w:firstLine="720"/>
        <w:jc w:val="both"/>
        <w:rPr>
          <w:color w:val="000000" w:themeColor="text1"/>
        </w:rPr>
      </w:pPr>
      <w:r w:rsidRPr="00E1253A">
        <w:rPr>
          <w:color w:val="000000" w:themeColor="text1"/>
        </w:rPr>
        <w:t xml:space="preserve">Application of this analysis of corporate powers </w:t>
      </w:r>
      <w:r w:rsidR="001E4D13" w:rsidRPr="00E1253A">
        <w:rPr>
          <w:color w:val="000000" w:themeColor="text1"/>
        </w:rPr>
        <w:t xml:space="preserve">to United States corporate law, historical developments, and the emerging new paradigm in the digital age has demonstrated the centrality of the quality of stakeholder relationships, management of environmental risks, and ethical behavior are to mitigating risk in an increasingly scrutiny-intensive world. </w:t>
      </w:r>
      <w:r w:rsidR="00676A80" w:rsidRPr="00E1253A">
        <w:rPr>
          <w:color w:val="000000" w:themeColor="text1"/>
        </w:rPr>
        <w:t xml:space="preserve">In light of these findings and developments, this paper has argued that regardless if corporate directors do not owe fiduciary duties to non-shareholder stakeholders, contracts between these groups and a firm create moral and legal obligations that are every bit as binding as those owed to shareholders. Thus, </w:t>
      </w:r>
      <w:r w:rsidR="00E72428" w:rsidRPr="00E1253A">
        <w:rPr>
          <w:color w:val="000000" w:themeColor="text1"/>
        </w:rPr>
        <w:t xml:space="preserve">in a world where it is becoming increasingly costly and difficult to control the production of information about scandalous, unethical, and unsustainable practices, it is becoming imperative that businesses take a more enlightened view to their role in society. A failure to take note of these developments can ultimately undermine a firm’s social capital and trading position, result in a loss of trust and confidence, and will likely contribute to a countervailing force of social fragmentation that will disperse and limit the concentration of corporate power. </w:t>
      </w:r>
      <w:r w:rsidR="00E2057F" w:rsidRPr="00E1253A">
        <w:rPr>
          <w:color w:val="000000" w:themeColor="text1"/>
        </w:rPr>
        <w:t xml:space="preserve"> </w:t>
      </w:r>
    </w:p>
    <w:p w14:paraId="06A5CA4E" w14:textId="77777777" w:rsidR="007B2E8E" w:rsidRPr="00E1253A" w:rsidRDefault="007B2E8E" w:rsidP="0012453C">
      <w:pPr>
        <w:spacing w:line="480" w:lineRule="auto"/>
        <w:jc w:val="both"/>
        <w:rPr>
          <w:color w:val="000000" w:themeColor="text1"/>
        </w:rPr>
      </w:pPr>
    </w:p>
    <w:bookmarkEnd w:id="204"/>
    <w:p w14:paraId="4E446ABD" w14:textId="3C237BDA" w:rsidR="007B2E8E" w:rsidRPr="00E1253A" w:rsidRDefault="007B2E8E" w:rsidP="0012453C">
      <w:pPr>
        <w:pStyle w:val="Heading2"/>
        <w:numPr>
          <w:ilvl w:val="0"/>
          <w:numId w:val="0"/>
        </w:numPr>
        <w:spacing w:line="480" w:lineRule="auto"/>
        <w:ind w:left="1260"/>
        <w:contextualSpacing w:val="0"/>
        <w:jc w:val="both"/>
      </w:pPr>
    </w:p>
    <w:p w14:paraId="591210D9" w14:textId="77777777" w:rsidR="007B2E8E" w:rsidRPr="00E1253A" w:rsidRDefault="007B2E8E" w:rsidP="0012453C">
      <w:pPr>
        <w:spacing w:line="480" w:lineRule="auto"/>
        <w:jc w:val="both"/>
        <w:rPr>
          <w:color w:val="000000" w:themeColor="text1"/>
        </w:rPr>
      </w:pPr>
    </w:p>
    <w:p w14:paraId="68E4CC02" w14:textId="54A32196" w:rsidR="00DA7460" w:rsidRPr="00E1253A" w:rsidRDefault="00DA7460" w:rsidP="00DA7460">
      <w:pPr>
        <w:spacing w:line="480" w:lineRule="auto"/>
        <w:ind w:firstLine="720"/>
        <w:jc w:val="both"/>
        <w:rPr>
          <w:color w:val="000000" w:themeColor="text1"/>
        </w:rPr>
      </w:pPr>
    </w:p>
    <w:p w14:paraId="69D461A9" w14:textId="77777777" w:rsidR="007B2E8E" w:rsidRPr="00E1253A" w:rsidRDefault="007B2E8E" w:rsidP="0012453C">
      <w:pPr>
        <w:spacing w:line="480" w:lineRule="auto"/>
        <w:jc w:val="both"/>
        <w:rPr>
          <w:color w:val="000000" w:themeColor="text1"/>
        </w:rPr>
      </w:pPr>
    </w:p>
    <w:p w14:paraId="3BEF91E1" w14:textId="77777777" w:rsidR="007B2E8E" w:rsidRPr="00E1253A" w:rsidRDefault="007B2E8E" w:rsidP="0012453C">
      <w:pPr>
        <w:spacing w:line="480" w:lineRule="auto"/>
        <w:jc w:val="both"/>
        <w:rPr>
          <w:color w:val="000000" w:themeColor="text1"/>
        </w:rPr>
      </w:pPr>
    </w:p>
    <w:sectPr w:rsidR="007B2E8E" w:rsidRPr="00E1253A" w:rsidSect="00940907">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7DA0E" w14:textId="77777777" w:rsidR="005742E3" w:rsidRDefault="005742E3" w:rsidP="009C3444">
      <w:r>
        <w:separator/>
      </w:r>
    </w:p>
  </w:endnote>
  <w:endnote w:type="continuationSeparator" w:id="0">
    <w:p w14:paraId="714A9F91" w14:textId="77777777" w:rsidR="005742E3" w:rsidRDefault="005742E3" w:rsidP="009C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YaleNew">
    <w:panose1 w:val="02000602050000020003"/>
    <w:charset w:val="4D"/>
    <w:family w:val="auto"/>
    <w:notTrueType/>
    <w:pitch w:val="variable"/>
    <w:sig w:usb0="800000AF" w:usb1="5000407B"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31211931"/>
      <w:docPartObj>
        <w:docPartGallery w:val="Page Numbers (Bottom of Page)"/>
        <w:docPartUnique/>
      </w:docPartObj>
    </w:sdtPr>
    <w:sdtContent>
      <w:p w14:paraId="7A136AB2" w14:textId="20972CB6" w:rsidR="002D2476" w:rsidRDefault="002D2476" w:rsidP="002D09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105180" w14:textId="77777777" w:rsidR="002D2476" w:rsidRDefault="002D2476" w:rsidP="008759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27308286"/>
      <w:docPartObj>
        <w:docPartGallery w:val="Page Numbers (Bottom of Page)"/>
        <w:docPartUnique/>
      </w:docPartObj>
    </w:sdtPr>
    <w:sdtContent>
      <w:p w14:paraId="5B5DE5F6" w14:textId="0672F87A" w:rsidR="002D2476" w:rsidRDefault="002D2476" w:rsidP="002D09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F6D534" w14:textId="77777777" w:rsidR="002D2476" w:rsidRDefault="002D2476" w:rsidP="008759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17849" w14:textId="77777777" w:rsidR="005742E3" w:rsidRDefault="005742E3" w:rsidP="009C3444">
      <w:r>
        <w:separator/>
      </w:r>
    </w:p>
  </w:footnote>
  <w:footnote w:type="continuationSeparator" w:id="0">
    <w:p w14:paraId="4DE2A932" w14:textId="77777777" w:rsidR="005742E3" w:rsidRDefault="005742E3" w:rsidP="009C3444">
      <w:r>
        <w:continuationSeparator/>
      </w:r>
    </w:p>
  </w:footnote>
  <w:footnote w:id="1">
    <w:p w14:paraId="13568AFE" w14:textId="5BBEAB0C" w:rsidR="002D2476" w:rsidRPr="001E49E8" w:rsidRDefault="002D2476" w:rsidP="001E49E8">
      <w:pPr>
        <w:pStyle w:val="FootnoteText"/>
      </w:pPr>
      <w:r w:rsidRPr="001E49E8">
        <w:rPr>
          <w:rStyle w:val="FootnoteReference"/>
        </w:rPr>
        <w:footnoteRef/>
      </w:r>
      <w:r w:rsidRPr="001E49E8">
        <w:t xml:space="preserve"> David J. Rothkopf, Power, Inc.: The Epic Rivalry Between Big Business and Government – and the Reckoning That Lies Ahead, Toronto: Penguin Group, 2012</w:t>
      </w:r>
    </w:p>
  </w:footnote>
  <w:footnote w:id="2">
    <w:p w14:paraId="411116A8" w14:textId="17EFBC6D" w:rsidR="002D2476" w:rsidRPr="001E49E8" w:rsidRDefault="002D2476" w:rsidP="001E49E8">
      <w:pPr>
        <w:pStyle w:val="FootnoteText"/>
      </w:pPr>
      <w:r w:rsidRPr="001E49E8">
        <w:rPr>
          <w:rStyle w:val="FootnoteReference"/>
        </w:rPr>
        <w:footnoteRef/>
      </w:r>
      <w:r w:rsidRPr="001E49E8">
        <w:t xml:space="preserve"> The Papers of Thomas Jefferson, Retirement Series, vol. 10, May 1816 to 18 January 1817, ed. J. Jefferson Looney. Princeton: Princeton University Press, 2013, pp. 521–522.</w:t>
      </w:r>
    </w:p>
  </w:footnote>
  <w:footnote w:id="3">
    <w:p w14:paraId="479F04CC" w14:textId="77777777" w:rsidR="002D2476" w:rsidRPr="001E49E8" w:rsidRDefault="002D2476" w:rsidP="001E49E8">
      <w:pPr>
        <w:pStyle w:val="FootnoteText"/>
      </w:pPr>
      <w:r w:rsidRPr="001E49E8">
        <w:rPr>
          <w:rStyle w:val="FootnoteReference"/>
        </w:rPr>
        <w:footnoteRef/>
      </w:r>
      <w:r w:rsidRPr="001E49E8">
        <w:t xml:space="preserve"> K. Greenfield, “New Principles for Corporate Law,” </w:t>
      </w:r>
      <w:r w:rsidRPr="001E49E8">
        <w:rPr>
          <w:i/>
          <w:iCs/>
        </w:rPr>
        <w:t xml:space="preserve">Hastings Business Law Journal </w:t>
      </w:r>
      <w:r w:rsidRPr="001E49E8">
        <w:t>1 (May 2005): 87-118</w:t>
      </w:r>
    </w:p>
  </w:footnote>
  <w:footnote w:id="4">
    <w:p w14:paraId="1C2C3F69" w14:textId="77777777" w:rsidR="002D2476" w:rsidRPr="001E49E8" w:rsidRDefault="002D2476" w:rsidP="001E49E8">
      <w:pPr>
        <w:pStyle w:val="FootnoteText"/>
      </w:pPr>
      <w:r w:rsidRPr="001E49E8">
        <w:rPr>
          <w:rStyle w:val="FootnoteReference"/>
        </w:rPr>
        <w:footnoteRef/>
      </w:r>
      <w:r w:rsidRPr="001E49E8">
        <w:t xml:space="preserve"> Jesse H. Choper, John C. Coffee, and Ronald J. Gilson. Cases and Materials on Corporations. 4th ed. New York: Wolters Kluwer Law &amp; Business, 2013.</w:t>
      </w:r>
    </w:p>
  </w:footnote>
  <w:footnote w:id="5">
    <w:p w14:paraId="68896979" w14:textId="77777777" w:rsidR="002D2476" w:rsidRPr="001E49E8" w:rsidRDefault="002D2476" w:rsidP="001E49E8">
      <w:pPr>
        <w:pStyle w:val="FootnoteText"/>
      </w:pPr>
      <w:r w:rsidRPr="001E49E8">
        <w:rPr>
          <w:rStyle w:val="FootnoteReference"/>
        </w:rPr>
        <w:footnoteRef/>
      </w:r>
      <w:r w:rsidRPr="001E49E8">
        <w:t xml:space="preserve"> </w:t>
      </w:r>
      <w:bookmarkStart w:id="45" w:name="OLE_LINK194"/>
      <w:bookmarkStart w:id="46" w:name="OLE_LINK195"/>
      <w:bookmarkStart w:id="47" w:name="OLE_LINK45"/>
      <w:r w:rsidRPr="001E49E8">
        <w:t>Jesse H. Choper, John C. Coffee, and Ronald J. Gilson. Cases and Materials on Corporations.</w:t>
      </w:r>
    </w:p>
    <w:bookmarkEnd w:id="45"/>
    <w:bookmarkEnd w:id="46"/>
    <w:bookmarkEnd w:id="47"/>
  </w:footnote>
  <w:footnote w:id="6">
    <w:p w14:paraId="7AA027FC" w14:textId="77777777" w:rsidR="002D2476" w:rsidRPr="001E49E8" w:rsidRDefault="002D2476" w:rsidP="001E49E8">
      <w:pPr>
        <w:pStyle w:val="FootnoteText"/>
      </w:pPr>
      <w:r w:rsidRPr="001E49E8">
        <w:rPr>
          <w:rStyle w:val="FootnoteReference"/>
        </w:rPr>
        <w:footnoteRef/>
      </w:r>
      <w:r w:rsidRPr="001E49E8">
        <w:t xml:space="preserve"> Adams, Henry Carter. 1886. “Economics and Jurisprudence.” </w:t>
      </w:r>
      <w:r w:rsidRPr="001E49E8">
        <w:rPr>
          <w:i/>
          <w:iCs/>
        </w:rPr>
        <w:t>Science</w:t>
      </w:r>
      <w:r w:rsidRPr="001E49E8">
        <w:t xml:space="preserve"> 8 (178): 15–19.</w:t>
      </w:r>
    </w:p>
  </w:footnote>
  <w:footnote w:id="7">
    <w:p w14:paraId="6D2AF75D" w14:textId="77777777" w:rsidR="002D2476" w:rsidRPr="001E49E8" w:rsidRDefault="002D2476" w:rsidP="001E49E8">
      <w:pPr>
        <w:pStyle w:val="FootnoteText"/>
      </w:pPr>
      <w:r w:rsidRPr="001E49E8">
        <w:rPr>
          <w:rStyle w:val="FootnoteReference"/>
        </w:rPr>
        <w:footnoteRef/>
      </w:r>
      <w:r w:rsidRPr="001E49E8">
        <w:t xml:space="preserve"> </w:t>
      </w:r>
      <w:bookmarkStart w:id="52" w:name="OLE_LINK16"/>
      <w:bookmarkStart w:id="53" w:name="OLE_LINK17"/>
      <w:bookmarkStart w:id="54" w:name="OLE_LINK103"/>
      <w:bookmarkStart w:id="55" w:name="OLE_LINK104"/>
      <w:bookmarkStart w:id="56" w:name="OLE_LINK105"/>
      <w:r w:rsidRPr="001E49E8">
        <w:t xml:space="preserve">David Ciepley, “Beyond Public and Private: Toward a Political Theory of the Corporation,” </w:t>
      </w:r>
      <w:r w:rsidRPr="001E49E8">
        <w:rPr>
          <w:i/>
          <w:iCs/>
        </w:rPr>
        <w:t>American Political Science Review</w:t>
      </w:r>
      <w:r w:rsidRPr="001E49E8">
        <w:t xml:space="preserve"> 107, no. 1 (2013): 139–58. </w:t>
      </w:r>
      <w:hyperlink r:id="rId1" w:history="1">
        <w:r w:rsidRPr="001E49E8">
          <w:rPr>
            <w:rStyle w:val="Hyperlink"/>
          </w:rPr>
          <w:t>https://doi.org/10.1017/s0003055412000536</w:t>
        </w:r>
      </w:hyperlink>
      <w:bookmarkEnd w:id="52"/>
      <w:bookmarkEnd w:id="53"/>
      <w:r w:rsidRPr="001E49E8">
        <w:t xml:space="preserve">. </w:t>
      </w:r>
    </w:p>
    <w:bookmarkEnd w:id="54"/>
    <w:bookmarkEnd w:id="55"/>
    <w:bookmarkEnd w:id="56"/>
  </w:footnote>
  <w:footnote w:id="8">
    <w:p w14:paraId="173FCD14" w14:textId="77777777" w:rsidR="002D2476" w:rsidRPr="001E49E8" w:rsidRDefault="002D2476" w:rsidP="001E49E8">
      <w:pPr>
        <w:pStyle w:val="FootnoteText"/>
      </w:pPr>
      <w:r w:rsidRPr="001E49E8">
        <w:rPr>
          <w:rStyle w:val="FootnoteReference"/>
        </w:rPr>
        <w:footnoteRef/>
      </w:r>
      <w:r w:rsidRPr="001E49E8">
        <w:t xml:space="preserve"> Roy C. Smith, and Ingo Walter, </w:t>
      </w:r>
      <w:r w:rsidRPr="001E49E8">
        <w:rPr>
          <w:i/>
          <w:iCs/>
        </w:rPr>
        <w:t>Governing the Modern Corporation.</w:t>
      </w:r>
    </w:p>
  </w:footnote>
  <w:footnote w:id="9">
    <w:p w14:paraId="05AB2D2B" w14:textId="6D27F61B" w:rsidR="002D2476" w:rsidRPr="001E49E8" w:rsidRDefault="002D2476" w:rsidP="001E49E8">
      <w:pPr>
        <w:pStyle w:val="FootnoteText"/>
      </w:pPr>
      <w:r w:rsidRPr="001E49E8">
        <w:rPr>
          <w:rStyle w:val="FootnoteReference"/>
        </w:rPr>
        <w:footnoteRef/>
      </w:r>
      <w:r w:rsidRPr="001E49E8">
        <w:t xml:space="preserve"> John Armour, Henry Hansmann, and Reinier Kraakman, “</w:t>
      </w:r>
      <w:bookmarkStart w:id="63" w:name="OLE_LINK204"/>
      <w:bookmarkStart w:id="64" w:name="OLE_LINK205"/>
      <w:r w:rsidRPr="001E49E8">
        <w:t>The Essential Elements of Corporate Law: What Is Corporate Law</w:t>
      </w:r>
      <w:bookmarkEnd w:id="63"/>
      <w:bookmarkEnd w:id="64"/>
      <w:r w:rsidRPr="001E49E8">
        <w:t xml:space="preserve">?” Harvard John M. Olin Center for Law, Economics, and Business, July 2009, 1–28. </w:t>
      </w:r>
    </w:p>
  </w:footnote>
  <w:footnote w:id="10">
    <w:p w14:paraId="12F0873E" w14:textId="77777777" w:rsidR="002D2476" w:rsidRPr="001E49E8" w:rsidRDefault="002D2476" w:rsidP="001E49E8">
      <w:pPr>
        <w:pStyle w:val="FootnoteText"/>
      </w:pPr>
      <w:r w:rsidRPr="001E49E8">
        <w:rPr>
          <w:rStyle w:val="FootnoteReference"/>
        </w:rPr>
        <w:footnoteRef/>
      </w:r>
      <w:r w:rsidRPr="001E49E8">
        <w:t xml:space="preserve"> John Armour, Henry Hansmann, and Reinier Kraakman, “The Essential Elements of Corporate Law”</w:t>
      </w:r>
    </w:p>
  </w:footnote>
  <w:footnote w:id="11">
    <w:p w14:paraId="52815E57" w14:textId="0B2CFBB3" w:rsidR="002D2476" w:rsidRPr="001E49E8" w:rsidRDefault="002D2476" w:rsidP="001E49E8">
      <w:pPr>
        <w:pStyle w:val="FootnoteText"/>
      </w:pPr>
      <w:r w:rsidRPr="001E49E8">
        <w:rPr>
          <w:rStyle w:val="FootnoteReference"/>
        </w:rPr>
        <w:footnoteRef/>
      </w:r>
      <w:r w:rsidRPr="001E49E8">
        <w:t xml:space="preserve"> </w:t>
      </w:r>
      <w:r w:rsidRPr="008C3984">
        <w:rPr>
          <w:i/>
          <w:iCs/>
        </w:rPr>
        <w:t>Ibid.</w:t>
      </w:r>
    </w:p>
  </w:footnote>
  <w:footnote w:id="12">
    <w:p w14:paraId="308106FA" w14:textId="77777777" w:rsidR="002D2476" w:rsidRPr="001E49E8" w:rsidRDefault="002D2476" w:rsidP="001E49E8">
      <w:pPr>
        <w:pStyle w:val="FootnoteText"/>
      </w:pPr>
      <w:r w:rsidRPr="001E49E8">
        <w:rPr>
          <w:rStyle w:val="FootnoteReference"/>
        </w:rPr>
        <w:footnoteRef/>
      </w:r>
      <w:r w:rsidRPr="001E49E8">
        <w:t xml:space="preserve"> David Ciepley, “Beyond Public and Private”.</w:t>
      </w:r>
    </w:p>
  </w:footnote>
  <w:footnote w:id="13">
    <w:p w14:paraId="60F57A29" w14:textId="77777777" w:rsidR="002D2476" w:rsidRPr="001E49E8" w:rsidRDefault="002D2476" w:rsidP="001E49E8">
      <w:pPr>
        <w:pStyle w:val="FootnoteText"/>
      </w:pPr>
      <w:r w:rsidRPr="001E49E8">
        <w:rPr>
          <w:rStyle w:val="FootnoteReference"/>
        </w:rPr>
        <w:footnoteRef/>
      </w:r>
      <w:r w:rsidRPr="001E49E8">
        <w:t xml:space="preserve"> Blair, Margaret M., and Lynn A. Stout. “Specific Investment and Corporate Law.” </w:t>
      </w:r>
      <w:r w:rsidRPr="001E49E8">
        <w:rPr>
          <w:i/>
          <w:iCs/>
        </w:rPr>
        <w:t>European Business Organization Law Review</w:t>
      </w:r>
      <w:r w:rsidRPr="001E49E8">
        <w:t xml:space="preserve"> 7, no. 2 (2006): 473–500. </w:t>
      </w:r>
      <w:hyperlink r:id="rId2" w:history="1">
        <w:r w:rsidRPr="001E49E8">
          <w:rPr>
            <w:rStyle w:val="Hyperlink"/>
          </w:rPr>
          <w:t>https://doi.org/10.1017/s1566752906004733</w:t>
        </w:r>
      </w:hyperlink>
      <w:r w:rsidRPr="001E49E8">
        <w:t xml:space="preserve">. </w:t>
      </w:r>
    </w:p>
  </w:footnote>
  <w:footnote w:id="14">
    <w:p w14:paraId="5E66CDD7" w14:textId="77777777" w:rsidR="002D2476" w:rsidRPr="001E49E8" w:rsidRDefault="002D2476" w:rsidP="001E49E8">
      <w:pPr>
        <w:pStyle w:val="FootnoteText"/>
      </w:pPr>
      <w:r w:rsidRPr="001E49E8">
        <w:rPr>
          <w:rStyle w:val="FootnoteReference"/>
        </w:rPr>
        <w:footnoteRef/>
      </w:r>
      <w:r w:rsidRPr="001E49E8">
        <w:t xml:space="preserve"> John Armour, Henry Hansmann, and Reinier Kraakman, “The Essential Elements of Corporate Law”</w:t>
      </w:r>
    </w:p>
  </w:footnote>
  <w:footnote w:id="15">
    <w:p w14:paraId="5F7B023A" w14:textId="77777777" w:rsidR="002D2476" w:rsidRPr="001E49E8" w:rsidRDefault="002D2476" w:rsidP="001E49E8">
      <w:pPr>
        <w:pStyle w:val="FootnoteText"/>
      </w:pPr>
      <w:r w:rsidRPr="001E49E8">
        <w:rPr>
          <w:rStyle w:val="FootnoteReference"/>
        </w:rPr>
        <w:footnoteRef/>
      </w:r>
      <w:r w:rsidRPr="001E49E8">
        <w:t xml:space="preserve"> Cornell Information Technologies. “Common Misunderstandings About Corporations.” Cornell Law School, n.d. </w:t>
      </w:r>
      <w:hyperlink r:id="rId3" w:history="1">
        <w:r w:rsidRPr="001E49E8">
          <w:rPr>
            <w:rStyle w:val="Hyperlink"/>
          </w:rPr>
          <w:t>https://www.lawschool.cornell.edu/academics/clarke_business_law_institute/corporations-and-society/Common-Misunderstandings-About-Corporations.cfm</w:t>
        </w:r>
      </w:hyperlink>
      <w:r w:rsidRPr="001E49E8">
        <w:t xml:space="preserve">. </w:t>
      </w:r>
    </w:p>
  </w:footnote>
  <w:footnote w:id="16">
    <w:p w14:paraId="445C72D3" w14:textId="59808CC4" w:rsidR="002D2476" w:rsidRPr="001E49E8" w:rsidRDefault="002D2476" w:rsidP="001E49E8">
      <w:pPr>
        <w:pStyle w:val="FootnoteText"/>
      </w:pPr>
      <w:r w:rsidRPr="001E49E8">
        <w:rPr>
          <w:rStyle w:val="FootnoteReference"/>
        </w:rPr>
        <w:footnoteRef/>
      </w:r>
      <w:r w:rsidRPr="001E49E8">
        <w:t xml:space="preserve"> </w:t>
      </w:r>
      <w:r>
        <w:t xml:space="preserve">Margaret M. </w:t>
      </w:r>
      <w:r w:rsidRPr="001E49E8">
        <w:t>Blair</w:t>
      </w:r>
      <w:r>
        <w:t xml:space="preserve">, </w:t>
      </w:r>
      <w:r w:rsidRPr="001E49E8">
        <w:t xml:space="preserve">and Lynn A. Stout. “Specific Investment and Corporate Law.” </w:t>
      </w:r>
    </w:p>
  </w:footnote>
  <w:footnote w:id="17">
    <w:p w14:paraId="29ADF321" w14:textId="77777777" w:rsidR="002D2476" w:rsidRPr="001E49E8" w:rsidRDefault="002D2476" w:rsidP="001E49E8">
      <w:pPr>
        <w:pStyle w:val="FootnoteText"/>
      </w:pPr>
      <w:r w:rsidRPr="001E49E8">
        <w:rPr>
          <w:rStyle w:val="FootnoteReference"/>
        </w:rPr>
        <w:footnoteRef/>
      </w:r>
      <w:r w:rsidRPr="001E49E8">
        <w:t xml:space="preserve"> John Armour, Henry Hansmann, and Reinier Kraakman, “The Essential Elements of Corporate Law”</w:t>
      </w:r>
    </w:p>
  </w:footnote>
  <w:footnote w:id="18">
    <w:p w14:paraId="1154F0BD" w14:textId="77777777" w:rsidR="002D2476" w:rsidRPr="001E49E8" w:rsidRDefault="002D2476" w:rsidP="001E49E8">
      <w:pPr>
        <w:pStyle w:val="FootnoteText"/>
      </w:pPr>
      <w:r w:rsidRPr="001E49E8">
        <w:rPr>
          <w:rStyle w:val="FootnoteReference"/>
        </w:rPr>
        <w:footnoteRef/>
      </w:r>
      <w:r w:rsidRPr="001E49E8">
        <w:t xml:space="preserve"> David Ciepley, “Beyond Public and Private”.</w:t>
      </w:r>
    </w:p>
  </w:footnote>
  <w:footnote w:id="19">
    <w:p w14:paraId="25A6948B" w14:textId="77777777" w:rsidR="002D2476" w:rsidRPr="001E49E8" w:rsidRDefault="002D2476" w:rsidP="003E0138">
      <w:pPr>
        <w:pStyle w:val="FootnoteText"/>
      </w:pPr>
      <w:r w:rsidRPr="001E49E8">
        <w:rPr>
          <w:rStyle w:val="FootnoteReference"/>
        </w:rPr>
        <w:footnoteRef/>
      </w:r>
      <w:r w:rsidRPr="001E49E8">
        <w:t xml:space="preserve"> Luigi Zingales, “Towards a Political Theory of the Firm,” </w:t>
      </w:r>
      <w:bookmarkStart w:id="92" w:name="OLE_LINK20"/>
      <w:bookmarkStart w:id="93" w:name="OLE_LINK21"/>
      <w:r w:rsidRPr="001E49E8">
        <w:t xml:space="preserve">NBER National Bureau of Economic Research Working Paper Series, July 13, 2017, </w:t>
      </w:r>
      <w:hyperlink r:id="rId4" w:history="1">
        <w:r w:rsidRPr="001E49E8">
          <w:rPr>
            <w:rStyle w:val="Hyperlink"/>
          </w:rPr>
          <w:t>http://www.nber.org/papers/w23593</w:t>
        </w:r>
      </w:hyperlink>
      <w:r w:rsidRPr="001E49E8">
        <w:t xml:space="preserve"> </w:t>
      </w:r>
      <w:bookmarkEnd w:id="92"/>
      <w:bookmarkEnd w:id="93"/>
    </w:p>
  </w:footnote>
  <w:footnote w:id="20">
    <w:p w14:paraId="7539711C" w14:textId="28172D45" w:rsidR="002D2476" w:rsidRPr="001E49E8" w:rsidRDefault="002D2476" w:rsidP="001E49E8">
      <w:pPr>
        <w:pStyle w:val="FootnoteText"/>
      </w:pPr>
      <w:r w:rsidRPr="001E49E8">
        <w:rPr>
          <w:rStyle w:val="FootnoteReference"/>
        </w:rPr>
        <w:footnoteRef/>
      </w:r>
      <w:r w:rsidRPr="001E49E8">
        <w:t xml:space="preserve"> </w:t>
      </w:r>
      <w:bookmarkStart w:id="94" w:name="OLE_LINK807"/>
      <w:bookmarkStart w:id="95" w:name="OLE_LINK808"/>
      <w:r>
        <w:rPr>
          <w:i/>
          <w:iCs/>
        </w:rPr>
        <w:t>Ibid.</w:t>
      </w:r>
      <w:r w:rsidRPr="001E49E8">
        <w:t xml:space="preserve"> </w:t>
      </w:r>
      <w:bookmarkEnd w:id="94"/>
      <w:bookmarkEnd w:id="95"/>
    </w:p>
  </w:footnote>
  <w:footnote w:id="21">
    <w:p w14:paraId="7BCB86C1" w14:textId="395CC7D9" w:rsidR="002D2476" w:rsidRPr="001E49E8" w:rsidRDefault="002D2476" w:rsidP="003E0138">
      <w:pPr>
        <w:pStyle w:val="FootnoteText"/>
      </w:pPr>
      <w:r w:rsidRPr="001E49E8">
        <w:rPr>
          <w:rStyle w:val="FootnoteReference"/>
        </w:rPr>
        <w:footnoteRef/>
      </w:r>
      <w:r w:rsidRPr="001E49E8">
        <w:t xml:space="preserve"> </w:t>
      </w:r>
      <w:r>
        <w:rPr>
          <w:i/>
          <w:iCs/>
        </w:rPr>
        <w:t>Ibid.</w:t>
      </w:r>
    </w:p>
  </w:footnote>
  <w:footnote w:id="22">
    <w:p w14:paraId="7BCEC40C" w14:textId="6EE47CE6"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23">
    <w:p w14:paraId="2C0D60A5" w14:textId="77777777" w:rsidR="002D2476" w:rsidRPr="001E49E8" w:rsidRDefault="002D2476" w:rsidP="001E49E8">
      <w:pPr>
        <w:pStyle w:val="FootnoteText"/>
      </w:pPr>
      <w:r w:rsidRPr="001E49E8">
        <w:rPr>
          <w:rStyle w:val="FootnoteReference"/>
        </w:rPr>
        <w:footnoteRef/>
      </w:r>
      <w:r w:rsidRPr="001E49E8">
        <w:t xml:space="preserve"> Luigi Zingales, “Towards a Political Theory of the Firm,” NBER </w:t>
      </w:r>
    </w:p>
  </w:footnote>
  <w:footnote w:id="24">
    <w:p w14:paraId="184168C5" w14:textId="5116196E"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25">
    <w:p w14:paraId="08038DA4" w14:textId="77777777" w:rsidR="002D2476" w:rsidRPr="001E49E8" w:rsidRDefault="002D2476" w:rsidP="001E49E8">
      <w:pPr>
        <w:pStyle w:val="FootnoteText"/>
      </w:pPr>
      <w:r w:rsidRPr="001E49E8">
        <w:rPr>
          <w:rStyle w:val="FootnoteReference"/>
        </w:rPr>
        <w:footnoteRef/>
      </w:r>
      <w:r w:rsidRPr="001E49E8">
        <w:t xml:space="preserve"> David Ciepley, “Beyond Public and Private”.</w:t>
      </w:r>
    </w:p>
  </w:footnote>
  <w:footnote w:id="26">
    <w:p w14:paraId="0B5D81EE" w14:textId="77777777" w:rsidR="002D2476" w:rsidRPr="001E49E8" w:rsidRDefault="002D2476" w:rsidP="001E49E8">
      <w:pPr>
        <w:pStyle w:val="FootnoteText"/>
      </w:pPr>
      <w:r w:rsidRPr="001E49E8">
        <w:rPr>
          <w:rStyle w:val="FootnoteReference"/>
        </w:rPr>
        <w:footnoteRef/>
      </w:r>
      <w:r w:rsidRPr="001E49E8">
        <w:t xml:space="preserve"> David Ciepley, “Beyond Public and Private”.</w:t>
      </w:r>
    </w:p>
  </w:footnote>
  <w:footnote w:id="27">
    <w:p w14:paraId="1D4E4787" w14:textId="7573D3B0"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28">
    <w:p w14:paraId="21DBCCC9" w14:textId="77777777" w:rsidR="002D2476" w:rsidRPr="001E49E8" w:rsidRDefault="002D2476" w:rsidP="001E49E8">
      <w:pPr>
        <w:pStyle w:val="FootnoteText"/>
      </w:pPr>
      <w:r w:rsidRPr="001E49E8">
        <w:rPr>
          <w:rStyle w:val="FootnoteReference"/>
        </w:rPr>
        <w:footnoteRef/>
      </w:r>
      <w:r w:rsidRPr="001E49E8">
        <w:t xml:space="preserve"> Neil Mitchell, “Corporate Power, Legitimacy, and Social Policy,” The Western Political Quarterly 39, no. 2 (1986): p. 197, https://doi.org/10.2307/448294</w:t>
      </w:r>
    </w:p>
  </w:footnote>
  <w:footnote w:id="29">
    <w:p w14:paraId="44B40D2D" w14:textId="77777777" w:rsidR="002D2476" w:rsidRPr="001E49E8" w:rsidRDefault="002D2476" w:rsidP="001E49E8">
      <w:pPr>
        <w:pStyle w:val="FootnoteText"/>
      </w:pPr>
      <w:r w:rsidRPr="001E49E8">
        <w:rPr>
          <w:rStyle w:val="FootnoteReference"/>
        </w:rPr>
        <w:footnoteRef/>
      </w:r>
      <w:r w:rsidRPr="001E49E8">
        <w:t xml:space="preserve"> Neil Mitchell, “Corporate Power, Legitimacy, and Social Policy,” The Western Political Quarterly </w:t>
      </w:r>
    </w:p>
  </w:footnote>
  <w:footnote w:id="30">
    <w:p w14:paraId="52155B66" w14:textId="77777777" w:rsidR="002D2476" w:rsidRPr="001E49E8" w:rsidRDefault="002D2476" w:rsidP="001E49E8">
      <w:pPr>
        <w:pStyle w:val="FootnoteText"/>
      </w:pPr>
      <w:r w:rsidRPr="001E49E8">
        <w:rPr>
          <w:rStyle w:val="FootnoteReference"/>
        </w:rPr>
        <w:footnoteRef/>
      </w:r>
      <w:r w:rsidRPr="001E49E8">
        <w:t xml:space="preserve"> Luigi Zingales, “Towards a Political Theory of the Firm,” NBER </w:t>
      </w:r>
    </w:p>
  </w:footnote>
  <w:footnote w:id="31">
    <w:p w14:paraId="18603FE8" w14:textId="1095F85A"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32">
    <w:p w14:paraId="1CFDE2EF" w14:textId="4AB6B4A3"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33">
    <w:p w14:paraId="52F7A3B2" w14:textId="7921AEEB"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34">
    <w:p w14:paraId="3F03F586" w14:textId="062F3F6F" w:rsidR="002D2476" w:rsidRPr="001E49E8" w:rsidRDefault="002D2476" w:rsidP="001E49E8">
      <w:pPr>
        <w:pStyle w:val="FootnoteText"/>
      </w:pPr>
      <w:r w:rsidRPr="001E49E8">
        <w:rPr>
          <w:rStyle w:val="FootnoteReference"/>
        </w:rPr>
        <w:footnoteRef/>
      </w:r>
      <w:r w:rsidRPr="001E49E8">
        <w:t xml:space="preserve"> John Gerard Ruggie, “Multinationals as Global Institution: Power, Authority and Relative Autonomy,” </w:t>
      </w:r>
      <w:r w:rsidRPr="001E49E8">
        <w:rPr>
          <w:i/>
          <w:iCs/>
        </w:rPr>
        <w:t xml:space="preserve">Regulation &amp; Governance, </w:t>
      </w:r>
      <w:r w:rsidRPr="001E49E8">
        <w:t xml:space="preserve">12, no. 3, August 2017: pp. 317-333, </w:t>
      </w:r>
      <w:hyperlink r:id="rId5" w:history="1">
        <w:r w:rsidRPr="006B2431">
          <w:rPr>
            <w:rStyle w:val="Hyperlink"/>
          </w:rPr>
          <w:t>https://doi.org/10.1111/rego.12154</w:t>
        </w:r>
      </w:hyperlink>
      <w:r>
        <w:t xml:space="preserve"> </w:t>
      </w:r>
    </w:p>
  </w:footnote>
  <w:footnote w:id="35">
    <w:p w14:paraId="0057C824" w14:textId="77777777"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bookmarkStart w:id="104" w:name="OLE_LINK341"/>
      <w:bookmarkStart w:id="105" w:name="OLE_LINK342"/>
      <w:r w:rsidRPr="001E49E8">
        <w:rPr>
          <w:sz w:val="20"/>
          <w:szCs w:val="20"/>
        </w:rPr>
        <w:t xml:space="preserve">Jeroen Veldman, “Politics of the Corporation” </w:t>
      </w:r>
      <w:r w:rsidRPr="001E49E8">
        <w:rPr>
          <w:i/>
          <w:iCs/>
          <w:sz w:val="20"/>
          <w:szCs w:val="20"/>
        </w:rPr>
        <w:t>British Journal of Management</w:t>
      </w:r>
      <w:r w:rsidRPr="001E49E8">
        <w:rPr>
          <w:sz w:val="20"/>
          <w:szCs w:val="20"/>
        </w:rPr>
        <w:t>, Vol. 24, 2013</w:t>
      </w:r>
      <w:bookmarkEnd w:id="104"/>
      <w:bookmarkEnd w:id="105"/>
      <w:r w:rsidRPr="001E49E8">
        <w:rPr>
          <w:sz w:val="20"/>
          <w:szCs w:val="20"/>
        </w:rPr>
        <w:t xml:space="preserve">, </w:t>
      </w:r>
      <w:hyperlink r:id="rId6" w:history="1">
        <w:r w:rsidRPr="001E49E8">
          <w:rPr>
            <w:rStyle w:val="Hyperlink"/>
            <w:sz w:val="20"/>
            <w:szCs w:val="20"/>
          </w:rPr>
          <w:t>https://onlinelibrary.wiley.com/doi/pdf/10.1111/1467-8551.12024</w:t>
        </w:r>
      </w:hyperlink>
      <w:r w:rsidRPr="001E49E8">
        <w:rPr>
          <w:sz w:val="20"/>
          <w:szCs w:val="20"/>
        </w:rPr>
        <w:t xml:space="preserve"> </w:t>
      </w:r>
    </w:p>
  </w:footnote>
  <w:footnote w:id="36">
    <w:p w14:paraId="42A5AD4C" w14:textId="31228D6E"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37">
    <w:p w14:paraId="68F61A7E" w14:textId="0FBBE33D"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38">
    <w:p w14:paraId="6EAA3767" w14:textId="77777777"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Cary Coglianese, "Legitimacy and Corporate Governance” (2007), Faculty Scholarship at Penn Law, 145. </w:t>
      </w:r>
      <w:hyperlink r:id="rId7" w:history="1">
        <w:r w:rsidRPr="001E49E8">
          <w:rPr>
            <w:rStyle w:val="Hyperlink"/>
            <w:sz w:val="20"/>
            <w:szCs w:val="20"/>
          </w:rPr>
          <w:t>https://scholarship.law.upenn.edu/faculty_scholarship/145</w:t>
        </w:r>
      </w:hyperlink>
    </w:p>
  </w:footnote>
  <w:footnote w:id="39">
    <w:p w14:paraId="131C6049" w14:textId="74B50C57"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r w:rsidRPr="003E0138">
        <w:rPr>
          <w:i/>
          <w:iCs/>
          <w:sz w:val="20"/>
          <w:szCs w:val="20"/>
        </w:rPr>
        <w:t>Ibid.</w:t>
      </w:r>
      <w:r w:rsidRPr="001E49E8">
        <w:rPr>
          <w:sz w:val="20"/>
          <w:szCs w:val="20"/>
        </w:rPr>
        <w:t xml:space="preserve"> </w:t>
      </w:r>
    </w:p>
  </w:footnote>
  <w:footnote w:id="40">
    <w:p w14:paraId="162F5F2E" w14:textId="716E6764" w:rsidR="002D2476" w:rsidRPr="001E49E8" w:rsidRDefault="002D2476" w:rsidP="00933D1C">
      <w:pPr>
        <w:rPr>
          <w:sz w:val="20"/>
          <w:szCs w:val="20"/>
        </w:rPr>
      </w:pPr>
      <w:r w:rsidRPr="001E49E8">
        <w:rPr>
          <w:rStyle w:val="FootnoteReference"/>
          <w:sz w:val="20"/>
          <w:szCs w:val="20"/>
        </w:rPr>
        <w:footnoteRef/>
      </w:r>
      <w:r w:rsidRPr="001E49E8">
        <w:rPr>
          <w:sz w:val="20"/>
          <w:szCs w:val="20"/>
        </w:rPr>
        <w:t xml:space="preserve"> </w:t>
      </w:r>
      <w:r w:rsidRPr="003E0138">
        <w:rPr>
          <w:i/>
          <w:iCs/>
          <w:sz w:val="20"/>
          <w:szCs w:val="20"/>
        </w:rPr>
        <w:t>Ibid.</w:t>
      </w:r>
    </w:p>
  </w:footnote>
  <w:footnote w:id="41">
    <w:p w14:paraId="42A6795B" w14:textId="77777777" w:rsidR="002D2476" w:rsidRPr="001E49E8" w:rsidRDefault="002D2476" w:rsidP="001E49E8">
      <w:pPr>
        <w:pStyle w:val="FootnoteText"/>
      </w:pPr>
      <w:r w:rsidRPr="001E49E8">
        <w:rPr>
          <w:rStyle w:val="FootnoteReference"/>
        </w:rPr>
        <w:footnoteRef/>
      </w:r>
      <w:r w:rsidRPr="001E49E8">
        <w:t xml:space="preserve"> </w:t>
      </w:r>
      <w:r w:rsidRPr="001E49E8">
        <w:rPr>
          <w:color w:val="000000" w:themeColor="text1"/>
        </w:rPr>
        <w:t xml:space="preserve">Pierre-Yves Gomez and Harry Korine, Entrepreneurs and Democracy: </w:t>
      </w:r>
    </w:p>
  </w:footnote>
  <w:footnote w:id="42">
    <w:p w14:paraId="078A71AD" w14:textId="05C125EB"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43">
    <w:p w14:paraId="6537B69D" w14:textId="77777777" w:rsidR="002D2476" w:rsidRPr="001E49E8" w:rsidRDefault="002D2476" w:rsidP="001E49E8">
      <w:pPr>
        <w:pStyle w:val="FootnoteText"/>
      </w:pPr>
      <w:r w:rsidRPr="001E49E8">
        <w:rPr>
          <w:rStyle w:val="FootnoteReference"/>
        </w:rPr>
        <w:footnoteRef/>
      </w:r>
      <w:r w:rsidRPr="001E49E8">
        <w:t xml:space="preserve"> </w:t>
      </w:r>
      <w:r w:rsidRPr="001E49E8">
        <w:rPr>
          <w:color w:val="000000" w:themeColor="text1"/>
        </w:rPr>
        <w:t xml:space="preserve">Pierre-Yves Gomez and Harry Korine, Entrepreneurs and Democracy: </w:t>
      </w:r>
    </w:p>
  </w:footnote>
  <w:footnote w:id="44">
    <w:p w14:paraId="25658ACA" w14:textId="0949D6E6"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45">
    <w:p w14:paraId="438A347C" w14:textId="3B7A7B4D"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46">
    <w:p w14:paraId="4BFB58B8" w14:textId="77777777"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Cary Coglianese, "Legitimacy and Corporate Governance” (2007), Faculty Scholarship at Penn Law, 145. </w:t>
      </w:r>
      <w:hyperlink r:id="rId8" w:history="1">
        <w:r w:rsidRPr="001E49E8">
          <w:rPr>
            <w:rStyle w:val="Hyperlink"/>
            <w:sz w:val="20"/>
            <w:szCs w:val="20"/>
          </w:rPr>
          <w:t>https://scholarship.law.upenn.edu/faculty_scholarship/145</w:t>
        </w:r>
      </w:hyperlink>
    </w:p>
  </w:footnote>
  <w:footnote w:id="47">
    <w:p w14:paraId="1545B16F" w14:textId="2F17C105"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r w:rsidRPr="003E0138">
        <w:rPr>
          <w:i/>
          <w:iCs/>
          <w:sz w:val="20"/>
          <w:szCs w:val="20"/>
        </w:rPr>
        <w:t>Ibid.</w:t>
      </w:r>
    </w:p>
  </w:footnote>
  <w:footnote w:id="48">
    <w:p w14:paraId="454A9017" w14:textId="4ABCBD82"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r w:rsidRPr="003E0138">
        <w:rPr>
          <w:i/>
          <w:iCs/>
          <w:sz w:val="20"/>
          <w:szCs w:val="20"/>
        </w:rPr>
        <w:t>Ibid.</w:t>
      </w:r>
    </w:p>
  </w:footnote>
  <w:footnote w:id="49">
    <w:p w14:paraId="00AB859F" w14:textId="23ED1A32"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r w:rsidRPr="003E0138">
        <w:rPr>
          <w:i/>
          <w:iCs/>
          <w:sz w:val="20"/>
          <w:szCs w:val="20"/>
        </w:rPr>
        <w:t>Ibid.</w:t>
      </w:r>
    </w:p>
  </w:footnote>
  <w:footnote w:id="50">
    <w:p w14:paraId="280C4F5E" w14:textId="77777777" w:rsidR="002D2476" w:rsidRPr="001E49E8" w:rsidRDefault="002D2476" w:rsidP="001E49E8">
      <w:pPr>
        <w:pStyle w:val="FootnoteText"/>
      </w:pPr>
      <w:r w:rsidRPr="001E49E8">
        <w:rPr>
          <w:rStyle w:val="FootnoteReference"/>
        </w:rPr>
        <w:footnoteRef/>
      </w:r>
      <w:r w:rsidRPr="001E49E8">
        <w:t xml:space="preserve"> </w:t>
      </w:r>
      <w:r w:rsidRPr="001E49E8">
        <w:rPr>
          <w:color w:val="000000" w:themeColor="text1"/>
        </w:rPr>
        <w:t xml:space="preserve">Pierre-Yves Gomez and Harry Korine, Entrepreneurs and Democracy: </w:t>
      </w:r>
    </w:p>
  </w:footnote>
  <w:footnote w:id="51">
    <w:p w14:paraId="73594A46" w14:textId="0D034A6B" w:rsidR="002D2476" w:rsidRPr="001E49E8" w:rsidRDefault="002D2476" w:rsidP="001E49E8">
      <w:pPr>
        <w:pStyle w:val="FootnoteText"/>
      </w:pPr>
      <w:r w:rsidRPr="001E49E8">
        <w:rPr>
          <w:rStyle w:val="FootnoteReference"/>
        </w:rPr>
        <w:footnoteRef/>
      </w:r>
      <w:r w:rsidRPr="001E49E8">
        <w:t xml:space="preserve"> Bruner, Christopher M. Corporate Governance in the Common-Law World: The Political Foundations of Shareholder Power. New York, USA: Cambridge University Press, 2014.</w:t>
      </w:r>
      <w:r>
        <w:t xml:space="preserve"> p 141</w:t>
      </w:r>
    </w:p>
  </w:footnote>
  <w:footnote w:id="52">
    <w:p w14:paraId="1C7C609D" w14:textId="524A9A9A" w:rsidR="002D2476" w:rsidRPr="001E49E8" w:rsidRDefault="002D2476" w:rsidP="001E49E8">
      <w:pPr>
        <w:pStyle w:val="FootnoteText"/>
      </w:pPr>
      <w:r w:rsidRPr="001E49E8">
        <w:rPr>
          <w:rStyle w:val="FootnoteReference"/>
        </w:rPr>
        <w:footnoteRef/>
      </w:r>
      <w:r w:rsidRPr="001E49E8">
        <w:t xml:space="preserve"> </w:t>
      </w:r>
      <w:r>
        <w:rPr>
          <w:i/>
          <w:iCs/>
        </w:rPr>
        <w:t>Ibid.</w:t>
      </w:r>
      <w:r w:rsidRPr="001E49E8">
        <w:t xml:space="preserve"> </w:t>
      </w:r>
      <w:r>
        <w:t>p 142</w:t>
      </w:r>
    </w:p>
  </w:footnote>
  <w:footnote w:id="53">
    <w:p w14:paraId="14F8292B" w14:textId="1319D479" w:rsidR="002D2476" w:rsidRPr="00C116FF" w:rsidRDefault="002D2476" w:rsidP="000747D1">
      <w:pPr>
        <w:pStyle w:val="FootnoteText"/>
      </w:pPr>
      <w:r w:rsidRPr="00C116FF">
        <w:rPr>
          <w:rStyle w:val="FootnoteReference"/>
        </w:rPr>
        <w:footnoteRef/>
      </w:r>
      <w:r w:rsidRPr="00C116FF">
        <w:t xml:space="preserve"> </w:t>
      </w:r>
      <w:r>
        <w:rPr>
          <w:i/>
          <w:iCs/>
        </w:rPr>
        <w:t>Ibid.</w:t>
      </w:r>
      <w:r w:rsidRPr="001E49E8">
        <w:t xml:space="preserve"> </w:t>
      </w:r>
      <w:r>
        <w:t>p 142</w:t>
      </w:r>
    </w:p>
  </w:footnote>
  <w:footnote w:id="54">
    <w:p w14:paraId="3D4316BF" w14:textId="7B7CC0C0" w:rsidR="002D2476" w:rsidRPr="001E49E8" w:rsidRDefault="002D2476" w:rsidP="000747D1">
      <w:pPr>
        <w:pStyle w:val="FootnoteText"/>
      </w:pPr>
      <w:r w:rsidRPr="001E49E8">
        <w:rPr>
          <w:rStyle w:val="FootnoteReference"/>
        </w:rPr>
        <w:footnoteRef/>
      </w:r>
      <w:r w:rsidRPr="001E49E8">
        <w:t xml:space="preserve"> Bruner, Christopher M. Corporate Governance in the Common-Law World: </w:t>
      </w:r>
      <w:r>
        <w:t>p142</w:t>
      </w:r>
    </w:p>
  </w:footnote>
  <w:footnote w:id="55">
    <w:p w14:paraId="0DDF6960" w14:textId="47CB3133" w:rsidR="002D2476" w:rsidRPr="001E49E8" w:rsidRDefault="002D2476" w:rsidP="00810A51">
      <w:pPr>
        <w:pStyle w:val="FootnoteText"/>
      </w:pPr>
      <w:r w:rsidRPr="001E49E8">
        <w:rPr>
          <w:rStyle w:val="FootnoteReference"/>
        </w:rPr>
        <w:footnoteRef/>
      </w:r>
      <w:r w:rsidRPr="001E49E8">
        <w:t xml:space="preserve"> </w:t>
      </w:r>
      <w:r>
        <w:rPr>
          <w:i/>
          <w:iCs/>
        </w:rPr>
        <w:t>Ibid.</w:t>
      </w:r>
      <w:r w:rsidRPr="001E49E8">
        <w:t xml:space="preserve">: </w:t>
      </w:r>
      <w:r>
        <w:t>p142</w:t>
      </w:r>
    </w:p>
  </w:footnote>
  <w:footnote w:id="56">
    <w:p w14:paraId="0547B4AB" w14:textId="655CDBA0" w:rsidR="002D2476" w:rsidRPr="001E49E8" w:rsidRDefault="002D2476" w:rsidP="00810A51">
      <w:pPr>
        <w:pStyle w:val="FootnoteText"/>
      </w:pPr>
      <w:r w:rsidRPr="001E49E8">
        <w:rPr>
          <w:rStyle w:val="FootnoteReference"/>
        </w:rPr>
        <w:footnoteRef/>
      </w:r>
      <w:r w:rsidRPr="001E49E8">
        <w:t xml:space="preserve"> </w:t>
      </w:r>
      <w:r>
        <w:rPr>
          <w:i/>
          <w:iCs/>
        </w:rPr>
        <w:t>Ibid.</w:t>
      </w:r>
      <w:r w:rsidRPr="001E49E8">
        <w:t xml:space="preserve"> </w:t>
      </w:r>
      <w:r>
        <w:t>p141</w:t>
      </w:r>
    </w:p>
  </w:footnote>
  <w:footnote w:id="57">
    <w:p w14:paraId="11500495" w14:textId="3AA786FF" w:rsidR="002D2476" w:rsidRPr="001E49E8" w:rsidRDefault="002D2476" w:rsidP="00036675">
      <w:pPr>
        <w:pStyle w:val="FootnoteText"/>
      </w:pPr>
      <w:r w:rsidRPr="001E49E8">
        <w:rPr>
          <w:rStyle w:val="FootnoteReference"/>
        </w:rPr>
        <w:footnoteRef/>
      </w:r>
      <w:r w:rsidRPr="001E49E8">
        <w:t xml:space="preserve"> </w:t>
      </w:r>
      <w:r>
        <w:rPr>
          <w:i/>
          <w:iCs/>
        </w:rPr>
        <w:t>Ibid.</w:t>
      </w:r>
      <w:r w:rsidRPr="001E49E8">
        <w:t xml:space="preserve">: </w:t>
      </w:r>
      <w:r>
        <w:t>p142</w:t>
      </w:r>
    </w:p>
  </w:footnote>
  <w:footnote w:id="58">
    <w:p w14:paraId="7CD4645B" w14:textId="77777777"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bookmarkStart w:id="144" w:name="OLE_LINK362"/>
      <w:bookmarkStart w:id="145" w:name="OLE_LINK363"/>
      <w:r w:rsidRPr="001E49E8">
        <w:rPr>
          <w:color w:val="333333"/>
          <w:sz w:val="20"/>
          <w:szCs w:val="20"/>
          <w:shd w:val="clear" w:color="auto" w:fill="FFFFFF"/>
        </w:rPr>
        <w:t xml:space="preserve">Ha-Joon Chang, “Breaking the Mould: </w:t>
      </w:r>
      <w:bookmarkStart w:id="146" w:name="OLE_LINK763"/>
      <w:bookmarkStart w:id="147" w:name="OLE_LINK764"/>
      <w:r w:rsidRPr="001E49E8">
        <w:rPr>
          <w:color w:val="333333"/>
          <w:sz w:val="20"/>
          <w:szCs w:val="20"/>
          <w:shd w:val="clear" w:color="auto" w:fill="FFFFFF"/>
        </w:rPr>
        <w:t xml:space="preserve">An Institutionalist Political Economy Alternative to the Neoliberal Theory </w:t>
      </w:r>
      <w:bookmarkEnd w:id="146"/>
      <w:bookmarkEnd w:id="147"/>
      <w:r w:rsidRPr="001E49E8">
        <w:rPr>
          <w:color w:val="333333"/>
          <w:sz w:val="20"/>
          <w:szCs w:val="20"/>
          <w:shd w:val="clear" w:color="auto" w:fill="FFFFFF"/>
        </w:rPr>
        <w:t>of the Market and the State,” </w:t>
      </w:r>
      <w:r w:rsidRPr="001E49E8">
        <w:rPr>
          <w:i/>
          <w:iCs/>
          <w:color w:val="333333"/>
          <w:sz w:val="20"/>
          <w:szCs w:val="20"/>
          <w:shd w:val="clear" w:color="auto" w:fill="FFFFFF"/>
        </w:rPr>
        <w:t xml:space="preserve">Cambridge Journal of Economics </w:t>
      </w:r>
      <w:r w:rsidRPr="001E49E8">
        <w:rPr>
          <w:color w:val="333333"/>
          <w:sz w:val="20"/>
          <w:szCs w:val="20"/>
          <w:shd w:val="clear" w:color="auto" w:fill="FFFFFF"/>
        </w:rPr>
        <w:t xml:space="preserve">26, no. 5, May 2001: pp. 539-559, </w:t>
      </w:r>
      <w:bookmarkEnd w:id="144"/>
      <w:bookmarkEnd w:id="145"/>
      <w:r w:rsidRPr="001E49E8">
        <w:fldChar w:fldCharType="begin"/>
      </w:r>
      <w:r w:rsidRPr="001E49E8">
        <w:rPr>
          <w:sz w:val="20"/>
          <w:szCs w:val="20"/>
        </w:rPr>
        <w:instrText xml:space="preserve"> HYPERLINK "https://doi.org/10.1093/cje/26.5.539" </w:instrText>
      </w:r>
      <w:r w:rsidRPr="001E49E8">
        <w:fldChar w:fldCharType="separate"/>
      </w:r>
      <w:r w:rsidRPr="001E49E8">
        <w:rPr>
          <w:rStyle w:val="Hyperlink"/>
          <w:sz w:val="20"/>
          <w:szCs w:val="20"/>
          <w:shd w:val="clear" w:color="auto" w:fill="FFFFFF"/>
        </w:rPr>
        <w:t>https://doi.org/10.1093/cje/26.5.539</w:t>
      </w:r>
      <w:r w:rsidRPr="001E49E8">
        <w:rPr>
          <w:rStyle w:val="Hyperlink"/>
          <w:sz w:val="20"/>
          <w:szCs w:val="20"/>
          <w:shd w:val="clear" w:color="auto" w:fill="FFFFFF"/>
        </w:rPr>
        <w:fldChar w:fldCharType="end"/>
      </w:r>
      <w:r w:rsidRPr="001E49E8">
        <w:rPr>
          <w:color w:val="333333"/>
          <w:sz w:val="20"/>
          <w:szCs w:val="20"/>
          <w:shd w:val="clear" w:color="auto" w:fill="FFFFFF"/>
        </w:rPr>
        <w:t xml:space="preserve"> </w:t>
      </w:r>
    </w:p>
  </w:footnote>
  <w:footnote w:id="59">
    <w:p w14:paraId="1B1F8106" w14:textId="761B83DD" w:rsidR="002D2476" w:rsidRPr="001E49E8" w:rsidRDefault="002D2476" w:rsidP="008C1D2B">
      <w:pPr>
        <w:rPr>
          <w:sz w:val="20"/>
          <w:szCs w:val="20"/>
        </w:rPr>
      </w:pPr>
      <w:r w:rsidRPr="001E49E8">
        <w:rPr>
          <w:rStyle w:val="FootnoteReference"/>
          <w:sz w:val="20"/>
          <w:szCs w:val="20"/>
        </w:rPr>
        <w:footnoteRef/>
      </w:r>
      <w:r w:rsidRPr="001E49E8">
        <w:rPr>
          <w:sz w:val="20"/>
          <w:szCs w:val="20"/>
        </w:rPr>
        <w:t xml:space="preserve"> </w:t>
      </w:r>
      <w:r w:rsidRPr="003E0138">
        <w:rPr>
          <w:i/>
          <w:iCs/>
          <w:sz w:val="20"/>
          <w:szCs w:val="20"/>
        </w:rPr>
        <w:t>Ibid.</w:t>
      </w:r>
    </w:p>
  </w:footnote>
  <w:footnote w:id="60">
    <w:p w14:paraId="5BCBA3C4" w14:textId="50FA7543" w:rsidR="002D2476" w:rsidRPr="001E49E8" w:rsidRDefault="002D2476" w:rsidP="008C1D2B">
      <w:pPr>
        <w:rPr>
          <w:sz w:val="20"/>
          <w:szCs w:val="20"/>
        </w:rPr>
      </w:pPr>
      <w:r w:rsidRPr="001E49E8">
        <w:rPr>
          <w:rStyle w:val="FootnoteReference"/>
          <w:sz w:val="20"/>
          <w:szCs w:val="20"/>
        </w:rPr>
        <w:footnoteRef/>
      </w:r>
      <w:r w:rsidRPr="001E49E8">
        <w:rPr>
          <w:sz w:val="20"/>
          <w:szCs w:val="20"/>
        </w:rPr>
        <w:t xml:space="preserve"> </w:t>
      </w:r>
      <w:bookmarkStart w:id="151" w:name="OLE_LINK6"/>
      <w:bookmarkStart w:id="152" w:name="OLE_LINK9"/>
      <w:r w:rsidRPr="001E49E8">
        <w:rPr>
          <w:color w:val="333333"/>
          <w:sz w:val="20"/>
          <w:szCs w:val="20"/>
          <w:shd w:val="clear" w:color="auto" w:fill="FFFFFF"/>
        </w:rPr>
        <w:t>Ha-Joon Chang, “Breaking the Mould:An Institutionalist Political Economy Alternative to the Neoliberal</w:t>
      </w:r>
      <w:r>
        <w:rPr>
          <w:color w:val="333333"/>
          <w:sz w:val="20"/>
          <w:szCs w:val="20"/>
          <w:shd w:val="clear" w:color="auto" w:fill="FFFFFF"/>
        </w:rPr>
        <w:t xml:space="preserve"> </w:t>
      </w:r>
      <w:r w:rsidRPr="001E49E8">
        <w:rPr>
          <w:color w:val="333333"/>
          <w:sz w:val="20"/>
          <w:szCs w:val="20"/>
          <w:shd w:val="clear" w:color="auto" w:fill="FFFFFF"/>
        </w:rPr>
        <w:t>Theory”</w:t>
      </w:r>
    </w:p>
    <w:bookmarkEnd w:id="151"/>
    <w:bookmarkEnd w:id="152"/>
  </w:footnote>
  <w:footnote w:id="61">
    <w:p w14:paraId="5182ED8C" w14:textId="4E975798"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r w:rsidRPr="003E0138">
        <w:rPr>
          <w:i/>
          <w:iCs/>
          <w:sz w:val="20"/>
          <w:szCs w:val="20"/>
        </w:rPr>
        <w:t>Ibid.</w:t>
      </w:r>
    </w:p>
  </w:footnote>
  <w:footnote w:id="62">
    <w:p w14:paraId="26869C2F" w14:textId="77777777" w:rsidR="002D2476" w:rsidRPr="001E49E8" w:rsidRDefault="002D2476" w:rsidP="001E49E8">
      <w:pPr>
        <w:pStyle w:val="FootnoteText"/>
      </w:pPr>
      <w:r w:rsidRPr="001E49E8">
        <w:rPr>
          <w:rStyle w:val="FootnoteReference"/>
        </w:rPr>
        <w:footnoteRef/>
      </w:r>
      <w:r w:rsidRPr="001E49E8">
        <w:t xml:space="preserve"> </w:t>
      </w:r>
      <w:r w:rsidRPr="001E49E8">
        <w:rPr>
          <w:color w:val="000000" w:themeColor="text1"/>
        </w:rPr>
        <w:t xml:space="preserve">Pierre-Yves Gomez and Harry Korine, Entrepreneurs and Democracy: </w:t>
      </w:r>
    </w:p>
  </w:footnote>
  <w:footnote w:id="63">
    <w:p w14:paraId="144ADC42" w14:textId="77777777" w:rsidR="002D2476" w:rsidRPr="001E49E8" w:rsidRDefault="002D2476" w:rsidP="001E49E8">
      <w:pPr>
        <w:pStyle w:val="FootnoteText"/>
      </w:pPr>
      <w:r w:rsidRPr="001E49E8">
        <w:rPr>
          <w:rStyle w:val="FootnoteReference"/>
        </w:rPr>
        <w:footnoteRef/>
      </w:r>
      <w:r w:rsidRPr="001E49E8">
        <w:t xml:space="preserve"> </w:t>
      </w:r>
      <w:r w:rsidRPr="001E49E8">
        <w:rPr>
          <w:color w:val="000000" w:themeColor="text1"/>
        </w:rPr>
        <w:t xml:space="preserve">Pierre-Yves Gomez and Harry Korine, Entrepreneurs and Democracy: </w:t>
      </w:r>
    </w:p>
  </w:footnote>
  <w:footnote w:id="64">
    <w:p w14:paraId="44FC5EA4" w14:textId="26169CC7" w:rsidR="002D2476" w:rsidRPr="001E49E8" w:rsidRDefault="002D2476" w:rsidP="00C3205A">
      <w:pPr>
        <w:pStyle w:val="FootnoteText"/>
      </w:pPr>
      <w:r w:rsidRPr="001E49E8">
        <w:rPr>
          <w:rStyle w:val="FootnoteReference"/>
        </w:rPr>
        <w:footnoteRef/>
      </w:r>
      <w:r w:rsidRPr="001E49E8">
        <w:t xml:space="preserve"> </w:t>
      </w:r>
      <w:r>
        <w:rPr>
          <w:i/>
          <w:iCs/>
          <w:color w:val="000000" w:themeColor="text1"/>
        </w:rPr>
        <w:t>Ibid.</w:t>
      </w:r>
      <w:r w:rsidRPr="001E49E8">
        <w:rPr>
          <w:color w:val="000000" w:themeColor="text1"/>
        </w:rPr>
        <w:t xml:space="preserve"> </w:t>
      </w:r>
    </w:p>
  </w:footnote>
  <w:footnote w:id="65">
    <w:p w14:paraId="745197DF" w14:textId="2533EA06" w:rsidR="002D2476" w:rsidRPr="005F5CE0" w:rsidRDefault="002D2476" w:rsidP="00C3205A">
      <w:pPr>
        <w:pStyle w:val="FootnoteText"/>
      </w:pPr>
      <w:r w:rsidRPr="001E49E8">
        <w:rPr>
          <w:rStyle w:val="FootnoteReference"/>
        </w:rPr>
        <w:footnoteRef/>
      </w:r>
      <w:r w:rsidRPr="001E49E8">
        <w:t xml:space="preserve"> </w:t>
      </w:r>
      <w:bookmarkStart w:id="155" w:name="OLE_LINK771"/>
      <w:bookmarkStart w:id="156" w:name="OLE_LINK772"/>
      <w:bookmarkStart w:id="157" w:name="OLE_LINK769"/>
      <w:bookmarkStart w:id="158" w:name="OLE_LINK770"/>
      <w:r w:rsidRPr="005F5CE0">
        <w:rPr>
          <w:i/>
          <w:iCs/>
          <w:color w:val="000000" w:themeColor="text1"/>
        </w:rPr>
        <w:t>Ibid</w:t>
      </w:r>
      <w:bookmarkEnd w:id="155"/>
      <w:bookmarkEnd w:id="156"/>
      <w:r w:rsidRPr="005F5CE0">
        <w:rPr>
          <w:i/>
          <w:iCs/>
          <w:color w:val="000000" w:themeColor="text1"/>
        </w:rPr>
        <w:t>.</w:t>
      </w:r>
      <w:bookmarkEnd w:id="157"/>
      <w:bookmarkEnd w:id="158"/>
    </w:p>
  </w:footnote>
  <w:footnote w:id="66">
    <w:p w14:paraId="3FCE444D" w14:textId="77777777" w:rsidR="002D2476" w:rsidRPr="001E49E8" w:rsidRDefault="002D2476" w:rsidP="00C3205A">
      <w:pPr>
        <w:pStyle w:val="FootnoteText"/>
      </w:pPr>
      <w:r w:rsidRPr="001E49E8">
        <w:rPr>
          <w:rStyle w:val="FootnoteReference"/>
        </w:rPr>
        <w:footnoteRef/>
      </w:r>
      <w:r w:rsidRPr="001E49E8">
        <w:t xml:space="preserve"> </w:t>
      </w:r>
      <w:r w:rsidRPr="001E49E8">
        <w:rPr>
          <w:color w:val="000000" w:themeColor="text1"/>
        </w:rPr>
        <w:t xml:space="preserve">Pierre-Yves Gomez and Harry Korine, Entrepreneurs and Democracy: </w:t>
      </w:r>
    </w:p>
  </w:footnote>
  <w:footnote w:id="67">
    <w:p w14:paraId="40C1347E" w14:textId="0BA75E04" w:rsidR="002D2476" w:rsidRPr="001E49E8" w:rsidRDefault="002D2476" w:rsidP="00C3205A">
      <w:pPr>
        <w:pStyle w:val="FootnoteText"/>
      </w:pPr>
      <w:r w:rsidRPr="001E49E8">
        <w:rPr>
          <w:rStyle w:val="FootnoteReference"/>
        </w:rPr>
        <w:footnoteRef/>
      </w:r>
      <w:r w:rsidRPr="001E49E8">
        <w:t xml:space="preserve"> </w:t>
      </w:r>
      <w:r>
        <w:rPr>
          <w:i/>
          <w:iCs/>
        </w:rPr>
        <w:t>Ibid.</w:t>
      </w:r>
    </w:p>
  </w:footnote>
  <w:footnote w:id="68">
    <w:p w14:paraId="5D7A3559" w14:textId="6251EBB0" w:rsidR="002D2476" w:rsidRPr="001E49E8" w:rsidRDefault="002D2476" w:rsidP="00C3205A">
      <w:pPr>
        <w:pStyle w:val="FootnoteText"/>
      </w:pPr>
      <w:r w:rsidRPr="001E49E8">
        <w:rPr>
          <w:rStyle w:val="FootnoteReference"/>
        </w:rPr>
        <w:footnoteRef/>
      </w:r>
      <w:r w:rsidRPr="001E49E8">
        <w:t xml:space="preserve"> </w:t>
      </w:r>
      <w:r>
        <w:rPr>
          <w:i/>
          <w:iCs/>
        </w:rPr>
        <w:t>Ibid.</w:t>
      </w:r>
    </w:p>
  </w:footnote>
  <w:footnote w:id="69">
    <w:p w14:paraId="06A0F7AC" w14:textId="6EA4FE25" w:rsidR="002D2476" w:rsidRPr="001E49E8" w:rsidRDefault="002D2476" w:rsidP="00C3205A">
      <w:pPr>
        <w:pStyle w:val="FootnoteText"/>
      </w:pPr>
      <w:r w:rsidRPr="001E49E8">
        <w:rPr>
          <w:rStyle w:val="FootnoteReference"/>
        </w:rPr>
        <w:footnoteRef/>
      </w:r>
      <w:r w:rsidRPr="001E49E8">
        <w:t xml:space="preserve"> </w:t>
      </w:r>
      <w:r>
        <w:rPr>
          <w:i/>
          <w:iCs/>
        </w:rPr>
        <w:t>Ibid</w:t>
      </w:r>
      <w:r w:rsidRPr="001E49E8">
        <w:rPr>
          <w:color w:val="000000" w:themeColor="text1"/>
        </w:rPr>
        <w:t xml:space="preserve">: </w:t>
      </w:r>
    </w:p>
  </w:footnote>
  <w:footnote w:id="70">
    <w:p w14:paraId="32EB507B" w14:textId="51C275EF" w:rsidR="002D2476" w:rsidRPr="00AF0FAE" w:rsidRDefault="002D2476" w:rsidP="005F5CE0">
      <w:pPr>
        <w:pStyle w:val="FootnoteText"/>
        <w:rPr>
          <w:i/>
          <w:iCs/>
        </w:rPr>
      </w:pPr>
      <w:r w:rsidRPr="001E49E8">
        <w:rPr>
          <w:rStyle w:val="FootnoteReference"/>
        </w:rPr>
        <w:footnoteRef/>
      </w:r>
      <w:r w:rsidRPr="001E49E8">
        <w:t xml:space="preserve"> </w:t>
      </w:r>
      <w:bookmarkStart w:id="165" w:name="OLE_LINK810"/>
      <w:bookmarkStart w:id="166" w:name="OLE_LINK811"/>
      <w:r>
        <w:rPr>
          <w:i/>
          <w:iCs/>
        </w:rPr>
        <w:t>Ibid.</w:t>
      </w:r>
      <w:bookmarkEnd w:id="165"/>
      <w:bookmarkEnd w:id="166"/>
    </w:p>
  </w:footnote>
  <w:footnote w:id="71">
    <w:p w14:paraId="360DCDD5" w14:textId="77777777"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Cary Coglianese, "Legitimacy and Corporate Governance” (2007), Faculty Scholarship at Penn Law, 145. </w:t>
      </w:r>
    </w:p>
  </w:footnote>
  <w:footnote w:id="72">
    <w:p w14:paraId="4FB73831" w14:textId="02B34C14"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r>
        <w:rPr>
          <w:i/>
          <w:iCs/>
          <w:sz w:val="20"/>
          <w:szCs w:val="20"/>
        </w:rPr>
        <w:t>Ibid.</w:t>
      </w:r>
      <w:r w:rsidRPr="001E49E8">
        <w:rPr>
          <w:sz w:val="20"/>
          <w:szCs w:val="20"/>
        </w:rPr>
        <w:t xml:space="preserve"> </w:t>
      </w:r>
    </w:p>
  </w:footnote>
  <w:footnote w:id="73">
    <w:p w14:paraId="52186DC8" w14:textId="23506B05" w:rsidR="002D2476" w:rsidRPr="001E49E8" w:rsidRDefault="002D2476" w:rsidP="001E49E8">
      <w:pPr>
        <w:pStyle w:val="FootnoteText"/>
      </w:pPr>
      <w:r w:rsidRPr="001E49E8">
        <w:rPr>
          <w:rStyle w:val="FootnoteReference"/>
        </w:rPr>
        <w:footnoteRef/>
      </w:r>
      <w:r w:rsidRPr="001E49E8">
        <w:t xml:space="preserve"> </w:t>
      </w:r>
      <w:r w:rsidRPr="001E49E8">
        <w:rPr>
          <w:color w:val="000000" w:themeColor="text1"/>
        </w:rPr>
        <w:t>Pierre-Yves Gomez and Harry Korine, Entrepreneurs and Democracy</w:t>
      </w:r>
      <w:r>
        <w:rPr>
          <w:color w:val="000000" w:themeColor="text1"/>
        </w:rPr>
        <w:t xml:space="preserve"> p 312</w:t>
      </w:r>
    </w:p>
  </w:footnote>
  <w:footnote w:id="74">
    <w:p w14:paraId="02517980" w14:textId="26A5C7BB" w:rsidR="002D2476" w:rsidRPr="001E49E8" w:rsidRDefault="002D2476" w:rsidP="00127B91">
      <w:pPr>
        <w:pStyle w:val="FootnoteText"/>
      </w:pPr>
      <w:r w:rsidRPr="001E49E8">
        <w:rPr>
          <w:rStyle w:val="FootnoteReference"/>
        </w:rPr>
        <w:footnoteRef/>
      </w:r>
      <w:r w:rsidRPr="001E49E8">
        <w:t xml:space="preserve"> </w:t>
      </w:r>
      <w:r>
        <w:rPr>
          <w:i/>
          <w:iCs/>
        </w:rPr>
        <w:t xml:space="preserve">Ibid. </w:t>
      </w:r>
      <w:r>
        <w:rPr>
          <w:color w:val="000000" w:themeColor="text1"/>
        </w:rPr>
        <w:t>p 315</w:t>
      </w:r>
    </w:p>
  </w:footnote>
  <w:footnote w:id="75">
    <w:p w14:paraId="110A2331" w14:textId="77777777"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r w:rsidRPr="001E49E8">
        <w:rPr>
          <w:color w:val="333333"/>
          <w:sz w:val="20"/>
          <w:szCs w:val="20"/>
          <w:shd w:val="clear" w:color="auto" w:fill="FFFFFF"/>
        </w:rPr>
        <w:t>Choper, Jesse H., John C. Coffee, and Ronald J. Gilson. </w:t>
      </w:r>
      <w:r w:rsidRPr="001E49E8">
        <w:rPr>
          <w:i/>
          <w:iCs/>
          <w:color w:val="333333"/>
          <w:sz w:val="20"/>
          <w:szCs w:val="20"/>
          <w:shd w:val="clear" w:color="auto" w:fill="FFFFFF"/>
        </w:rPr>
        <w:t>Cases and Materials on Corporations</w:t>
      </w:r>
      <w:r w:rsidRPr="001E49E8">
        <w:rPr>
          <w:color w:val="333333"/>
          <w:sz w:val="20"/>
          <w:szCs w:val="20"/>
          <w:shd w:val="clear" w:color="auto" w:fill="FFFFFF"/>
        </w:rPr>
        <w:t>.</w:t>
      </w:r>
    </w:p>
  </w:footnote>
  <w:footnote w:id="76">
    <w:p w14:paraId="4CF4C3D9" w14:textId="0539EB06" w:rsidR="002D2476" w:rsidRPr="001E49E8" w:rsidRDefault="002D2476" w:rsidP="001E49E8">
      <w:pPr>
        <w:pStyle w:val="FootnoteText"/>
      </w:pPr>
      <w:r w:rsidRPr="001E49E8">
        <w:rPr>
          <w:rStyle w:val="FootnoteReference"/>
        </w:rPr>
        <w:footnoteRef/>
      </w:r>
      <w:r w:rsidRPr="001E49E8">
        <w:t xml:space="preserve"> Robert A.</w:t>
      </w:r>
      <w:r>
        <w:t xml:space="preserve"> Kutcher</w:t>
      </w:r>
      <w:r w:rsidRPr="001E49E8">
        <w:t xml:space="preserve">, </w:t>
      </w:r>
      <w:r w:rsidRPr="001E49E8">
        <w:rPr>
          <w:i/>
          <w:iCs/>
        </w:rPr>
        <w:t>Breach of Fiduciary Duties</w:t>
      </w:r>
      <w:r w:rsidRPr="001E49E8">
        <w:t xml:space="preserve">, Chapter 1 of </w:t>
      </w:r>
      <w:r w:rsidRPr="001E49E8">
        <w:rPr>
          <w:i/>
          <w:iCs/>
        </w:rPr>
        <w:t xml:space="preserve">Business Torts Litigation </w:t>
      </w:r>
      <w:r w:rsidRPr="001E49E8">
        <w:t>(2d Ed.), Ann E. Georgehead, Robert Y. Gwin, and David A. Sol, Eds. (2005).</w:t>
      </w:r>
    </w:p>
  </w:footnote>
  <w:footnote w:id="77">
    <w:p w14:paraId="650A4CBF" w14:textId="77777777" w:rsidR="002D2476" w:rsidRPr="001E49E8" w:rsidRDefault="002D2476" w:rsidP="001E49E8">
      <w:pPr>
        <w:pStyle w:val="FootnoteText"/>
      </w:pPr>
      <w:r w:rsidRPr="001E49E8">
        <w:rPr>
          <w:rStyle w:val="FootnoteReference"/>
        </w:rPr>
        <w:footnoteRef/>
      </w:r>
      <w:r w:rsidRPr="001E49E8">
        <w:t xml:space="preserve"> G20/OECD Principles of Corporate Governance.” (2015). OECD iLibrary. Retrieved from </w:t>
      </w:r>
      <w:hyperlink r:id="rId9" w:history="1">
        <w:r w:rsidRPr="001E49E8">
          <w:rPr>
            <w:rStyle w:val="Hyperlink"/>
          </w:rPr>
          <w:t>https://www.oecd-ilibrary.org/governance/g20-oecd-principles-of-corporate-governance-2015_9789264236882-en</w:t>
        </w:r>
      </w:hyperlink>
      <w:r w:rsidRPr="001E49E8">
        <w:t xml:space="preserve"> </w:t>
      </w:r>
    </w:p>
  </w:footnote>
  <w:footnote w:id="78">
    <w:p w14:paraId="572F3153" w14:textId="77777777" w:rsidR="002D2476" w:rsidRPr="001E49E8" w:rsidRDefault="002D2476" w:rsidP="001E49E8">
      <w:pPr>
        <w:pStyle w:val="FootnoteText"/>
      </w:pPr>
      <w:r w:rsidRPr="001E49E8">
        <w:rPr>
          <w:rStyle w:val="FootnoteReference"/>
        </w:rPr>
        <w:footnoteRef/>
      </w:r>
      <w:r w:rsidRPr="001E49E8">
        <w:t xml:space="preserve"> “Fiduciary Duty,” Cornell Law Library. Retrieved from </w:t>
      </w:r>
      <w:hyperlink r:id="rId10" w:history="1">
        <w:r w:rsidRPr="001E49E8">
          <w:rPr>
            <w:rStyle w:val="Hyperlink"/>
          </w:rPr>
          <w:t>https://www.law.cornell.edu/wex/fiduciary_duty</w:t>
        </w:r>
      </w:hyperlink>
      <w:r w:rsidRPr="001E49E8">
        <w:t xml:space="preserve"> </w:t>
      </w:r>
    </w:p>
  </w:footnote>
  <w:footnote w:id="79">
    <w:p w14:paraId="4884133F" w14:textId="014654B1"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80">
    <w:p w14:paraId="0DE3266A" w14:textId="17939C5F" w:rsidR="002D2476" w:rsidRPr="001E49E8" w:rsidRDefault="002D2476" w:rsidP="001E49E8">
      <w:pPr>
        <w:pStyle w:val="FootnoteText"/>
      </w:pPr>
      <w:r w:rsidRPr="001E49E8">
        <w:rPr>
          <w:rStyle w:val="FootnoteReference"/>
        </w:rPr>
        <w:footnoteRef/>
      </w:r>
      <w:r w:rsidRPr="001E49E8">
        <w:t xml:space="preserve"> Association of Governing Boards of Universities and Colleges. (n.d.). Fiduciary Duties. </w:t>
      </w:r>
      <w:hyperlink r:id="rId11" w:history="1">
        <w:r w:rsidRPr="001E49E8">
          <w:rPr>
            <w:rStyle w:val="Hyperlink"/>
          </w:rPr>
          <w:t>https://www.agb.org/briefs/fiduciary-duties</w:t>
        </w:r>
      </w:hyperlink>
      <w:r w:rsidRPr="001E49E8">
        <w:t xml:space="preserve"> </w:t>
      </w:r>
    </w:p>
  </w:footnote>
  <w:footnote w:id="81">
    <w:p w14:paraId="5E4571C5" w14:textId="77777777" w:rsidR="002D2476" w:rsidRPr="001E49E8" w:rsidRDefault="002D2476" w:rsidP="001E49E8">
      <w:pPr>
        <w:pStyle w:val="NormalWeb"/>
        <w:rPr>
          <w:sz w:val="20"/>
          <w:szCs w:val="20"/>
        </w:rPr>
      </w:pPr>
      <w:r w:rsidRPr="001E49E8">
        <w:rPr>
          <w:rStyle w:val="FootnoteReference"/>
          <w:sz w:val="20"/>
          <w:szCs w:val="20"/>
        </w:rPr>
        <w:footnoteRef/>
      </w:r>
      <w:r w:rsidRPr="001E49E8">
        <w:rPr>
          <w:sz w:val="20"/>
          <w:szCs w:val="20"/>
        </w:rPr>
        <w:t xml:space="preserve"> Robert A. Kutcher, </w:t>
      </w:r>
      <w:r w:rsidRPr="001E49E8">
        <w:rPr>
          <w:i/>
          <w:iCs/>
          <w:sz w:val="20"/>
          <w:szCs w:val="20"/>
        </w:rPr>
        <w:t>Breach of Fiduciary Duties</w:t>
      </w:r>
      <w:r w:rsidRPr="001E49E8">
        <w:rPr>
          <w:sz w:val="20"/>
          <w:szCs w:val="20"/>
        </w:rPr>
        <w:t xml:space="preserve">, Chapter 1 p. 3 of </w:t>
      </w:r>
      <w:r w:rsidRPr="001E49E8">
        <w:rPr>
          <w:i/>
          <w:iCs/>
          <w:sz w:val="20"/>
          <w:szCs w:val="20"/>
        </w:rPr>
        <w:t xml:space="preserve">Business Torts Litigation </w:t>
      </w:r>
      <w:r w:rsidRPr="001E49E8">
        <w:rPr>
          <w:sz w:val="20"/>
          <w:szCs w:val="20"/>
        </w:rPr>
        <w:t>(2d Ed.), Ann E. Georgehead, Robert Y. Gwin, and David A. Sol, Eds. (2005)</w:t>
      </w:r>
    </w:p>
  </w:footnote>
  <w:footnote w:id="82">
    <w:p w14:paraId="292A746D" w14:textId="77777777" w:rsidR="002D2476" w:rsidRPr="001E49E8" w:rsidRDefault="002D2476" w:rsidP="001E49E8">
      <w:pPr>
        <w:pStyle w:val="FootnoteText"/>
      </w:pPr>
      <w:r w:rsidRPr="001E49E8">
        <w:rPr>
          <w:rStyle w:val="FootnoteReference"/>
        </w:rPr>
        <w:footnoteRef/>
      </w:r>
      <w:r w:rsidRPr="001E49E8">
        <w:t xml:space="preserve"> “Fiduciary Duty.” (n.d.) Cornell Law Library. Retrieved from </w:t>
      </w:r>
      <w:hyperlink r:id="rId12" w:history="1">
        <w:r w:rsidRPr="001E49E8">
          <w:rPr>
            <w:rStyle w:val="Hyperlink"/>
          </w:rPr>
          <w:t>https://www.law.cornell.edu/wex/fiduciary_duty</w:t>
        </w:r>
      </w:hyperlink>
      <w:r w:rsidRPr="001E49E8">
        <w:t xml:space="preserve"> </w:t>
      </w:r>
    </w:p>
  </w:footnote>
  <w:footnote w:id="83">
    <w:p w14:paraId="5CC1359D" w14:textId="77777777" w:rsidR="002D2476" w:rsidRPr="001E49E8" w:rsidRDefault="002D2476" w:rsidP="001E49E8">
      <w:pPr>
        <w:pStyle w:val="FootnoteText"/>
      </w:pPr>
      <w:r w:rsidRPr="001E49E8">
        <w:rPr>
          <w:rStyle w:val="FootnoteReference"/>
        </w:rPr>
        <w:footnoteRef/>
      </w:r>
      <w:r w:rsidRPr="001E49E8">
        <w:t xml:space="preserve"> G20/OECD Principles of Corporate Governance.” (2015). OECD iLibrary. </w:t>
      </w:r>
    </w:p>
  </w:footnote>
  <w:footnote w:id="84">
    <w:p w14:paraId="7B32B4D4" w14:textId="022BB2B1" w:rsidR="002D2476" w:rsidRPr="001E49E8" w:rsidRDefault="002D2476" w:rsidP="001E49E8">
      <w:pPr>
        <w:pStyle w:val="NormalWeb"/>
        <w:rPr>
          <w:sz w:val="20"/>
          <w:szCs w:val="20"/>
        </w:rPr>
      </w:pPr>
      <w:r w:rsidRPr="001E49E8">
        <w:rPr>
          <w:rStyle w:val="FootnoteReference"/>
          <w:sz w:val="20"/>
          <w:szCs w:val="20"/>
        </w:rPr>
        <w:footnoteRef/>
      </w:r>
      <w:r w:rsidRPr="001E49E8">
        <w:rPr>
          <w:sz w:val="20"/>
          <w:szCs w:val="20"/>
        </w:rPr>
        <w:t xml:space="preserve"> Robert A. Kutcher, </w:t>
      </w:r>
      <w:r w:rsidRPr="001E49E8">
        <w:rPr>
          <w:i/>
          <w:iCs/>
          <w:sz w:val="20"/>
          <w:szCs w:val="20"/>
        </w:rPr>
        <w:t>Breach of Fiduciary Duties</w:t>
      </w:r>
      <w:r w:rsidRPr="001E49E8">
        <w:rPr>
          <w:sz w:val="20"/>
          <w:szCs w:val="20"/>
        </w:rPr>
        <w:t xml:space="preserve">, Chapter 1 p. 3 of </w:t>
      </w:r>
      <w:r w:rsidRPr="001E49E8">
        <w:rPr>
          <w:i/>
          <w:iCs/>
          <w:sz w:val="20"/>
          <w:szCs w:val="20"/>
        </w:rPr>
        <w:t xml:space="preserve">Business Torts Litigation </w:t>
      </w:r>
      <w:r w:rsidRPr="001E49E8">
        <w:rPr>
          <w:sz w:val="20"/>
          <w:szCs w:val="20"/>
        </w:rPr>
        <w:t xml:space="preserve">(2d Ed.), </w:t>
      </w:r>
    </w:p>
  </w:footnote>
  <w:footnote w:id="85">
    <w:p w14:paraId="63501F53" w14:textId="77777777"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r w:rsidRPr="001E49E8">
        <w:rPr>
          <w:color w:val="333333"/>
          <w:sz w:val="20"/>
          <w:szCs w:val="20"/>
          <w:shd w:val="clear" w:color="auto" w:fill="FFFFFF"/>
        </w:rPr>
        <w:t>Choper, Jesse H., John C. Coffee, and Ronald J. Gilson. </w:t>
      </w:r>
      <w:r w:rsidRPr="001E49E8">
        <w:rPr>
          <w:i/>
          <w:iCs/>
          <w:color w:val="333333"/>
          <w:sz w:val="20"/>
          <w:szCs w:val="20"/>
          <w:shd w:val="clear" w:color="auto" w:fill="FFFFFF"/>
        </w:rPr>
        <w:t>Cases and Materials on Corporations</w:t>
      </w:r>
      <w:r w:rsidRPr="001E49E8">
        <w:rPr>
          <w:color w:val="333333"/>
          <w:sz w:val="20"/>
          <w:szCs w:val="20"/>
          <w:shd w:val="clear" w:color="auto" w:fill="FFFFFF"/>
        </w:rPr>
        <w:t>.</w:t>
      </w:r>
    </w:p>
  </w:footnote>
  <w:footnote w:id="86">
    <w:p w14:paraId="6F8CB5C6" w14:textId="77777777" w:rsidR="002D2476" w:rsidRPr="001E49E8" w:rsidRDefault="002D2476" w:rsidP="001E49E8">
      <w:pPr>
        <w:pStyle w:val="FootnoteText"/>
      </w:pPr>
      <w:r w:rsidRPr="001E49E8">
        <w:rPr>
          <w:rStyle w:val="FootnoteReference"/>
        </w:rPr>
        <w:footnoteRef/>
      </w:r>
      <w:r w:rsidRPr="001E49E8">
        <w:t xml:space="preserve"> Jonathan R. Macey, “An Economic Analysis of the Various Rationales for Making Shareholders the Exclusive Beneficiaries of Corporate Fiduciary Duties” </w:t>
      </w:r>
      <w:r w:rsidRPr="001E49E8">
        <w:rPr>
          <w:i/>
          <w:iCs/>
        </w:rPr>
        <w:t xml:space="preserve">Stetson Law Review, 1991. </w:t>
      </w:r>
    </w:p>
  </w:footnote>
  <w:footnote w:id="87">
    <w:p w14:paraId="04267215" w14:textId="77777777" w:rsidR="002D2476" w:rsidRPr="001E49E8" w:rsidRDefault="002D2476" w:rsidP="001E49E8">
      <w:pPr>
        <w:pStyle w:val="FootnoteText"/>
      </w:pPr>
      <w:r w:rsidRPr="001E49E8">
        <w:rPr>
          <w:rStyle w:val="FootnoteReference"/>
        </w:rPr>
        <w:footnoteRef/>
      </w:r>
      <w:r w:rsidRPr="001E49E8">
        <w:t xml:space="preserve"> Jonathan R. Macey, “An Economic Analysis of the Various Rationales for Making Shareholders the Exclusive Beneficiaries of Corporate Fiduciary Duties” </w:t>
      </w:r>
      <w:r w:rsidRPr="001E49E8">
        <w:rPr>
          <w:i/>
          <w:iCs/>
        </w:rPr>
        <w:t xml:space="preserve">Stetson Law Review, 1991. </w:t>
      </w:r>
    </w:p>
  </w:footnote>
  <w:footnote w:id="88">
    <w:p w14:paraId="51F33A90" w14:textId="5BCFCFF2"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89">
    <w:p w14:paraId="2D10E444" w14:textId="77777777" w:rsidR="002D2476" w:rsidRPr="001E49E8" w:rsidRDefault="002D2476" w:rsidP="001E49E8">
      <w:pPr>
        <w:pStyle w:val="FootnoteText"/>
      </w:pPr>
      <w:r w:rsidRPr="001E49E8">
        <w:rPr>
          <w:rStyle w:val="FootnoteReference"/>
        </w:rPr>
        <w:footnoteRef/>
      </w:r>
      <w:r w:rsidRPr="001E49E8">
        <w:t xml:space="preserve"> </w:t>
      </w:r>
      <w:bookmarkStart w:id="209" w:name="OLE_LINK268"/>
      <w:bookmarkStart w:id="210" w:name="OLE_LINK269"/>
      <w:r w:rsidRPr="001E49E8">
        <w:t>Blair, Margaret M., and Lynn A. Stout. “Specific Investment and Corporate Law.”</w:t>
      </w:r>
      <w:bookmarkEnd w:id="209"/>
      <w:bookmarkEnd w:id="210"/>
      <w:r w:rsidRPr="001E49E8">
        <w:t xml:space="preserve"> </w:t>
      </w:r>
      <w:r w:rsidRPr="001E49E8">
        <w:rPr>
          <w:i/>
          <w:iCs/>
        </w:rPr>
        <w:t>European Business Organization Law Review</w:t>
      </w:r>
      <w:r w:rsidRPr="001E49E8">
        <w:t xml:space="preserve"> 7, no. 2 (2006): 473–500. </w:t>
      </w:r>
      <w:hyperlink r:id="rId13" w:history="1">
        <w:r w:rsidRPr="001E49E8">
          <w:rPr>
            <w:rStyle w:val="Hyperlink"/>
          </w:rPr>
          <w:t>https://doi.org/10.1017/s1566752906004733</w:t>
        </w:r>
      </w:hyperlink>
      <w:r w:rsidRPr="001E49E8">
        <w:t xml:space="preserve">. </w:t>
      </w:r>
    </w:p>
  </w:footnote>
  <w:footnote w:id="90">
    <w:p w14:paraId="266894B5" w14:textId="09744274"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91">
    <w:p w14:paraId="7C11C058" w14:textId="411A604C"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92">
    <w:p w14:paraId="500CE049" w14:textId="7B12EA36" w:rsidR="002D2476" w:rsidRPr="001E49E8" w:rsidRDefault="002D2476" w:rsidP="001E49E8">
      <w:pPr>
        <w:pStyle w:val="FootnoteText"/>
      </w:pPr>
      <w:r w:rsidRPr="001E49E8">
        <w:rPr>
          <w:rStyle w:val="FootnoteReference"/>
        </w:rPr>
        <w:footnoteRef/>
      </w:r>
      <w:r w:rsidRPr="001E49E8">
        <w:t xml:space="preserve"> Richard Clark, Agency Costs versus Fiduciary Duties, in </w:t>
      </w:r>
      <w:bookmarkStart w:id="215" w:name="OLE_LINK38"/>
      <w:r w:rsidRPr="001E49E8">
        <w:t>Principals and Agents: The Structure of Business 55, 56 John W. Pratt &amp; Richard J. Zeckhauser eds.</w:t>
      </w:r>
      <w:r>
        <w:t xml:space="preserve">, </w:t>
      </w:r>
      <w:r w:rsidRPr="001E49E8">
        <w:t>1985</w:t>
      </w:r>
    </w:p>
    <w:bookmarkEnd w:id="215"/>
  </w:footnote>
  <w:footnote w:id="93">
    <w:p w14:paraId="4C418727" w14:textId="77901295" w:rsidR="002D2476" w:rsidRPr="001E49E8" w:rsidRDefault="002D2476" w:rsidP="001E49E8">
      <w:pPr>
        <w:pStyle w:val="FootnoteText"/>
      </w:pPr>
      <w:r w:rsidRPr="001E49E8">
        <w:rPr>
          <w:rStyle w:val="FootnoteReference"/>
        </w:rPr>
        <w:footnoteRef/>
      </w:r>
      <w:r w:rsidRPr="001E49E8">
        <w:t xml:space="preserve"> Clark, Agency Costs versus Fiduciary Duties, in Principals and Agents: The Structure of Business 55, 56 John W. Pratt &amp; Richard J. Zeckhauser eds, 1985</w:t>
      </w:r>
    </w:p>
  </w:footnote>
  <w:footnote w:id="94">
    <w:p w14:paraId="672CDBDD" w14:textId="1FB00537" w:rsidR="002D2476" w:rsidRPr="001E49E8" w:rsidRDefault="002D2476" w:rsidP="001E49E8">
      <w:pPr>
        <w:pStyle w:val="FootnoteText"/>
      </w:pPr>
      <w:r w:rsidRPr="001E49E8">
        <w:rPr>
          <w:rStyle w:val="FootnoteReference"/>
        </w:rPr>
        <w:footnoteRef/>
      </w:r>
      <w:r w:rsidRPr="001E49E8">
        <w:t xml:space="preserve"> Blair, Margaret M., and Lynn A. Stout. “Specific Investment and Corporate Law.” </w:t>
      </w:r>
      <w:r w:rsidRPr="001E49E8">
        <w:rPr>
          <w:i/>
          <w:iCs/>
        </w:rPr>
        <w:t>European Business Organization Law Review</w:t>
      </w:r>
      <w:r w:rsidRPr="001E49E8">
        <w:t xml:space="preserve"> 7, no. 2 (2006): 473–500. </w:t>
      </w:r>
    </w:p>
  </w:footnote>
  <w:footnote w:id="95">
    <w:p w14:paraId="085C0073" w14:textId="5AE79B47" w:rsidR="002D2476" w:rsidRPr="001E49E8" w:rsidRDefault="002D2476" w:rsidP="00AD362B">
      <w:pPr>
        <w:pStyle w:val="FootnoteText"/>
      </w:pPr>
      <w:r w:rsidRPr="001E49E8">
        <w:rPr>
          <w:rStyle w:val="FootnoteReference"/>
        </w:rPr>
        <w:footnoteRef/>
      </w:r>
      <w:r w:rsidRPr="001E49E8">
        <w:t xml:space="preserve"> John Raymond Boatright, Finance Ethics: Critical Issues in Theory and Practice, Hoboken, NJ: J. Wiley &amp; Sons, 2010</w:t>
      </w:r>
    </w:p>
  </w:footnote>
  <w:footnote w:id="96">
    <w:p w14:paraId="4C89FA1E" w14:textId="348357C8" w:rsidR="002D2476" w:rsidRPr="001E49E8" w:rsidRDefault="002D2476" w:rsidP="00AD362B">
      <w:pPr>
        <w:pStyle w:val="FootnoteText"/>
      </w:pPr>
      <w:r w:rsidRPr="001E49E8">
        <w:rPr>
          <w:rStyle w:val="FootnoteReference"/>
        </w:rPr>
        <w:footnoteRef/>
      </w:r>
      <w:r w:rsidRPr="001E49E8">
        <w:t xml:space="preserve"> </w:t>
      </w:r>
      <w:r>
        <w:rPr>
          <w:i/>
          <w:iCs/>
        </w:rPr>
        <w:t>Ibid.</w:t>
      </w:r>
    </w:p>
  </w:footnote>
  <w:footnote w:id="97">
    <w:p w14:paraId="3EFB9E94" w14:textId="77777777" w:rsidR="002D2476" w:rsidRPr="001E49E8" w:rsidRDefault="002D2476" w:rsidP="001E49E8">
      <w:pPr>
        <w:pStyle w:val="FootnoteText"/>
      </w:pPr>
      <w:r w:rsidRPr="001E49E8">
        <w:rPr>
          <w:rStyle w:val="FootnoteReference"/>
        </w:rPr>
        <w:footnoteRef/>
      </w:r>
      <w:r w:rsidRPr="001E49E8">
        <w:t xml:space="preserve"> Blair, Margaret M., and Lynn A. Stout. “Specific Investment and Corporate Law.” </w:t>
      </w:r>
      <w:r w:rsidRPr="001E49E8">
        <w:rPr>
          <w:i/>
          <w:iCs/>
        </w:rPr>
        <w:t>European Business Organization Law Review</w:t>
      </w:r>
      <w:r w:rsidRPr="001E49E8">
        <w:t xml:space="preserve"> 7, no. 2 (2006): 473–500. </w:t>
      </w:r>
      <w:hyperlink r:id="rId14" w:history="1">
        <w:r w:rsidRPr="001E49E8">
          <w:rPr>
            <w:rStyle w:val="Hyperlink"/>
          </w:rPr>
          <w:t>https://doi.org/10.1017/s1566752906004733</w:t>
        </w:r>
      </w:hyperlink>
      <w:r w:rsidRPr="001E49E8">
        <w:t xml:space="preserve">. </w:t>
      </w:r>
    </w:p>
  </w:footnote>
  <w:footnote w:id="98">
    <w:p w14:paraId="3812549C" w14:textId="77777777" w:rsidR="002D2476" w:rsidRPr="001E49E8" w:rsidRDefault="002D2476" w:rsidP="001E49E8">
      <w:pPr>
        <w:pStyle w:val="FootnoteText"/>
      </w:pPr>
      <w:r w:rsidRPr="001E49E8">
        <w:rPr>
          <w:rStyle w:val="FootnoteReference"/>
        </w:rPr>
        <w:footnoteRef/>
      </w:r>
      <w:r w:rsidRPr="001E49E8">
        <w:t xml:space="preserve"> Blair, Margaret M., and Lynn A. Stout. “Specific Investment and Corporate Law.” </w:t>
      </w:r>
      <w:r w:rsidRPr="001E49E8">
        <w:rPr>
          <w:i/>
          <w:iCs/>
        </w:rPr>
        <w:t>European Business Organization Law Review</w:t>
      </w:r>
      <w:r w:rsidRPr="001E49E8">
        <w:t xml:space="preserve"> 7, no. 2 (2006): 473–500. </w:t>
      </w:r>
      <w:hyperlink r:id="rId15" w:history="1">
        <w:r w:rsidRPr="001E49E8">
          <w:rPr>
            <w:rStyle w:val="Hyperlink"/>
          </w:rPr>
          <w:t>https://doi.org/10.1017/s1566752906004733</w:t>
        </w:r>
      </w:hyperlink>
      <w:r w:rsidRPr="001E49E8">
        <w:t xml:space="preserve">. </w:t>
      </w:r>
    </w:p>
  </w:footnote>
  <w:footnote w:id="99">
    <w:p w14:paraId="3244B9F1" w14:textId="490B71CA"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00">
    <w:p w14:paraId="119E2127" w14:textId="3FDDBEBE"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01">
    <w:p w14:paraId="7A6A9D65" w14:textId="100CBAA1"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02">
    <w:p w14:paraId="67B7B381" w14:textId="77777777" w:rsidR="002D2476" w:rsidRPr="001E49E8" w:rsidRDefault="002D2476" w:rsidP="001E49E8">
      <w:pPr>
        <w:pStyle w:val="FootnoteText"/>
      </w:pPr>
      <w:r w:rsidRPr="001E49E8">
        <w:rPr>
          <w:rStyle w:val="FootnoteReference"/>
        </w:rPr>
        <w:footnoteRef/>
      </w:r>
      <w:r w:rsidRPr="001E49E8">
        <w:t xml:space="preserve"> John R. Boatright, “What’s Wrong and What’s Right with Stakeholder Management,” 21 J. of Private Enterprise (2006), at 106-30 12. </w:t>
      </w:r>
    </w:p>
  </w:footnote>
  <w:footnote w:id="103">
    <w:p w14:paraId="0D6E570C" w14:textId="77777777" w:rsidR="002D2476" w:rsidRPr="001E49E8" w:rsidRDefault="002D2476" w:rsidP="001E49E8">
      <w:pPr>
        <w:pStyle w:val="FootnoteText"/>
      </w:pPr>
      <w:r w:rsidRPr="001E49E8">
        <w:rPr>
          <w:rStyle w:val="FootnoteReference"/>
        </w:rPr>
        <w:footnoteRef/>
      </w:r>
      <w:r w:rsidRPr="001E49E8">
        <w:t xml:space="preserve"> John R. Boatright, “What’s Wrong and What’s Right with Stakeholder Management,” 21 J. of Private Enterprise (2006), at 106-30 12. </w:t>
      </w:r>
    </w:p>
  </w:footnote>
  <w:footnote w:id="104">
    <w:p w14:paraId="1C69AA6F" w14:textId="77777777" w:rsidR="002D2476" w:rsidRPr="001E49E8" w:rsidRDefault="002D2476" w:rsidP="001E49E8">
      <w:pPr>
        <w:pStyle w:val="FootnoteText"/>
      </w:pPr>
      <w:r w:rsidRPr="001E49E8">
        <w:rPr>
          <w:rStyle w:val="FootnoteReference"/>
        </w:rPr>
        <w:footnoteRef/>
      </w:r>
      <w:r w:rsidRPr="001E49E8">
        <w:t xml:space="preserve"> Lynn A. Stout, “Why We should stop teaching Dodge v. Ford”, 3 Va. L. Bus. Rev., at 163-76 (2008) </w:t>
      </w:r>
    </w:p>
  </w:footnote>
  <w:footnote w:id="105">
    <w:p w14:paraId="573475F2" w14:textId="77777777" w:rsidR="002D2476" w:rsidRPr="001E49E8" w:rsidRDefault="002D2476" w:rsidP="001E49E8">
      <w:pPr>
        <w:pStyle w:val="FootnoteText"/>
      </w:pPr>
      <w:r w:rsidRPr="001E49E8">
        <w:rPr>
          <w:rStyle w:val="FootnoteReference"/>
        </w:rPr>
        <w:footnoteRef/>
      </w:r>
      <w:r w:rsidRPr="001E49E8">
        <w:t xml:space="preserve"> Michael C. Jensen, “Value Maximization, Stakeholder Theory, and the Corporate Objective Function,” Journal of Applied Corporate Finance 22, no. 1 (2010): pp. 32-42, https://doi.org/10.1111/j.1745-6622.2010.00259.</w:t>
      </w:r>
    </w:p>
  </w:footnote>
  <w:footnote w:id="106">
    <w:p w14:paraId="129D9A7C" w14:textId="77777777" w:rsidR="002D2476" w:rsidRPr="001E49E8" w:rsidRDefault="002D2476" w:rsidP="001E49E8">
      <w:pPr>
        <w:pStyle w:val="FootnoteText"/>
      </w:pPr>
      <w:r w:rsidRPr="001E49E8">
        <w:rPr>
          <w:rStyle w:val="FootnoteReference"/>
        </w:rPr>
        <w:footnoteRef/>
      </w:r>
      <w:r w:rsidRPr="001E49E8">
        <w:t xml:space="preserve"> </w:t>
      </w:r>
      <w:bookmarkStart w:id="228" w:name="OLE_LINK98"/>
      <w:bookmarkStart w:id="229" w:name="OLE_LINK99"/>
      <w:r w:rsidRPr="001E49E8">
        <w:t>Eugene V. Rostow, “To Whom and For What Ends is Corporate Management Responsible?”, in Edward S. Mason, The Corporation in Modern Society (Harvard U.P., 1959), Chapter 5, pg 71.</w:t>
      </w:r>
      <w:bookmarkEnd w:id="228"/>
      <w:bookmarkEnd w:id="229"/>
    </w:p>
  </w:footnote>
  <w:footnote w:id="107">
    <w:p w14:paraId="5EDADCAC" w14:textId="77777777" w:rsidR="002D2476" w:rsidRPr="001E49E8" w:rsidRDefault="002D2476" w:rsidP="001E49E8">
      <w:pPr>
        <w:pStyle w:val="FootnoteText"/>
      </w:pPr>
      <w:r w:rsidRPr="001E49E8">
        <w:rPr>
          <w:rStyle w:val="FootnoteReference"/>
        </w:rPr>
        <w:footnoteRef/>
      </w:r>
      <w:r w:rsidRPr="001E49E8">
        <w:t xml:space="preserve"> Michael C. Jensen, “Value Maximization, Stakeholder Theory, and the Corporate Objective Function”</w:t>
      </w:r>
    </w:p>
  </w:footnote>
  <w:footnote w:id="108">
    <w:p w14:paraId="0D50ACD8" w14:textId="3F9B4A16"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09">
    <w:p w14:paraId="14B29D4F" w14:textId="77777777" w:rsidR="002D2476" w:rsidRPr="001E49E8" w:rsidRDefault="002D2476" w:rsidP="001E49E8">
      <w:pPr>
        <w:pStyle w:val="FootnoteText"/>
      </w:pPr>
      <w:r w:rsidRPr="001E49E8">
        <w:rPr>
          <w:rStyle w:val="FootnoteReference"/>
        </w:rPr>
        <w:footnoteRef/>
      </w:r>
      <w:r w:rsidRPr="001E49E8">
        <w:t xml:space="preserve"> </w:t>
      </w:r>
      <w:bookmarkStart w:id="238" w:name="OLE_LINK110"/>
      <w:bookmarkStart w:id="239" w:name="OLE_LINK111"/>
      <w:r w:rsidRPr="001E49E8">
        <w:t xml:space="preserve">Lynn A. Stout, “Why We should stop teaching Dodge v. Ford”, 3 Va. L. Bus. Rev., at 163-76 (2008) </w:t>
      </w:r>
      <w:bookmarkEnd w:id="238"/>
      <w:bookmarkEnd w:id="239"/>
    </w:p>
  </w:footnote>
  <w:footnote w:id="110">
    <w:p w14:paraId="2349A3E3" w14:textId="77777777" w:rsidR="002D2476" w:rsidRPr="001E49E8" w:rsidRDefault="002D2476" w:rsidP="001E49E8">
      <w:pPr>
        <w:pStyle w:val="FootnoteText"/>
      </w:pPr>
      <w:r w:rsidRPr="001E49E8">
        <w:rPr>
          <w:rStyle w:val="FootnoteReference"/>
        </w:rPr>
        <w:footnoteRef/>
      </w:r>
      <w:r w:rsidRPr="001E49E8">
        <w:t xml:space="preserve"> Lynn A. Stout, “Why We should stop teaching Dodge v. Ford”, 3 Va. L. Bus. Rev., at 163-76 (2008) </w:t>
      </w:r>
    </w:p>
  </w:footnote>
  <w:footnote w:id="111">
    <w:p w14:paraId="6B7971A4" w14:textId="05A67252" w:rsidR="002D2476" w:rsidRPr="001E49E8" w:rsidRDefault="002D2476" w:rsidP="001E49E8">
      <w:pPr>
        <w:pStyle w:val="FootnoteText"/>
      </w:pPr>
      <w:r w:rsidRPr="001E49E8">
        <w:rPr>
          <w:rStyle w:val="FootnoteReference"/>
        </w:rPr>
        <w:footnoteRef/>
      </w:r>
      <w:r w:rsidRPr="001E49E8">
        <w:t xml:space="preserve"> Robert Charles Clark, </w:t>
      </w:r>
      <w:r w:rsidRPr="001E49E8">
        <w:rPr>
          <w:i/>
          <w:iCs/>
        </w:rPr>
        <w:t>Corporate Law</w:t>
      </w:r>
      <w:r w:rsidRPr="001E49E8">
        <w:t xml:space="preserve">, 678 (1986), </w:t>
      </w:r>
      <w:bookmarkStart w:id="240" w:name="OLE_LINK530"/>
      <w:bookmarkStart w:id="241" w:name="OLE_LINK531"/>
      <w:r w:rsidRPr="001E49E8">
        <w:t xml:space="preserve">at 681-84 </w:t>
      </w:r>
      <w:bookmarkEnd w:id="240"/>
      <w:bookmarkEnd w:id="241"/>
      <w:r w:rsidRPr="001E49E8">
        <w:t>(noting the difficulty of establishing any long-run difference between public and private interests); Blair &amp; Stout, 303 (giving examples of how modern corporate law departs from "the norm of shareholder primacy" and noting that "case law interpreting the business judgment rule often explicitly authorizes directors to sacrifice shareholders' interests to protect other constituencies"); Elhauge,</w:t>
      </w:r>
      <w:r>
        <w:t xml:space="preserve"> </w:t>
      </w:r>
      <w:r w:rsidRPr="001E49E8">
        <w:t xml:space="preserve">at 763-76 (describing corporate discretion to refrain from legal profit-maximizing activity); Lisa M. Fairfax, Doing Well While Doing Good: Reassessing the Scope of Directors Fiduciary Obligations in For-Profit </w:t>
      </w:r>
      <w:r w:rsidR="001303BD" w:rsidRPr="001E49E8">
        <w:t>Corporations</w:t>
      </w:r>
      <w:r w:rsidRPr="001E49E8">
        <w:t xml:space="preserve"> with Non-Shareholder Beneficiaries, 59 WASH. &amp; LEE  L. REB. 409, 437-39 (2002) (doctrine that allows a corporation's directors to consider other interests at the expense of the shareholder).</w:t>
      </w:r>
    </w:p>
  </w:footnote>
  <w:footnote w:id="112">
    <w:p w14:paraId="5B21088C" w14:textId="77777777" w:rsidR="002D2476" w:rsidRPr="001E49E8" w:rsidRDefault="002D2476" w:rsidP="001E49E8">
      <w:pPr>
        <w:pStyle w:val="FootnoteText"/>
      </w:pPr>
      <w:r w:rsidRPr="001E49E8">
        <w:rPr>
          <w:rStyle w:val="FootnoteReference"/>
        </w:rPr>
        <w:footnoteRef/>
      </w:r>
      <w:r w:rsidRPr="001E49E8">
        <w:t xml:space="preserve"> Lynn A. Stout, “Why We should stop teaching Dodge v. Ford”, 3 Va. L. Bus. Rev., at 163-76 (2008) </w:t>
      </w:r>
    </w:p>
  </w:footnote>
  <w:footnote w:id="113">
    <w:p w14:paraId="43BD3540" w14:textId="38B99318" w:rsidR="002D2476" w:rsidRPr="001E49E8" w:rsidRDefault="002D2476" w:rsidP="001E49E8">
      <w:pPr>
        <w:pStyle w:val="FootnoteText"/>
      </w:pPr>
      <w:r w:rsidRPr="001E49E8">
        <w:rPr>
          <w:rStyle w:val="FootnoteReference"/>
        </w:rPr>
        <w:footnoteRef/>
      </w:r>
      <w:r w:rsidRPr="001E49E8">
        <w:t xml:space="preserve"> Margaret M. Blair and Lynn A. Stout, “A Team Production Theory of Corporate Law,” </w:t>
      </w:r>
      <w:r w:rsidRPr="001E49E8">
        <w:rPr>
          <w:i/>
          <w:iCs/>
        </w:rPr>
        <w:t>Corporate Governance</w:t>
      </w:r>
      <w:r w:rsidRPr="001E49E8">
        <w:t>, 2017, pp. 169-250, https://doi.org/10.4324/9781315574288-6</w:t>
      </w:r>
    </w:p>
  </w:footnote>
  <w:footnote w:id="114">
    <w:p w14:paraId="0519B2C6" w14:textId="4D71572F"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15">
    <w:p w14:paraId="1D51C10C" w14:textId="77777777" w:rsidR="002D2476" w:rsidRPr="001E49E8" w:rsidRDefault="002D2476" w:rsidP="001E49E8">
      <w:pPr>
        <w:pStyle w:val="FootnoteText"/>
      </w:pPr>
      <w:r w:rsidRPr="001E49E8">
        <w:rPr>
          <w:rStyle w:val="FootnoteReference"/>
        </w:rPr>
        <w:footnoteRef/>
      </w:r>
      <w:r w:rsidRPr="001E49E8">
        <w:t xml:space="preserve"> Lynn A. Stout, “Why We should stop teaching Dodge v. Ford”, 3 Va. L. Bus. Rev., at 163-76 (2008) </w:t>
      </w:r>
    </w:p>
  </w:footnote>
  <w:footnote w:id="116">
    <w:p w14:paraId="6467A932" w14:textId="77777777" w:rsidR="002D2476" w:rsidRPr="001E49E8" w:rsidRDefault="002D2476" w:rsidP="001E49E8">
      <w:pPr>
        <w:pStyle w:val="FootnoteText"/>
      </w:pPr>
      <w:r w:rsidRPr="001E49E8">
        <w:rPr>
          <w:rStyle w:val="FootnoteReference"/>
        </w:rPr>
        <w:footnoteRef/>
      </w:r>
      <w:r w:rsidRPr="001E49E8">
        <w:t xml:space="preserve"> Jonathan R. Macey, “Comment”, 3 Va. L. Bus. Rev., at 177-190 (2008)</w:t>
      </w:r>
    </w:p>
  </w:footnote>
  <w:footnote w:id="117">
    <w:p w14:paraId="2A5D6334" w14:textId="77777777" w:rsidR="002D2476" w:rsidRPr="001E49E8" w:rsidRDefault="002D2476" w:rsidP="00025724">
      <w:pPr>
        <w:pStyle w:val="FootnoteText"/>
      </w:pPr>
      <w:r w:rsidRPr="001E49E8">
        <w:rPr>
          <w:rStyle w:val="FootnoteReference"/>
        </w:rPr>
        <w:footnoteRef/>
      </w:r>
      <w:r w:rsidRPr="001E49E8">
        <w:t xml:space="preserve"> Jonathan R. Macey, “Comment”, 3 Va. L. Bus. Rev., at 177-190 (2008)</w:t>
      </w:r>
    </w:p>
  </w:footnote>
  <w:footnote w:id="118">
    <w:p w14:paraId="77D2DA12" w14:textId="37484B6C"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19">
    <w:p w14:paraId="6F04EEDB" w14:textId="39E6E783"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20">
    <w:p w14:paraId="2B4C2D63" w14:textId="77777777" w:rsidR="002D2476" w:rsidRPr="001E49E8" w:rsidRDefault="002D2476" w:rsidP="001E49E8">
      <w:pPr>
        <w:pStyle w:val="FootnoteText"/>
      </w:pPr>
      <w:r w:rsidRPr="001E49E8">
        <w:rPr>
          <w:rStyle w:val="FootnoteReference"/>
        </w:rPr>
        <w:footnoteRef/>
      </w:r>
      <w:r w:rsidRPr="001E49E8">
        <w:t xml:space="preserve"> Lynn A. Stout, “Why We should stop teaching Dodge v. Ford”, 3 Va. L. Bus. Rev., at 163-76 (2008) </w:t>
      </w:r>
    </w:p>
  </w:footnote>
  <w:footnote w:id="121">
    <w:p w14:paraId="2476031C" w14:textId="7C47E0B7"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22">
    <w:p w14:paraId="5E622256" w14:textId="77777777" w:rsidR="002D2476" w:rsidRPr="001E49E8" w:rsidRDefault="002D2476" w:rsidP="001E49E8">
      <w:pPr>
        <w:pStyle w:val="FootnoteText"/>
      </w:pPr>
      <w:r w:rsidRPr="001E49E8">
        <w:rPr>
          <w:rStyle w:val="FootnoteReference"/>
        </w:rPr>
        <w:footnoteRef/>
      </w:r>
      <w:r w:rsidRPr="001E49E8">
        <w:t xml:space="preserve"> Jonathan R. Macey, “Comment”, 3 Va. L. Bus. Rev., at 177-190 (2008)</w:t>
      </w:r>
    </w:p>
  </w:footnote>
  <w:footnote w:id="123">
    <w:p w14:paraId="75CC1CEC" w14:textId="6B73E7EA" w:rsidR="002D2476" w:rsidRPr="001E49E8" w:rsidRDefault="002D2476" w:rsidP="001E49E8">
      <w:pPr>
        <w:pStyle w:val="FootnoteText"/>
      </w:pPr>
      <w:r w:rsidRPr="001E49E8">
        <w:rPr>
          <w:rStyle w:val="FootnoteReference"/>
        </w:rPr>
        <w:footnoteRef/>
      </w:r>
      <w:r w:rsidRPr="001E49E8">
        <w:t xml:space="preserve"> Cornell Information Technologies, “Common Misunderstandings About Corporations,” Cornell Law School</w:t>
      </w:r>
      <w:r>
        <w:t>.</w:t>
      </w:r>
    </w:p>
  </w:footnote>
  <w:footnote w:id="124">
    <w:p w14:paraId="327E8837" w14:textId="77777777" w:rsidR="002D2476" w:rsidRPr="001E49E8" w:rsidRDefault="002D2476" w:rsidP="001E49E8">
      <w:pPr>
        <w:pStyle w:val="FootnoteText"/>
      </w:pPr>
      <w:r w:rsidRPr="001E49E8">
        <w:rPr>
          <w:rStyle w:val="FootnoteReference"/>
        </w:rPr>
        <w:footnoteRef/>
      </w:r>
      <w:r w:rsidRPr="001E49E8">
        <w:t xml:space="preserve"> Lynn A. Stout, “The Shareholder Value Myth,” Legal Information Institute (Cornell Law School, 2013), https://scholarship.law.cornell.edu/facpub/771/)</w:t>
      </w:r>
    </w:p>
  </w:footnote>
  <w:footnote w:id="125">
    <w:p w14:paraId="3B3C70D6" w14:textId="77777777"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Choper, J. H., Jr., J. C., Gilson, R. J.  (20150130). Cases and Materials on Corporations,  4th Edition </w:t>
      </w:r>
    </w:p>
  </w:footnote>
  <w:footnote w:id="126">
    <w:p w14:paraId="18C186D4" w14:textId="5B9E7108"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r w:rsidRPr="00AF0FAE">
        <w:rPr>
          <w:i/>
          <w:iCs/>
          <w:sz w:val="20"/>
          <w:szCs w:val="20"/>
        </w:rPr>
        <w:t>Ibid.</w:t>
      </w:r>
      <w:r w:rsidRPr="001E49E8">
        <w:rPr>
          <w:sz w:val="20"/>
          <w:szCs w:val="20"/>
        </w:rPr>
        <w:t xml:space="preserve"> </w:t>
      </w:r>
    </w:p>
  </w:footnote>
  <w:footnote w:id="127">
    <w:p w14:paraId="535E38A0" w14:textId="43D7AFE8"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r w:rsidRPr="00AF0FAE">
        <w:rPr>
          <w:i/>
          <w:iCs/>
          <w:sz w:val="20"/>
          <w:szCs w:val="20"/>
        </w:rPr>
        <w:t>Ibid.</w:t>
      </w:r>
    </w:p>
  </w:footnote>
  <w:footnote w:id="128">
    <w:p w14:paraId="60AF2226" w14:textId="77777777" w:rsidR="002D2476" w:rsidRPr="001E49E8" w:rsidRDefault="002D2476" w:rsidP="001E49E8">
      <w:pPr>
        <w:pStyle w:val="FootnoteText"/>
      </w:pPr>
      <w:r w:rsidRPr="001E49E8">
        <w:rPr>
          <w:rStyle w:val="FootnoteReference"/>
        </w:rPr>
        <w:footnoteRef/>
      </w:r>
      <w:r w:rsidRPr="001E49E8">
        <w:t xml:space="preserve"> John R. Boatright, “What’s Wrong and What’s Right with Stakeholder Management,” 21 J. of Private Enterprise (2006), at 106-30 12. </w:t>
      </w:r>
    </w:p>
  </w:footnote>
  <w:footnote w:id="129">
    <w:p w14:paraId="39BDE558" w14:textId="24AA66F3"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30">
    <w:p w14:paraId="45143D21" w14:textId="77777777" w:rsidR="002D2476" w:rsidRPr="001E49E8" w:rsidRDefault="002D2476" w:rsidP="001E49E8">
      <w:pPr>
        <w:pStyle w:val="FootnoteText"/>
      </w:pPr>
      <w:r w:rsidRPr="001E49E8">
        <w:rPr>
          <w:rStyle w:val="FootnoteReference"/>
        </w:rPr>
        <w:footnoteRef/>
      </w:r>
      <w:r w:rsidRPr="001E49E8">
        <w:t xml:space="preserve"> Bruner, Christopher M. Corporate Governance in the Common-Law World: The Political Foundations of Shareholder Power. New York, USA: Cambridge University Press, 2014.</w:t>
      </w:r>
    </w:p>
  </w:footnote>
  <w:footnote w:id="131">
    <w:p w14:paraId="10D7ECCD" w14:textId="77777777" w:rsidR="002D2476" w:rsidRPr="001E49E8" w:rsidRDefault="002D2476" w:rsidP="001E49E8">
      <w:pPr>
        <w:pStyle w:val="FootnoteText"/>
      </w:pPr>
      <w:r w:rsidRPr="001E49E8">
        <w:rPr>
          <w:rStyle w:val="FootnoteReference"/>
        </w:rPr>
        <w:footnoteRef/>
      </w:r>
      <w:r w:rsidRPr="001E49E8">
        <w:t xml:space="preserve"> Adolf A. Berle, and Gardiner C. Means. The Modern Corporation and Private Property. New Brunswick, NJ, U.S.A.: Transaction Publishers, 1999.</w:t>
      </w:r>
    </w:p>
  </w:footnote>
  <w:footnote w:id="132">
    <w:p w14:paraId="46A42673" w14:textId="77777777" w:rsidR="002D2476" w:rsidRPr="001E49E8" w:rsidRDefault="002D2476" w:rsidP="001E49E8">
      <w:pPr>
        <w:pStyle w:val="FootnoteText"/>
      </w:pPr>
      <w:r w:rsidRPr="001E49E8">
        <w:rPr>
          <w:rStyle w:val="FootnoteReference"/>
        </w:rPr>
        <w:footnoteRef/>
      </w:r>
      <w:r w:rsidRPr="001E49E8">
        <w:t xml:space="preserve"> David Ciepley, “Beyond Public and Private”.</w:t>
      </w:r>
    </w:p>
  </w:footnote>
  <w:footnote w:id="133">
    <w:p w14:paraId="2263E98A" w14:textId="77777777" w:rsidR="002D2476" w:rsidRPr="001E49E8" w:rsidRDefault="002D2476" w:rsidP="001E49E8">
      <w:pPr>
        <w:pStyle w:val="FootnoteText"/>
      </w:pPr>
      <w:r w:rsidRPr="001E49E8">
        <w:rPr>
          <w:rStyle w:val="FootnoteReference"/>
        </w:rPr>
        <w:footnoteRef/>
      </w:r>
      <w:r w:rsidRPr="001E49E8">
        <w:t xml:space="preserve"> David Ciepley, “Beyond Public and Private”.</w:t>
      </w:r>
    </w:p>
  </w:footnote>
  <w:footnote w:id="134">
    <w:p w14:paraId="4F61BA54" w14:textId="77777777" w:rsidR="002D2476" w:rsidRPr="001E49E8" w:rsidRDefault="002D2476" w:rsidP="001E49E8">
      <w:pPr>
        <w:pStyle w:val="FootnoteText"/>
      </w:pPr>
      <w:r w:rsidRPr="001E49E8">
        <w:rPr>
          <w:rStyle w:val="FootnoteReference"/>
        </w:rPr>
        <w:footnoteRef/>
      </w:r>
      <w:r w:rsidRPr="001E49E8">
        <w:t xml:space="preserve"> John W. Pratt, and Richard J. Zeckhauser, Principals and Agents: The Structure of Business, 1985.</w:t>
      </w:r>
    </w:p>
  </w:footnote>
  <w:footnote w:id="135">
    <w:p w14:paraId="236BB787" w14:textId="77777777" w:rsidR="002D2476" w:rsidRPr="001E49E8" w:rsidRDefault="002D2476" w:rsidP="001E49E8">
      <w:pPr>
        <w:pStyle w:val="FootnoteText"/>
      </w:pPr>
      <w:r w:rsidRPr="001E49E8">
        <w:rPr>
          <w:rStyle w:val="FootnoteReference"/>
        </w:rPr>
        <w:footnoteRef/>
      </w:r>
      <w:r w:rsidRPr="001E49E8">
        <w:t xml:space="preserve"> Michael C. Jensen, “Value Maximization, Stakeholder Theory, and the Corporate Objective Function”</w:t>
      </w:r>
    </w:p>
  </w:footnote>
  <w:footnote w:id="136">
    <w:p w14:paraId="2B54DEA5" w14:textId="77777777" w:rsidR="002D2476" w:rsidRPr="001E49E8" w:rsidRDefault="002D2476" w:rsidP="001E49E8">
      <w:pPr>
        <w:pStyle w:val="FootnoteText"/>
      </w:pPr>
      <w:r w:rsidRPr="001E49E8">
        <w:rPr>
          <w:rStyle w:val="FootnoteReference"/>
        </w:rPr>
        <w:footnoteRef/>
      </w:r>
      <w:r w:rsidRPr="001E49E8">
        <w:t xml:space="preserve"> Roy C. Smith, and Ingo Walter, </w:t>
      </w:r>
      <w:r w:rsidRPr="001E49E8">
        <w:rPr>
          <w:i/>
          <w:iCs/>
        </w:rPr>
        <w:t>Governing the Modern Corporation.</w:t>
      </w:r>
    </w:p>
  </w:footnote>
  <w:footnote w:id="137">
    <w:p w14:paraId="71EE19C9" w14:textId="77777777" w:rsidR="002D2476" w:rsidRPr="001E49E8" w:rsidRDefault="002D2476" w:rsidP="001E49E8">
      <w:pPr>
        <w:pStyle w:val="FootnoteText"/>
      </w:pPr>
      <w:r w:rsidRPr="001E49E8">
        <w:rPr>
          <w:rStyle w:val="FootnoteReference"/>
        </w:rPr>
        <w:footnoteRef/>
      </w:r>
      <w:r w:rsidRPr="001E49E8">
        <w:t xml:space="preserve"> John W. Pratt, and Richard J. Zeckhauser, Principals and Agents: The Structure of Business, 1985.</w:t>
      </w:r>
    </w:p>
  </w:footnote>
  <w:footnote w:id="138">
    <w:p w14:paraId="70709D1C" w14:textId="77777777" w:rsidR="002D2476" w:rsidRPr="001E49E8" w:rsidRDefault="002D2476" w:rsidP="001E49E8">
      <w:pPr>
        <w:pStyle w:val="FootnoteText"/>
      </w:pPr>
      <w:r w:rsidRPr="001E49E8">
        <w:rPr>
          <w:rStyle w:val="FootnoteReference"/>
        </w:rPr>
        <w:footnoteRef/>
      </w:r>
      <w:r w:rsidRPr="001E49E8">
        <w:t xml:space="preserve"> </w:t>
      </w:r>
      <w:bookmarkStart w:id="270" w:name="OLE_LINK112"/>
      <w:bookmarkStart w:id="271" w:name="OLE_LINK113"/>
      <w:r w:rsidRPr="001E49E8">
        <w:t xml:space="preserve">Blair, Margaret M., and Lynn A. Stout. “Specific Investment and Corporate Law.” </w:t>
      </w:r>
      <w:r w:rsidRPr="001E49E8">
        <w:rPr>
          <w:i/>
          <w:iCs/>
        </w:rPr>
        <w:t>European Business Organization Law Review</w:t>
      </w:r>
      <w:r w:rsidRPr="001E49E8">
        <w:t xml:space="preserve"> 7, no. 2 (2006): 473–500. </w:t>
      </w:r>
      <w:hyperlink r:id="rId16" w:history="1">
        <w:r w:rsidRPr="001E49E8">
          <w:rPr>
            <w:rStyle w:val="Hyperlink"/>
          </w:rPr>
          <w:t>https://doi.org/10.1017/s1566752906004733</w:t>
        </w:r>
      </w:hyperlink>
      <w:r w:rsidRPr="001E49E8">
        <w:t xml:space="preserve">. </w:t>
      </w:r>
      <w:bookmarkEnd w:id="270"/>
      <w:bookmarkEnd w:id="271"/>
    </w:p>
  </w:footnote>
  <w:footnote w:id="139">
    <w:p w14:paraId="2B483070" w14:textId="2FBC7229"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40">
    <w:p w14:paraId="0B76F682" w14:textId="77777777" w:rsidR="002D2476" w:rsidRPr="001E49E8" w:rsidRDefault="002D2476" w:rsidP="001E49E8">
      <w:pPr>
        <w:pStyle w:val="FootnoteText"/>
      </w:pPr>
      <w:r w:rsidRPr="001E49E8">
        <w:rPr>
          <w:rStyle w:val="FootnoteReference"/>
        </w:rPr>
        <w:footnoteRef/>
      </w:r>
      <w:r w:rsidRPr="001E49E8">
        <w:t xml:space="preserve"> Blair, Margaret M., and Lynn A. Stout. “Specific Investment and Corporate Law.” </w:t>
      </w:r>
    </w:p>
  </w:footnote>
  <w:footnote w:id="141">
    <w:p w14:paraId="6DDB8715" w14:textId="7E6584C0"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42">
    <w:p w14:paraId="500D0402" w14:textId="3D7C86EB"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43">
    <w:p w14:paraId="1E5F8E6E" w14:textId="77777777" w:rsidR="002D2476" w:rsidRPr="001E49E8" w:rsidRDefault="002D2476" w:rsidP="001E49E8">
      <w:pPr>
        <w:pStyle w:val="FootnoteText"/>
      </w:pPr>
      <w:r w:rsidRPr="001E49E8">
        <w:rPr>
          <w:rStyle w:val="FootnoteReference"/>
        </w:rPr>
        <w:footnoteRef/>
      </w:r>
      <w:r w:rsidRPr="001E49E8">
        <w:t xml:space="preserve"> Sankaran Venkataraman, “Stakeholder Value Equilibration and the Entrepreneurial Process.” Ruffin Lecture Series of the Olsson Center for Applied Ethics, Darden School of the University of Virginia, October 1, 1999. </w:t>
      </w:r>
      <w:hyperlink r:id="rId17" w:history="1">
        <w:r w:rsidRPr="001E49E8">
          <w:rPr>
            <w:rStyle w:val="Hyperlink"/>
          </w:rPr>
          <w:t>https://www.researchgate.net/publication/228168828_Stakeholder_Value_Equilibration_and_the_Entrepreneurial_Process</w:t>
        </w:r>
      </w:hyperlink>
      <w:r w:rsidRPr="001E49E8">
        <w:t xml:space="preserve">. </w:t>
      </w:r>
    </w:p>
  </w:footnote>
  <w:footnote w:id="144">
    <w:p w14:paraId="52E7D34C" w14:textId="771ED4F6"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45">
    <w:p w14:paraId="40383266" w14:textId="72C151C8"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46">
    <w:p w14:paraId="46F25762" w14:textId="26403835" w:rsidR="002D2476" w:rsidRPr="001E49E8" w:rsidRDefault="002D2476" w:rsidP="001E49E8">
      <w:pPr>
        <w:pStyle w:val="FootnoteText"/>
      </w:pPr>
      <w:r w:rsidRPr="001E49E8">
        <w:rPr>
          <w:rStyle w:val="FootnoteReference"/>
        </w:rPr>
        <w:footnoteRef/>
      </w:r>
      <w:r w:rsidRPr="001E49E8">
        <w:t xml:space="preserve"> </w:t>
      </w:r>
      <w:r>
        <w:rPr>
          <w:i/>
          <w:iCs/>
        </w:rPr>
        <w:t>Ibid.</w:t>
      </w:r>
    </w:p>
  </w:footnote>
  <w:footnote w:id="147">
    <w:p w14:paraId="6BCBF3F3" w14:textId="5371B5D0" w:rsidR="002D2476" w:rsidRPr="001E49E8" w:rsidRDefault="002D2476" w:rsidP="001E49E8">
      <w:pPr>
        <w:pStyle w:val="FootnoteText"/>
      </w:pPr>
      <w:r w:rsidRPr="001E49E8">
        <w:rPr>
          <w:rStyle w:val="FootnoteReference"/>
        </w:rPr>
        <w:footnoteRef/>
      </w:r>
      <w:r w:rsidRPr="001E49E8">
        <w:t xml:space="preserve"> Saxegaard, “Are you businessworthy?”, in Timothy Fort, ed., Vision of the Firm</w:t>
      </w:r>
      <w:r>
        <w:t xml:space="preserve">, </w:t>
      </w:r>
      <w:r w:rsidRPr="001E49E8">
        <w:t>West Publishing, 2014, at 282</w:t>
      </w:r>
      <w:r>
        <w:t>-</w:t>
      </w:r>
      <w:r w:rsidRPr="001E49E8">
        <w:t>91</w:t>
      </w:r>
    </w:p>
  </w:footnote>
  <w:footnote w:id="148">
    <w:p w14:paraId="15749B54" w14:textId="77777777" w:rsidR="002D2476" w:rsidRPr="001E49E8" w:rsidRDefault="002D2476" w:rsidP="001E49E8">
      <w:pPr>
        <w:pStyle w:val="FootnoteText"/>
      </w:pPr>
      <w:r w:rsidRPr="001E49E8">
        <w:rPr>
          <w:rStyle w:val="FootnoteReference"/>
        </w:rPr>
        <w:footnoteRef/>
      </w:r>
      <w:r w:rsidRPr="001E49E8">
        <w:t xml:space="preserve"> Frank Den Hong, and Frank G. A. De Bakker, </w:t>
      </w:r>
      <w:r w:rsidRPr="001E49E8">
        <w:rPr>
          <w:i/>
          <w:iCs/>
        </w:rPr>
        <w:t xml:space="preserve">Boomerang Politics: How Transnational Stakeholders Impact Multinational Corporations in the Context of Globalization; </w:t>
      </w:r>
      <w:r w:rsidRPr="001E49E8">
        <w:t>in Adam Lindgreen, </w:t>
      </w:r>
      <w:r w:rsidRPr="001E49E8">
        <w:rPr>
          <w:i/>
          <w:iCs/>
        </w:rPr>
        <w:t>A Stakeholder Approach to Corporate Social Responsibility: Pressures, Conflicts, and Reconciliation</w:t>
      </w:r>
      <w:r w:rsidRPr="001E49E8">
        <w:t>;  Burlington, VT: Gower, 2012.</w:t>
      </w:r>
    </w:p>
  </w:footnote>
  <w:footnote w:id="149">
    <w:p w14:paraId="5166B19E" w14:textId="149C5B8B" w:rsidR="002D2476" w:rsidRPr="001E49E8" w:rsidRDefault="002D2476" w:rsidP="001E49E8">
      <w:pPr>
        <w:pStyle w:val="FootnoteText"/>
      </w:pPr>
      <w:r w:rsidRPr="001E49E8">
        <w:rPr>
          <w:rStyle w:val="FootnoteReference"/>
        </w:rPr>
        <w:footnoteRef/>
      </w:r>
      <w:r w:rsidRPr="001E49E8">
        <w:t xml:space="preserve"> Robin T. Byerly, </w:t>
      </w:r>
      <w:r w:rsidRPr="001E49E8">
        <w:rPr>
          <w:i/>
          <w:iCs/>
        </w:rPr>
        <w:t>A New Institutional Approach to Stakeholder Theory</w:t>
      </w:r>
      <w:r w:rsidRPr="001E49E8">
        <w:t>, in Adam Lindgreen, </w:t>
      </w:r>
      <w:r w:rsidRPr="001E49E8">
        <w:rPr>
          <w:i/>
          <w:iCs/>
        </w:rPr>
        <w:t>A Stakeholder Approach to Corporate Social Responsibility: Pressures, Conflicts, and Reconciliation</w:t>
      </w:r>
      <w:r w:rsidRPr="001E49E8">
        <w:t>;  Burlington, VT: Gower,</w:t>
      </w:r>
      <w:r>
        <w:t xml:space="preserve"> </w:t>
      </w:r>
      <w:r w:rsidRPr="001E49E8">
        <w:t>2012.</w:t>
      </w:r>
    </w:p>
  </w:footnote>
  <w:footnote w:id="150">
    <w:p w14:paraId="35779013" w14:textId="77777777" w:rsidR="002D2476" w:rsidRPr="001E49E8" w:rsidRDefault="002D2476" w:rsidP="001E49E8">
      <w:pPr>
        <w:pStyle w:val="FootnoteText"/>
      </w:pPr>
      <w:r w:rsidRPr="001E49E8">
        <w:rPr>
          <w:rStyle w:val="FootnoteReference"/>
        </w:rPr>
        <w:footnoteRef/>
      </w:r>
      <w:r w:rsidRPr="001E49E8">
        <w:t xml:space="preserve"> John R. Boatright, “The Future of Corporate Social Responsibility”,  </w:t>
      </w:r>
      <w:r w:rsidRPr="001E49E8">
        <w:rPr>
          <w:i/>
          <w:iCs/>
        </w:rPr>
        <w:t>Business and Professional Ethics Journal</w:t>
      </w:r>
      <w:r w:rsidRPr="001E49E8">
        <w:t xml:space="preserve"> (2001) at 39-48</w:t>
      </w:r>
    </w:p>
  </w:footnote>
  <w:footnote w:id="151">
    <w:p w14:paraId="46DF0956" w14:textId="77777777" w:rsidR="002D2476" w:rsidRPr="001E49E8" w:rsidRDefault="002D2476" w:rsidP="001E49E8">
      <w:pPr>
        <w:pStyle w:val="FootnoteText"/>
      </w:pPr>
      <w:r w:rsidRPr="001E49E8">
        <w:rPr>
          <w:rStyle w:val="FootnoteReference"/>
        </w:rPr>
        <w:footnoteRef/>
      </w:r>
      <w:r w:rsidRPr="001E49E8">
        <w:t xml:space="preserve"> Frank Den Hong, and Frank G. A. De Bakker, </w:t>
      </w:r>
      <w:r w:rsidRPr="001E49E8">
        <w:rPr>
          <w:i/>
          <w:iCs/>
        </w:rPr>
        <w:t>Boomerang Politics.</w:t>
      </w:r>
    </w:p>
  </w:footnote>
  <w:footnote w:id="152">
    <w:p w14:paraId="3D63D253" w14:textId="77777777" w:rsidR="002D2476" w:rsidRPr="001E49E8" w:rsidRDefault="002D2476" w:rsidP="009A6265">
      <w:pPr>
        <w:pStyle w:val="FootnoteText"/>
      </w:pPr>
      <w:r w:rsidRPr="001E49E8">
        <w:rPr>
          <w:rStyle w:val="FootnoteReference"/>
        </w:rPr>
        <w:footnoteRef/>
      </w:r>
      <w:r w:rsidRPr="001E49E8">
        <w:t xml:space="preserve"> </w:t>
      </w:r>
      <w:r w:rsidRPr="001E49E8">
        <w:rPr>
          <w:color w:val="000000" w:themeColor="text1"/>
        </w:rPr>
        <w:t xml:space="preserve">Pierre-Yves Gomez and Harry Korine, Entrepreneurs and Democracy: </w:t>
      </w:r>
    </w:p>
  </w:footnote>
  <w:footnote w:id="153">
    <w:p w14:paraId="2AF76948" w14:textId="05D142CF" w:rsidR="002D2476" w:rsidRPr="001E49E8" w:rsidRDefault="002D2476" w:rsidP="009A6265">
      <w:pPr>
        <w:pStyle w:val="FootnoteText"/>
      </w:pPr>
      <w:r w:rsidRPr="001E49E8">
        <w:rPr>
          <w:rStyle w:val="FootnoteReference"/>
        </w:rPr>
        <w:footnoteRef/>
      </w:r>
      <w:r w:rsidRPr="001E49E8">
        <w:t xml:space="preserve"> </w:t>
      </w:r>
      <w:r>
        <w:rPr>
          <w:i/>
          <w:iCs/>
        </w:rPr>
        <w:t>Ibid.</w:t>
      </w:r>
    </w:p>
  </w:footnote>
  <w:footnote w:id="154">
    <w:p w14:paraId="5137D478" w14:textId="77777777" w:rsidR="002D2476" w:rsidRPr="001E49E8" w:rsidRDefault="002D2476" w:rsidP="001E49E8">
      <w:pPr>
        <w:pStyle w:val="FootnoteText"/>
      </w:pPr>
      <w:r w:rsidRPr="001E49E8">
        <w:rPr>
          <w:rStyle w:val="FootnoteReference"/>
        </w:rPr>
        <w:footnoteRef/>
      </w:r>
      <w:r w:rsidRPr="001E49E8">
        <w:t xml:space="preserve"> </w:t>
      </w:r>
      <w:bookmarkStart w:id="292" w:name="OLE_LINK24"/>
      <w:bookmarkStart w:id="293" w:name="OLE_LINK25"/>
      <w:r w:rsidRPr="001E49E8">
        <w:t xml:space="preserve">Sandra Waddock, “Building a New Institutional Infrastructure for Corporate Responsibility,” </w:t>
      </w:r>
      <w:r w:rsidRPr="001E49E8">
        <w:rPr>
          <w:i/>
          <w:iCs/>
        </w:rPr>
        <w:t>Academy of Management Perspectives</w:t>
      </w:r>
      <w:r w:rsidRPr="001E49E8">
        <w:t xml:space="preserve"> 22, no. 3 (August 2008): 87–108. https://doi.org/10.5465/amp.2008.34587997.</w:t>
      </w:r>
      <w:bookmarkEnd w:id="292"/>
      <w:bookmarkEnd w:id="293"/>
    </w:p>
  </w:footnote>
  <w:footnote w:id="155">
    <w:p w14:paraId="65DEDDED" w14:textId="77777777" w:rsidR="002D2476" w:rsidRPr="001E49E8" w:rsidRDefault="002D2476" w:rsidP="001E49E8">
      <w:pPr>
        <w:pStyle w:val="FootnoteText"/>
      </w:pPr>
      <w:r w:rsidRPr="001E49E8">
        <w:rPr>
          <w:rStyle w:val="FootnoteReference"/>
        </w:rPr>
        <w:footnoteRef/>
      </w:r>
      <w:r w:rsidRPr="001E49E8">
        <w:t xml:space="preserve"> Saxegaard, “Are you businessworthy?”, in Timothy Fort, ed., Vision of the Firm (West Publishing, 2014), at 282-91</w:t>
      </w:r>
    </w:p>
  </w:footnote>
  <w:footnote w:id="156">
    <w:p w14:paraId="31F4C13D" w14:textId="77777777" w:rsidR="002D2476" w:rsidRPr="001E49E8" w:rsidRDefault="002D2476" w:rsidP="001E49E8">
      <w:pPr>
        <w:pStyle w:val="FootnoteText"/>
      </w:pPr>
      <w:r w:rsidRPr="001E49E8">
        <w:rPr>
          <w:rStyle w:val="FootnoteReference"/>
        </w:rPr>
        <w:footnoteRef/>
      </w:r>
      <w:r w:rsidRPr="001E49E8">
        <w:t xml:space="preserve"> John R. Boatright, “The Future of Corporate Social Responsibility”, 20 Business and Professional Ethics Journal (2001) at 39-48</w:t>
      </w:r>
    </w:p>
  </w:footnote>
  <w:footnote w:id="157">
    <w:p w14:paraId="15A60978" w14:textId="77777777" w:rsidR="002D2476" w:rsidRPr="001E49E8" w:rsidRDefault="002D2476" w:rsidP="001E49E8">
      <w:pPr>
        <w:pStyle w:val="FootnoteText"/>
      </w:pPr>
      <w:r w:rsidRPr="001E49E8">
        <w:rPr>
          <w:rStyle w:val="FootnoteReference"/>
        </w:rPr>
        <w:footnoteRef/>
      </w:r>
      <w:r w:rsidRPr="001E49E8">
        <w:t xml:space="preserve"> Saxegaard, “Are you businessworthy?”, in Timothy Fort, ed., Vision of the Firm, </w:t>
      </w:r>
      <w:r w:rsidRPr="001E49E8">
        <w:rPr>
          <w:i/>
          <w:iCs/>
        </w:rPr>
        <w:t>West Publishing</w:t>
      </w:r>
      <w:r w:rsidRPr="001E49E8">
        <w:t>, 2014, at 282-91</w:t>
      </w:r>
    </w:p>
  </w:footnote>
  <w:footnote w:id="158">
    <w:p w14:paraId="1DC5FEF0" w14:textId="77777777" w:rsidR="002D2476" w:rsidRPr="001E49E8" w:rsidRDefault="002D2476" w:rsidP="001E49E8">
      <w:pPr>
        <w:pStyle w:val="FootnoteText"/>
      </w:pPr>
      <w:r w:rsidRPr="001E49E8">
        <w:rPr>
          <w:rStyle w:val="FootnoteReference"/>
        </w:rPr>
        <w:footnoteRef/>
      </w:r>
      <w:r w:rsidRPr="001E49E8">
        <w:t xml:space="preserve"> Saxegaard, “Are you businessworthy?”, in Timothy Fort, ed., Vision of the Firm</w:t>
      </w:r>
    </w:p>
  </w:footnote>
  <w:footnote w:id="159">
    <w:p w14:paraId="4FD1F575" w14:textId="77777777" w:rsidR="002D2476" w:rsidRPr="001E49E8" w:rsidRDefault="002D2476" w:rsidP="001E49E8">
      <w:pPr>
        <w:pStyle w:val="FootnoteText"/>
      </w:pPr>
      <w:r w:rsidRPr="001E49E8">
        <w:rPr>
          <w:rStyle w:val="FootnoteReference"/>
        </w:rPr>
        <w:footnoteRef/>
      </w:r>
      <w:r w:rsidRPr="001E49E8">
        <w:t xml:space="preserve"> Saxegaard, “Are you businessworthy?”, in Timothy Fort, ed., Vision of the Firm </w:t>
      </w:r>
    </w:p>
  </w:footnote>
  <w:footnote w:id="160">
    <w:p w14:paraId="44C27327" w14:textId="77777777" w:rsidR="002D2476" w:rsidRPr="001E49E8" w:rsidRDefault="002D2476" w:rsidP="001E49E8">
      <w:pPr>
        <w:pStyle w:val="FootnoteText"/>
      </w:pPr>
      <w:r w:rsidRPr="001E49E8">
        <w:rPr>
          <w:rStyle w:val="FootnoteReference"/>
        </w:rPr>
        <w:footnoteRef/>
      </w:r>
      <w:r w:rsidRPr="001E49E8">
        <w:t xml:space="preserve"> Mackey, John, and Raj Sisodia. Conscious Capitalism: Liberating the Heroic Spirit of Business. Boston, MA: </w:t>
      </w:r>
      <w:r w:rsidRPr="001E49E8">
        <w:rPr>
          <w:i/>
          <w:iCs/>
        </w:rPr>
        <w:t>Harvard Business Review Press</w:t>
      </w:r>
      <w:r w:rsidRPr="001E49E8">
        <w:t xml:space="preserve">, 2014. </w:t>
      </w:r>
    </w:p>
  </w:footnote>
  <w:footnote w:id="161">
    <w:p w14:paraId="72C87D5A" w14:textId="77777777" w:rsidR="002D2476" w:rsidRPr="001E49E8" w:rsidRDefault="002D2476" w:rsidP="001E49E8">
      <w:pPr>
        <w:pStyle w:val="FootnoteText"/>
      </w:pPr>
      <w:r w:rsidRPr="001E49E8">
        <w:rPr>
          <w:rStyle w:val="FootnoteReference"/>
        </w:rPr>
        <w:footnoteRef/>
      </w:r>
      <w:r w:rsidRPr="001E49E8">
        <w:t xml:space="preserve"> Mackey, John, and Raj Sisodia. Conscious Capitalism: Liberating the Heroic Spirit of Business. Boston, MA: </w:t>
      </w:r>
      <w:r w:rsidRPr="001E49E8">
        <w:rPr>
          <w:i/>
          <w:iCs/>
        </w:rPr>
        <w:t>Harvard Business Review Press</w:t>
      </w:r>
      <w:r w:rsidRPr="001E49E8">
        <w:t xml:space="preserve">, 2014. </w:t>
      </w:r>
    </w:p>
  </w:footnote>
  <w:footnote w:id="162">
    <w:p w14:paraId="107DCBE7" w14:textId="77777777" w:rsidR="002D2476" w:rsidRPr="001E49E8" w:rsidRDefault="002D2476" w:rsidP="001E49E8">
      <w:pPr>
        <w:pStyle w:val="FootnoteText"/>
      </w:pPr>
      <w:r w:rsidRPr="001E49E8">
        <w:rPr>
          <w:rStyle w:val="FootnoteReference"/>
        </w:rPr>
        <w:footnoteRef/>
      </w:r>
      <w:r w:rsidRPr="001E49E8">
        <w:t xml:space="preserve"> Saxegaard, “Are you businessworthy?”, in Timothy Fort, ed., Vision of the Firm</w:t>
      </w:r>
    </w:p>
  </w:footnote>
  <w:footnote w:id="163">
    <w:p w14:paraId="4504071A" w14:textId="77777777" w:rsidR="002D2476" w:rsidRPr="001E49E8" w:rsidRDefault="002D2476" w:rsidP="001E49E8">
      <w:pPr>
        <w:pStyle w:val="FootnoteText"/>
      </w:pPr>
      <w:r w:rsidRPr="001E49E8">
        <w:rPr>
          <w:rStyle w:val="FootnoteReference"/>
        </w:rPr>
        <w:footnoteRef/>
      </w:r>
      <w:r w:rsidRPr="001E49E8">
        <w:t xml:space="preserve"> Les Coleman,  “Losses from Failure of Stakeholder Sensitive Processes: Financial Consequences for Large US Companies from Breakdown</w:t>
      </w:r>
    </w:p>
    <w:p w14:paraId="46915466" w14:textId="77777777" w:rsidR="002D2476" w:rsidRPr="001E49E8" w:rsidRDefault="002D2476" w:rsidP="001E49E8">
      <w:pPr>
        <w:pStyle w:val="FootnoteText"/>
      </w:pPr>
      <w:r w:rsidRPr="001E49E8">
        <w:t>s in Product, Environmental, and Accounting Standards.” Journal of Business Ethics 98, no. 2 (January 2011): 247–58. https://doi.org/10.1007/s10551-010-0544-8.</w:t>
      </w:r>
    </w:p>
  </w:footnote>
  <w:footnote w:id="164">
    <w:p w14:paraId="505FB2BB" w14:textId="77777777" w:rsidR="002D2476" w:rsidRPr="001E49E8" w:rsidRDefault="002D2476" w:rsidP="001E49E8">
      <w:pPr>
        <w:pStyle w:val="FootnoteText"/>
      </w:pPr>
      <w:r w:rsidRPr="001E49E8">
        <w:rPr>
          <w:rStyle w:val="FootnoteReference"/>
        </w:rPr>
        <w:footnoteRef/>
      </w:r>
      <w:r w:rsidRPr="001E49E8">
        <w:t xml:space="preserve"> Les Coleman,  “Losses from Failure of Stakeholder Sensitive Processes: </w:t>
      </w:r>
    </w:p>
  </w:footnote>
  <w:footnote w:id="165">
    <w:p w14:paraId="02589C6F" w14:textId="77777777" w:rsidR="002D2476" w:rsidRPr="001E49E8" w:rsidRDefault="002D2476" w:rsidP="001E49E8">
      <w:pPr>
        <w:pStyle w:val="FootnoteText"/>
      </w:pPr>
      <w:r w:rsidRPr="001E49E8">
        <w:rPr>
          <w:rStyle w:val="FootnoteReference"/>
        </w:rPr>
        <w:footnoteRef/>
      </w:r>
      <w:r w:rsidRPr="001E49E8">
        <w:t xml:space="preserve"> Les Coleman,  “Losses from Failure of Stakeholder Sensitive Processes: </w:t>
      </w:r>
    </w:p>
  </w:footnote>
  <w:footnote w:id="166">
    <w:p w14:paraId="1C760267" w14:textId="77777777" w:rsidR="002D2476" w:rsidRPr="001E49E8" w:rsidRDefault="002D2476" w:rsidP="001E49E8">
      <w:pPr>
        <w:pStyle w:val="FootnoteText"/>
      </w:pPr>
      <w:r w:rsidRPr="001E49E8">
        <w:rPr>
          <w:rStyle w:val="FootnoteReference"/>
        </w:rPr>
        <w:footnoteRef/>
      </w:r>
      <w:r w:rsidRPr="001E49E8">
        <w:t xml:space="preserve"> Insight Piece. “Sustainability and Its Impact on Business.” Clifford Chance, June 2018. </w:t>
      </w:r>
      <w:hyperlink r:id="rId18" w:history="1">
        <w:r w:rsidRPr="001E49E8">
          <w:rPr>
            <w:rStyle w:val="Hyperlink"/>
          </w:rPr>
          <w:t>https://www.cliffordchance.com/briefings/2018/06/sustainability_anditsimpactonbusiness.html</w:t>
        </w:r>
      </w:hyperlink>
      <w:r w:rsidRPr="001E49E8">
        <w:t xml:space="preserve">. </w:t>
      </w:r>
    </w:p>
  </w:footnote>
  <w:footnote w:id="167">
    <w:p w14:paraId="18F6B5F6" w14:textId="77777777" w:rsidR="002D2476" w:rsidRPr="001E49E8" w:rsidRDefault="002D2476" w:rsidP="001E49E8">
      <w:pPr>
        <w:pStyle w:val="FootnoteText"/>
      </w:pPr>
      <w:r w:rsidRPr="001E49E8">
        <w:rPr>
          <w:rStyle w:val="FootnoteReference"/>
        </w:rPr>
        <w:footnoteRef/>
      </w:r>
      <w:r w:rsidRPr="001E49E8">
        <w:t xml:space="preserve"> Mack, Olga V., and Katia Bloom. "Corporate Responsibility and Sustainability: A Guide for Lawyers." Corporate Responsibility and Sustainability: A Guide for Lawyers - ACCDocket.com. May 30, 2017. Accessed June 08, 2019. </w:t>
      </w:r>
      <w:hyperlink r:id="rId19" w:history="1">
        <w:r w:rsidRPr="001E49E8">
          <w:rPr>
            <w:rStyle w:val="Hyperlink"/>
          </w:rPr>
          <w:t>https://www.accdocket.com/articles/corporate-responsibility-sustainability-lawyers.cfm</w:t>
        </w:r>
      </w:hyperlink>
      <w:r w:rsidRPr="001E49E8">
        <w:t xml:space="preserve">. </w:t>
      </w:r>
    </w:p>
  </w:footnote>
  <w:footnote w:id="168">
    <w:p w14:paraId="4BAF6686" w14:textId="77777777"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r w:rsidRPr="001E49E8">
        <w:rPr>
          <w:color w:val="333333"/>
          <w:sz w:val="20"/>
          <w:szCs w:val="20"/>
        </w:rPr>
        <w:t xml:space="preserve">Yaffe-bellany, David. "Shareholder Value Is No Longer Everything, Top C.E.O.s Say,” </w:t>
      </w:r>
      <w:r w:rsidRPr="001E49E8">
        <w:rPr>
          <w:i/>
          <w:iCs/>
          <w:color w:val="333333"/>
          <w:sz w:val="20"/>
          <w:szCs w:val="20"/>
        </w:rPr>
        <w:t xml:space="preserve">New York </w:t>
      </w:r>
      <w:r w:rsidRPr="001E49E8">
        <w:rPr>
          <w:color w:val="333333"/>
          <w:sz w:val="20"/>
          <w:szCs w:val="20"/>
        </w:rPr>
        <w:t xml:space="preserve">Times, August 19, 2019. </w:t>
      </w:r>
    </w:p>
  </w:footnote>
  <w:footnote w:id="169">
    <w:p w14:paraId="22FCF973" w14:textId="77777777"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r w:rsidRPr="001E49E8">
        <w:rPr>
          <w:color w:val="333333"/>
          <w:sz w:val="20"/>
          <w:szCs w:val="20"/>
          <w:highlight w:val="white"/>
        </w:rPr>
        <w:t xml:space="preserve">Business Roundtable Redefines the Purpose of a Corporation to Promote 'An Economy That Serves All Americans'. Business Roundtable, August 19, 2019. </w:t>
      </w:r>
      <w:hyperlink r:id="rId20">
        <w:r w:rsidRPr="001E49E8">
          <w:rPr>
            <w:color w:val="1155CC"/>
            <w:sz w:val="20"/>
            <w:szCs w:val="20"/>
            <w:highlight w:val="white"/>
            <w:u w:val="single"/>
          </w:rPr>
          <w:t>https://www.businessroundtable.org/business-roundtable-redefines-the-purpose-of-a-corporation-to-promote-an-economy-that-serves-all-americans</w:t>
        </w:r>
      </w:hyperlink>
      <w:r w:rsidRPr="001E49E8">
        <w:rPr>
          <w:color w:val="333333"/>
          <w:sz w:val="20"/>
          <w:szCs w:val="20"/>
          <w:highlight w:val="white"/>
        </w:rPr>
        <w:t xml:space="preserve"> </w:t>
      </w:r>
    </w:p>
  </w:footnote>
  <w:footnote w:id="170">
    <w:p w14:paraId="5DFA714A" w14:textId="77777777"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r w:rsidRPr="001E49E8">
        <w:rPr>
          <w:color w:val="333333"/>
          <w:sz w:val="20"/>
          <w:szCs w:val="20"/>
        </w:rPr>
        <w:t xml:space="preserve">Yaffe-bellany, David. "Shareholder Value Is No Longer Everything, Top C.E.O.s Say,” </w:t>
      </w:r>
      <w:r w:rsidRPr="001E49E8">
        <w:rPr>
          <w:i/>
          <w:iCs/>
          <w:color w:val="333333"/>
          <w:sz w:val="20"/>
          <w:szCs w:val="20"/>
        </w:rPr>
        <w:t xml:space="preserve">New York </w:t>
      </w:r>
      <w:r w:rsidRPr="001E49E8">
        <w:rPr>
          <w:color w:val="333333"/>
          <w:sz w:val="20"/>
          <w:szCs w:val="20"/>
        </w:rPr>
        <w:t xml:space="preserve">Times, August 19, 2019. </w:t>
      </w:r>
    </w:p>
  </w:footnote>
  <w:footnote w:id="171">
    <w:p w14:paraId="6BD90CC8" w14:textId="77777777" w:rsidR="002D2476" w:rsidRPr="001E49E8" w:rsidRDefault="002D2476" w:rsidP="001E49E8">
      <w:pPr>
        <w:pStyle w:val="FootnoteText"/>
      </w:pPr>
      <w:r w:rsidRPr="001E49E8">
        <w:rPr>
          <w:rStyle w:val="FootnoteReference"/>
        </w:rPr>
        <w:footnoteRef/>
      </w:r>
      <w:r w:rsidRPr="001E49E8">
        <w:t xml:space="preserve"> Sarkis Jebejian, “Purpose, Culture and Long-Term Value - Not Just a Headline: Publications,” Corporate Governance Update Kirkland &amp; Ellis LLP, February 11, 2019</w:t>
      </w:r>
    </w:p>
  </w:footnote>
  <w:footnote w:id="172">
    <w:p w14:paraId="00CC39E3" w14:textId="0A480819" w:rsidR="002D2476" w:rsidRPr="006D7D87" w:rsidRDefault="002D2476" w:rsidP="001E49E8">
      <w:pPr>
        <w:pStyle w:val="FootnoteText"/>
        <w:rPr>
          <w:i/>
          <w:iCs/>
        </w:rPr>
      </w:pPr>
      <w:r w:rsidRPr="001E49E8">
        <w:rPr>
          <w:rStyle w:val="FootnoteReference"/>
        </w:rPr>
        <w:footnoteRef/>
      </w:r>
      <w:r w:rsidRPr="001E49E8">
        <w:t xml:space="preserve"> </w:t>
      </w:r>
      <w:r>
        <w:rPr>
          <w:i/>
          <w:iCs/>
        </w:rPr>
        <w:t>Ibid.</w:t>
      </w:r>
    </w:p>
  </w:footnote>
  <w:footnote w:id="173">
    <w:p w14:paraId="35D57C3A" w14:textId="77777777" w:rsidR="002D2476" w:rsidRPr="001E49E8" w:rsidRDefault="002D2476" w:rsidP="001E49E8">
      <w:pPr>
        <w:pStyle w:val="FootnoteText"/>
      </w:pPr>
      <w:r w:rsidRPr="001E49E8">
        <w:rPr>
          <w:rStyle w:val="FootnoteReference"/>
        </w:rPr>
        <w:footnoteRef/>
      </w:r>
      <w:r w:rsidRPr="001E49E8">
        <w:t xml:space="preserve"> Susan N. Gary,  “Best Interests in the Long Term: Fiduciary Duties and ESG Integration.” </w:t>
      </w:r>
      <w:r w:rsidRPr="001E49E8">
        <w:rPr>
          <w:i/>
          <w:iCs/>
        </w:rPr>
        <w:t>University of Colorado Law Review 90 (2019)</w:t>
      </w:r>
      <w:r w:rsidRPr="001E49E8">
        <w:t>. https://doi.org/10.2139/ssrn.3149856.</w:t>
      </w:r>
    </w:p>
  </w:footnote>
  <w:footnote w:id="174">
    <w:p w14:paraId="5A0B90D7" w14:textId="7FFD024B" w:rsidR="002D2476" w:rsidRPr="001E49E8" w:rsidRDefault="002D2476" w:rsidP="001E49E8">
      <w:pPr>
        <w:pStyle w:val="FootnoteText"/>
      </w:pPr>
      <w:r w:rsidRPr="001E49E8">
        <w:rPr>
          <w:rStyle w:val="FootnoteReference"/>
        </w:rPr>
        <w:footnoteRef/>
      </w:r>
      <w:r w:rsidRPr="001E49E8">
        <w:t xml:space="preserve"> </w:t>
      </w:r>
      <w:r>
        <w:rPr>
          <w:i/>
          <w:iCs/>
        </w:rPr>
        <w:t>Ibid.</w:t>
      </w:r>
      <w:r w:rsidRPr="001E49E8">
        <w:t xml:space="preserve"> </w:t>
      </w:r>
    </w:p>
  </w:footnote>
  <w:footnote w:id="175">
    <w:p w14:paraId="0D8A20A9" w14:textId="77777777" w:rsidR="002D2476" w:rsidRPr="001E49E8" w:rsidRDefault="002D2476" w:rsidP="007F2208">
      <w:pPr>
        <w:pStyle w:val="FootnoteText"/>
      </w:pPr>
      <w:r w:rsidRPr="001E49E8">
        <w:rPr>
          <w:rStyle w:val="FootnoteReference"/>
        </w:rPr>
        <w:footnoteRef/>
      </w:r>
      <w:r w:rsidRPr="001E49E8">
        <w:t xml:space="preserve"> Tang, Kelly, and Christopher Greenwald. “Long-Termism Versus Short-Termism: Time for the Pendulum to Shift?” Institutional Investor. S&amp;P Dow Jones Indices, September 28, 2017. </w:t>
      </w:r>
    </w:p>
  </w:footnote>
  <w:footnote w:id="176">
    <w:p w14:paraId="092454C1" w14:textId="77777777" w:rsidR="002D2476" w:rsidRPr="001E49E8" w:rsidRDefault="002D2476" w:rsidP="007F2208">
      <w:pPr>
        <w:pStyle w:val="FootnoteText"/>
      </w:pPr>
      <w:r w:rsidRPr="001E49E8">
        <w:rPr>
          <w:rStyle w:val="FootnoteReference"/>
        </w:rPr>
        <w:footnoteRef/>
      </w:r>
      <w:r w:rsidRPr="001E49E8">
        <w:t xml:space="preserve"> Susan N. Gary,  “Best Interests in the Long Term: Fiduciary Duties and ESG Integration.” </w:t>
      </w:r>
    </w:p>
  </w:footnote>
  <w:footnote w:id="177">
    <w:p w14:paraId="51D43126" w14:textId="77777777" w:rsidR="002D2476" w:rsidRPr="001E49E8" w:rsidRDefault="002D2476" w:rsidP="007F2208">
      <w:pPr>
        <w:pStyle w:val="FootnoteText"/>
      </w:pPr>
      <w:r w:rsidRPr="001E49E8">
        <w:rPr>
          <w:rStyle w:val="FootnoteReference"/>
        </w:rPr>
        <w:footnoteRef/>
      </w:r>
      <w:r w:rsidRPr="001E49E8">
        <w:t xml:space="preserve"> Niles, Sabastian, and Adam O. Emmerich. “Corporate Governance 2019: Laws and Regulations: ICLG.” International Comparative Legal Guides International Business Reports. Wachtell Lipton, Rosen, &amp; Katz, August 2018. </w:t>
      </w:r>
    </w:p>
  </w:footnote>
  <w:footnote w:id="178">
    <w:p w14:paraId="0713BA0E" w14:textId="77777777" w:rsidR="002D2476" w:rsidRPr="001E49E8" w:rsidRDefault="002D2476" w:rsidP="007F2208">
      <w:pPr>
        <w:pStyle w:val="FootnoteText"/>
        <w:rPr>
          <w:lang w:val="es-US"/>
        </w:rPr>
      </w:pPr>
      <w:r w:rsidRPr="001E49E8">
        <w:rPr>
          <w:rStyle w:val="FootnoteReference"/>
        </w:rPr>
        <w:footnoteRef/>
      </w:r>
      <w:r w:rsidRPr="001E49E8">
        <w:t xml:space="preserve"> Equilar. “Board Age and Tenure Comparisons.” </w:t>
      </w:r>
      <w:r w:rsidRPr="001E49E8">
        <w:rPr>
          <w:lang w:val="es-US"/>
        </w:rPr>
        <w:t>Equilar, May 15th, 2017.</w:t>
      </w:r>
    </w:p>
  </w:footnote>
  <w:footnote w:id="179">
    <w:p w14:paraId="060D52C0" w14:textId="77777777" w:rsidR="002D2476" w:rsidRPr="001E49E8" w:rsidRDefault="002D2476" w:rsidP="001E49E8">
      <w:pPr>
        <w:pStyle w:val="NormalWeb"/>
        <w:rPr>
          <w:color w:val="000000"/>
          <w:sz w:val="20"/>
          <w:szCs w:val="20"/>
        </w:rPr>
      </w:pPr>
      <w:r w:rsidRPr="001E49E8">
        <w:rPr>
          <w:rStyle w:val="FootnoteReference"/>
          <w:sz w:val="20"/>
          <w:szCs w:val="20"/>
        </w:rPr>
        <w:footnoteRef/>
      </w:r>
      <w:r w:rsidRPr="001E49E8">
        <w:rPr>
          <w:sz w:val="20"/>
          <w:szCs w:val="20"/>
        </w:rPr>
        <w:t xml:space="preserve"> </w:t>
      </w:r>
      <w:r w:rsidRPr="001E49E8">
        <w:rPr>
          <w:color w:val="000000"/>
          <w:sz w:val="20"/>
          <w:szCs w:val="20"/>
        </w:rPr>
        <w:t xml:space="preserve">Report on US Sustainable, Responsible and Impact Investing Trends 2018." </w:t>
      </w:r>
      <w:r w:rsidRPr="001E49E8">
        <w:rPr>
          <w:i/>
          <w:iCs/>
          <w:color w:val="000000"/>
          <w:sz w:val="20"/>
          <w:szCs w:val="20"/>
        </w:rPr>
        <w:t>US SIF: The Forum for Sustainable and Responsible Investment</w:t>
      </w:r>
      <w:r w:rsidRPr="001E49E8">
        <w:rPr>
          <w:color w:val="000000"/>
          <w:sz w:val="20"/>
          <w:szCs w:val="20"/>
        </w:rPr>
        <w:t>, October 2018.</w:t>
      </w:r>
    </w:p>
  </w:footnote>
  <w:footnote w:id="180">
    <w:p w14:paraId="482C452C" w14:textId="77777777" w:rsidR="002D2476" w:rsidRPr="001E49E8" w:rsidRDefault="002D2476" w:rsidP="001E49E8">
      <w:pPr>
        <w:rPr>
          <w:sz w:val="20"/>
          <w:szCs w:val="20"/>
        </w:rPr>
      </w:pPr>
      <w:r w:rsidRPr="001E49E8">
        <w:rPr>
          <w:rStyle w:val="FootnoteReference"/>
          <w:sz w:val="20"/>
          <w:szCs w:val="20"/>
        </w:rPr>
        <w:footnoteRef/>
      </w:r>
      <w:r w:rsidRPr="001E49E8">
        <w:rPr>
          <w:sz w:val="20"/>
          <w:szCs w:val="20"/>
        </w:rPr>
        <w:t xml:space="preserve"> </w:t>
      </w:r>
      <w:r w:rsidRPr="001E49E8">
        <w:rPr>
          <w:color w:val="000000"/>
          <w:sz w:val="20"/>
          <w:szCs w:val="20"/>
        </w:rPr>
        <w:t>State Street Global Advisors, ESG Institutional Investor Survey, “Performing for the Future: ESG’s place in investment portfolios. Today and tomorrow” (2018)</w:t>
      </w:r>
    </w:p>
  </w:footnote>
  <w:footnote w:id="181">
    <w:p w14:paraId="65669661" w14:textId="77777777" w:rsidR="002D2476" w:rsidRPr="001E49E8" w:rsidRDefault="002D2476" w:rsidP="001E49E8">
      <w:pPr>
        <w:pStyle w:val="FootnoteText"/>
      </w:pPr>
      <w:r w:rsidRPr="001E49E8">
        <w:rPr>
          <w:rStyle w:val="FootnoteReference"/>
        </w:rPr>
        <w:footnoteRef/>
      </w:r>
      <w:r w:rsidRPr="001E49E8">
        <w:t xml:space="preserve"> Muhammad Usman, Farman Ullah Khan, and Asma Munir, “Relationship between Corporate Governance, Corporate Sustainability, and Financial Performance”, </w:t>
      </w:r>
      <w:r w:rsidRPr="001E49E8">
        <w:rPr>
          <w:i/>
          <w:iCs/>
        </w:rPr>
        <w:t>Pakistan Journal of Commerce and Social Sciences</w:t>
      </w:r>
      <w:r w:rsidRPr="001E49E8">
        <w:t>, 2019.</w:t>
      </w:r>
    </w:p>
  </w:footnote>
  <w:footnote w:id="182">
    <w:p w14:paraId="2BA3E892" w14:textId="5AA07675" w:rsidR="002D2476" w:rsidRPr="006D7D87" w:rsidRDefault="002D2476" w:rsidP="001E49E8">
      <w:pPr>
        <w:pStyle w:val="FootnoteText"/>
        <w:rPr>
          <w:i/>
          <w:iCs/>
        </w:rPr>
      </w:pPr>
      <w:r w:rsidRPr="001E49E8">
        <w:rPr>
          <w:rStyle w:val="FootnoteReference"/>
        </w:rPr>
        <w:footnoteRef/>
      </w:r>
      <w:r>
        <w:t xml:space="preserve"> </w:t>
      </w:r>
      <w:r>
        <w:rPr>
          <w:i/>
          <w:iCs/>
        </w:rPr>
        <w:t>Ibid.</w:t>
      </w:r>
    </w:p>
  </w:footnote>
  <w:footnote w:id="183">
    <w:p w14:paraId="4A1E0101" w14:textId="77777777" w:rsidR="002D2476" w:rsidRPr="001E49E8" w:rsidRDefault="002D2476" w:rsidP="001E49E8">
      <w:pPr>
        <w:pStyle w:val="FootnoteText"/>
      </w:pPr>
      <w:r w:rsidRPr="001E49E8">
        <w:rPr>
          <w:rStyle w:val="FootnoteReference"/>
        </w:rPr>
        <w:footnoteRef/>
      </w:r>
      <w:r w:rsidRPr="001E49E8">
        <w:t xml:space="preserve"> Conway-Hatcher, Amy, and Sheila Hooda. "The Rearview Mirror and the Road Ahead on #MeToo: Action Items for Corporate Boards." Corporate Counsel. January 10, 2019. </w:t>
      </w:r>
    </w:p>
  </w:footnote>
  <w:footnote w:id="184">
    <w:p w14:paraId="7C1966A4" w14:textId="77777777" w:rsidR="002D2476" w:rsidRPr="001E49E8" w:rsidRDefault="002D2476" w:rsidP="001E49E8">
      <w:pPr>
        <w:pStyle w:val="FootnoteText"/>
      </w:pPr>
      <w:r w:rsidRPr="001E49E8">
        <w:rPr>
          <w:rStyle w:val="FootnoteReference"/>
        </w:rPr>
        <w:footnoteRef/>
      </w:r>
      <w:r w:rsidRPr="001E49E8">
        <w:t xml:space="preserve"> “ESG Duties and Disclosures for Asset Managers, Investment ...” Linklaters, 2018. </w:t>
      </w:r>
      <w:hyperlink r:id="rId21" w:history="1">
        <w:r w:rsidRPr="001E49E8">
          <w:rPr>
            <w:rStyle w:val="Hyperlink"/>
          </w:rPr>
          <w:t>http://content.linklaters.com/pdfs/mkt/luxembourg/8407_LIN_ESG_Duties_Luxembourg_PDF_FINAL_AW_WEB.pdf</w:t>
        </w:r>
      </w:hyperlink>
      <w:r w:rsidRPr="001E49E8">
        <w:t xml:space="preserve">. </w:t>
      </w:r>
    </w:p>
  </w:footnote>
  <w:footnote w:id="185">
    <w:p w14:paraId="75839544" w14:textId="77777777" w:rsidR="002D2476" w:rsidRPr="001E49E8" w:rsidRDefault="002D2476" w:rsidP="001E49E8">
      <w:pPr>
        <w:pStyle w:val="FootnoteText"/>
      </w:pPr>
      <w:r w:rsidRPr="001E49E8">
        <w:rPr>
          <w:rStyle w:val="FootnoteReference"/>
        </w:rPr>
        <w:footnoteRef/>
      </w:r>
      <w:r w:rsidRPr="001E49E8">
        <w:t xml:space="preserve"> Gregory, Holly J. “Corporate Social Responsibility, Corporate Sustainability ...” The Governance Counselor. Sidley Austin, August 2017. </w:t>
      </w:r>
    </w:p>
  </w:footnote>
  <w:footnote w:id="186">
    <w:p w14:paraId="1736A3B4" w14:textId="77777777" w:rsidR="002D2476" w:rsidRPr="001E49E8" w:rsidRDefault="002D2476" w:rsidP="006D7D87">
      <w:pPr>
        <w:pStyle w:val="FootnoteText"/>
      </w:pPr>
      <w:r w:rsidRPr="001E49E8">
        <w:rPr>
          <w:rStyle w:val="FootnoteReference"/>
        </w:rPr>
        <w:footnoteRef/>
      </w:r>
      <w:r w:rsidRPr="001E49E8">
        <w:t xml:space="preserve"> J. W. Mason, “Understanding Short-Termism - Questions and Consequences.” Roosevelt Institute, November 6, 2015.  </w:t>
      </w:r>
      <w:hyperlink r:id="rId22" w:history="1">
        <w:r w:rsidRPr="001E49E8">
          <w:rPr>
            <w:rStyle w:val="Hyperlink"/>
          </w:rPr>
          <w:t>http://rooseveltinstitute.org/wp-content/uploads/2015/11/Understanding-Short-Termism.pdf</w:t>
        </w:r>
      </w:hyperlink>
      <w:r w:rsidRPr="001E49E8">
        <w:t xml:space="preserve"> </w:t>
      </w:r>
    </w:p>
  </w:footnote>
  <w:footnote w:id="187">
    <w:p w14:paraId="2632F973" w14:textId="26C7C2DE" w:rsidR="002D2476" w:rsidRPr="006D7D87" w:rsidRDefault="002D2476" w:rsidP="006D7D87">
      <w:pPr>
        <w:pStyle w:val="FootnoteText"/>
        <w:rPr>
          <w:i/>
          <w:iCs/>
        </w:rPr>
      </w:pPr>
      <w:r w:rsidRPr="001E49E8">
        <w:rPr>
          <w:rStyle w:val="FootnoteReference"/>
        </w:rPr>
        <w:footnoteRef/>
      </w:r>
      <w:r w:rsidRPr="001E49E8">
        <w:t xml:space="preserve"> </w:t>
      </w:r>
      <w:r>
        <w:rPr>
          <w:i/>
          <w:iCs/>
        </w:rPr>
        <w:t>Ibid.</w:t>
      </w:r>
    </w:p>
  </w:footnote>
  <w:footnote w:id="188">
    <w:p w14:paraId="0C986814" w14:textId="46493660" w:rsidR="002D2476" w:rsidRPr="001E49E8" w:rsidRDefault="002D2476" w:rsidP="006D7D87">
      <w:pPr>
        <w:pStyle w:val="FootnoteText"/>
      </w:pPr>
      <w:r w:rsidRPr="001E49E8">
        <w:rPr>
          <w:rStyle w:val="FootnoteReference"/>
        </w:rPr>
        <w:footnoteRef/>
      </w:r>
      <w:r w:rsidRPr="001E49E8">
        <w:t xml:space="preserve"> </w:t>
      </w:r>
      <w:r>
        <w:rPr>
          <w:i/>
          <w:iCs/>
        </w:rPr>
        <w:t>Ibid.</w:t>
      </w:r>
      <w:r w:rsidRPr="001E49E8">
        <w:t xml:space="preserve"> </w:t>
      </w:r>
    </w:p>
  </w:footnote>
  <w:footnote w:id="189">
    <w:p w14:paraId="4DDD7CB0" w14:textId="7B51F784" w:rsidR="002D2476" w:rsidRPr="001E49E8" w:rsidRDefault="002D2476" w:rsidP="006D7D87">
      <w:pPr>
        <w:pStyle w:val="FootnoteText"/>
      </w:pPr>
      <w:r w:rsidRPr="001E49E8">
        <w:rPr>
          <w:rStyle w:val="FootnoteReference"/>
        </w:rPr>
        <w:footnoteRef/>
      </w:r>
      <w:r w:rsidRPr="001E49E8">
        <w:t xml:space="preserve"> </w:t>
      </w:r>
      <w:r>
        <w:rPr>
          <w:i/>
          <w:iCs/>
        </w:rPr>
        <w:t>Ibid.</w:t>
      </w:r>
      <w:r w:rsidRPr="001E49E8">
        <w:t xml:space="preserve"> </w:t>
      </w:r>
    </w:p>
  </w:footnote>
  <w:footnote w:id="190">
    <w:p w14:paraId="45055955" w14:textId="77777777" w:rsidR="002D2476" w:rsidRPr="001E49E8" w:rsidRDefault="002D2476" w:rsidP="006D7D87">
      <w:pPr>
        <w:pStyle w:val="FootnoteText"/>
      </w:pPr>
      <w:r w:rsidRPr="001E49E8">
        <w:rPr>
          <w:rStyle w:val="FootnoteReference"/>
        </w:rPr>
        <w:footnoteRef/>
      </w:r>
      <w:r w:rsidRPr="001E49E8">
        <w:t xml:space="preserve"> Mozaffar Khan, “Corporate Governance, ESG, and Stock Returns around the World”, Financial Analysts Journal, (2019). </w:t>
      </w:r>
    </w:p>
  </w:footnote>
  <w:footnote w:id="191">
    <w:p w14:paraId="09363285" w14:textId="77777777" w:rsidR="002D2476" w:rsidRPr="001E49E8" w:rsidRDefault="002D2476" w:rsidP="001E49E8">
      <w:pPr>
        <w:pStyle w:val="FootnoteText"/>
      </w:pPr>
      <w:r w:rsidRPr="001E49E8">
        <w:rPr>
          <w:rStyle w:val="FootnoteReference"/>
        </w:rPr>
        <w:footnoteRef/>
      </w:r>
      <w:r w:rsidRPr="001E49E8">
        <w:t xml:space="preserve"> Blair, Margaret M., and Lynn A. Stout. “Specific Investment and Corporate Law.” </w:t>
      </w:r>
    </w:p>
  </w:footnote>
  <w:footnote w:id="192">
    <w:p w14:paraId="44A345C8" w14:textId="77777777" w:rsidR="002D2476" w:rsidRPr="001E49E8" w:rsidRDefault="002D2476" w:rsidP="00002A1B">
      <w:pPr>
        <w:pStyle w:val="FootnoteText"/>
      </w:pPr>
      <w:r w:rsidRPr="001E49E8">
        <w:rPr>
          <w:rStyle w:val="FootnoteReference"/>
        </w:rPr>
        <w:footnoteRef/>
      </w:r>
      <w:r w:rsidRPr="001E49E8">
        <w:t xml:space="preserve"> Donna Dabney, “Is Short-Term Behavior Jeopardizing the Future Prosperity of Business?” The Conference Board, n.d. </w:t>
      </w:r>
      <w:hyperlink r:id="rId23" w:history="1">
        <w:r w:rsidRPr="001E49E8">
          <w:rPr>
            <w:rStyle w:val="Hyperlink"/>
          </w:rPr>
          <w:t>https://www.conference-board.org/topics/short-termism</w:t>
        </w:r>
      </w:hyperlink>
      <w:r w:rsidRPr="001E49E8">
        <w:t xml:space="preserve">. </w:t>
      </w:r>
    </w:p>
  </w:footnote>
  <w:footnote w:id="193">
    <w:p w14:paraId="46B8DD34" w14:textId="3A251743" w:rsidR="002D2476" w:rsidRPr="001E49E8" w:rsidRDefault="002D2476" w:rsidP="00002A1B">
      <w:pPr>
        <w:pStyle w:val="FootnoteText"/>
      </w:pPr>
      <w:r w:rsidRPr="001E49E8">
        <w:rPr>
          <w:rStyle w:val="FootnoteReference"/>
        </w:rPr>
        <w:footnoteRef/>
      </w:r>
      <w:r w:rsidRPr="001E49E8">
        <w:t xml:space="preserve"> </w:t>
      </w:r>
      <w:r w:rsidRPr="006D7D87">
        <w:rPr>
          <w:i/>
          <w:iCs/>
        </w:rPr>
        <w:t>Ibid.</w:t>
      </w:r>
      <w:r w:rsidRPr="001E49E8">
        <w:t xml:space="preserve"> </w:t>
      </w:r>
    </w:p>
  </w:footnote>
  <w:footnote w:id="194">
    <w:p w14:paraId="576569A8" w14:textId="77777777" w:rsidR="002D2476" w:rsidRPr="001E49E8" w:rsidRDefault="002D2476" w:rsidP="00305967">
      <w:pPr>
        <w:pStyle w:val="FootnoteText"/>
      </w:pPr>
      <w:r w:rsidRPr="001E49E8">
        <w:rPr>
          <w:rStyle w:val="FootnoteReference"/>
        </w:rPr>
        <w:footnoteRef/>
      </w:r>
      <w:r w:rsidRPr="001E49E8">
        <w:t xml:space="preserve"> Susan N. Gary,  “Best Interests in the Long Term: Fiduciary Duties and ESG Integration.” </w:t>
      </w:r>
      <w:r w:rsidRPr="001E49E8">
        <w:rPr>
          <w:i/>
          <w:iCs/>
        </w:rPr>
        <w:t xml:space="preserve">University of Colorado Law Review </w:t>
      </w:r>
      <w:r w:rsidRPr="001E49E8">
        <w:t>90 (2019). https://doi.org/10.2139/ssrn.3149856.</w:t>
      </w:r>
    </w:p>
  </w:footnote>
  <w:footnote w:id="195">
    <w:p w14:paraId="68933CA7" w14:textId="77777777" w:rsidR="002D2476" w:rsidRPr="001E49E8" w:rsidRDefault="002D2476" w:rsidP="00305967">
      <w:pPr>
        <w:pStyle w:val="FootnoteText"/>
      </w:pPr>
      <w:r w:rsidRPr="001E49E8">
        <w:rPr>
          <w:rStyle w:val="FootnoteReference"/>
        </w:rPr>
        <w:footnoteRef/>
      </w:r>
      <w:r w:rsidRPr="001E49E8">
        <w:t xml:space="preserve"> </w:t>
      </w:r>
      <w:r w:rsidRPr="006D7D87">
        <w:rPr>
          <w:i/>
          <w:iCs/>
        </w:rPr>
        <w:t>Ibid.</w:t>
      </w:r>
    </w:p>
  </w:footnote>
  <w:footnote w:id="196">
    <w:p w14:paraId="738ABEB6" w14:textId="77777777" w:rsidR="002D2476" w:rsidRPr="001E49E8" w:rsidRDefault="002D2476" w:rsidP="00305967">
      <w:pPr>
        <w:pStyle w:val="FootnoteText"/>
      </w:pPr>
      <w:r w:rsidRPr="001E49E8">
        <w:rPr>
          <w:rStyle w:val="FootnoteReference"/>
        </w:rPr>
        <w:footnoteRef/>
      </w:r>
      <w:r w:rsidRPr="001E49E8">
        <w:t xml:space="preserve"> Bower, Joseph L, and Lynn S Paine. “Managing for the Long Term: The Error at the Heart of Corporate Leadership.” </w:t>
      </w:r>
      <w:r w:rsidRPr="001E49E8">
        <w:rPr>
          <w:i/>
          <w:iCs/>
        </w:rPr>
        <w:t>Harvard Business Review</w:t>
      </w:r>
      <w:r w:rsidRPr="001E49E8">
        <w:t xml:space="preserve">, July 25, 2017. </w:t>
      </w:r>
      <w:hyperlink r:id="rId24" w:history="1">
        <w:r w:rsidRPr="001E49E8">
          <w:rPr>
            <w:rStyle w:val="Hyperlink"/>
          </w:rPr>
          <w:t>https://hbr.org/2017/05/managing-for-the-long-term</w:t>
        </w:r>
      </w:hyperlink>
      <w:r w:rsidRPr="001E49E8">
        <w:t xml:space="preserve">. </w:t>
      </w:r>
    </w:p>
  </w:footnote>
  <w:footnote w:id="197">
    <w:p w14:paraId="2CC34979" w14:textId="77777777" w:rsidR="002D2476" w:rsidRPr="006D7D87" w:rsidRDefault="002D2476" w:rsidP="00305967">
      <w:pPr>
        <w:pStyle w:val="FootnoteText"/>
        <w:rPr>
          <w:i/>
          <w:iCs/>
        </w:rPr>
      </w:pPr>
      <w:r w:rsidRPr="001E49E8">
        <w:rPr>
          <w:rStyle w:val="FootnoteReference"/>
        </w:rPr>
        <w:footnoteRef/>
      </w:r>
      <w:r w:rsidRPr="001E49E8">
        <w:t xml:space="preserve"> </w:t>
      </w:r>
      <w:r>
        <w:rPr>
          <w:i/>
          <w:iCs/>
        </w:rPr>
        <w:t>Ibid.</w:t>
      </w:r>
    </w:p>
  </w:footnote>
  <w:footnote w:id="198">
    <w:p w14:paraId="5F9F4F59" w14:textId="77777777" w:rsidR="002D2476" w:rsidRPr="001E49E8" w:rsidRDefault="002D2476" w:rsidP="00E50357">
      <w:pPr>
        <w:pStyle w:val="FootnoteText"/>
      </w:pPr>
      <w:r w:rsidRPr="001E49E8">
        <w:rPr>
          <w:rStyle w:val="FootnoteReference"/>
        </w:rPr>
        <w:footnoteRef/>
      </w:r>
      <w:r w:rsidRPr="001E49E8">
        <w:t xml:space="preserve"> J. W. Mason, “Understanding Short-Termism - Questions and Consequences.” Roosevelt Institute, November 6, 2015.  </w:t>
      </w:r>
      <w:hyperlink r:id="rId25" w:history="1">
        <w:r w:rsidRPr="001E49E8">
          <w:rPr>
            <w:rStyle w:val="Hyperlink"/>
          </w:rPr>
          <w:t>http://rooseveltinstitute.org/wp-content/uploads/2015/11/Understanding-Short-Termism.pdf</w:t>
        </w:r>
      </w:hyperlink>
      <w:r w:rsidRPr="001E49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8A0FB" w14:textId="77777777" w:rsidR="002D2476" w:rsidRDefault="002D2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D19"/>
    <w:multiLevelType w:val="hybridMultilevel"/>
    <w:tmpl w:val="40C64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35C04"/>
    <w:multiLevelType w:val="hybridMultilevel"/>
    <w:tmpl w:val="FE883014"/>
    <w:lvl w:ilvl="0" w:tplc="103895D2">
      <w:start w:val="27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AC52713"/>
    <w:multiLevelType w:val="hybridMultilevel"/>
    <w:tmpl w:val="98743D46"/>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C8F5537"/>
    <w:multiLevelType w:val="hybridMultilevel"/>
    <w:tmpl w:val="988814F6"/>
    <w:lvl w:ilvl="0" w:tplc="9D425D28">
      <w:start w:val="1"/>
      <w:numFmt w:val="upperLetter"/>
      <w:pStyle w:val="Heading2"/>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F786AD2"/>
    <w:multiLevelType w:val="hybridMultilevel"/>
    <w:tmpl w:val="5B0EC032"/>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A913E08"/>
    <w:multiLevelType w:val="hybridMultilevel"/>
    <w:tmpl w:val="A1C4601C"/>
    <w:lvl w:ilvl="0" w:tplc="0808561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E28B7"/>
    <w:multiLevelType w:val="hybridMultilevel"/>
    <w:tmpl w:val="98743D46"/>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3379698A"/>
    <w:multiLevelType w:val="hybridMultilevel"/>
    <w:tmpl w:val="4522AD8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5268CB"/>
    <w:multiLevelType w:val="hybridMultilevel"/>
    <w:tmpl w:val="A538E9C6"/>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3BE87608"/>
    <w:multiLevelType w:val="hybridMultilevel"/>
    <w:tmpl w:val="03C61246"/>
    <w:lvl w:ilvl="0" w:tplc="908E0764">
      <w:start w:val="1"/>
      <w:numFmt w:val="bullet"/>
      <w:lvlText w:val="-"/>
      <w:lvlJc w:val="left"/>
      <w:pPr>
        <w:ind w:left="3240" w:hanging="360"/>
      </w:pPr>
      <w:rPr>
        <w:rFonts w:ascii="Times New Roman" w:eastAsia="Times New Roman" w:hAnsi="Times New Roman" w:cs="Times New Roman" w:hint="default"/>
        <w:color w:val="333333"/>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465E5744"/>
    <w:multiLevelType w:val="hybridMultilevel"/>
    <w:tmpl w:val="98743D46"/>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47971EF6"/>
    <w:multiLevelType w:val="hybridMultilevel"/>
    <w:tmpl w:val="AC32A044"/>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47AF3EF9"/>
    <w:multiLevelType w:val="hybridMultilevel"/>
    <w:tmpl w:val="0114C1D4"/>
    <w:lvl w:ilvl="0" w:tplc="9918A06A">
      <w:start w:val="1"/>
      <w:numFmt w:val="upperRoman"/>
      <w:pStyle w:val="Heading1"/>
      <w:lvlText w:val="%1."/>
      <w:lvlJc w:val="right"/>
      <w:pPr>
        <w:ind w:left="180" w:hanging="180"/>
      </w:pPr>
    </w:lvl>
    <w:lvl w:ilvl="1" w:tplc="0409001B">
      <w:start w:val="1"/>
      <w:numFmt w:val="lowerRoman"/>
      <w:lvlText w:val="%2."/>
      <w:lvlJc w:val="righ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9866004"/>
    <w:multiLevelType w:val="hybridMultilevel"/>
    <w:tmpl w:val="AC32A044"/>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567A4F6D"/>
    <w:multiLevelType w:val="hybridMultilevel"/>
    <w:tmpl w:val="48181F82"/>
    <w:lvl w:ilvl="0" w:tplc="E4CE301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B77B4F"/>
    <w:multiLevelType w:val="hybridMultilevel"/>
    <w:tmpl w:val="C156AAD6"/>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575936C7"/>
    <w:multiLevelType w:val="hybridMultilevel"/>
    <w:tmpl w:val="8C5C0D7E"/>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5C0F6961"/>
    <w:multiLevelType w:val="hybridMultilevel"/>
    <w:tmpl w:val="21BCB360"/>
    <w:lvl w:ilvl="0" w:tplc="70FCD6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B6F3A"/>
    <w:multiLevelType w:val="hybridMultilevel"/>
    <w:tmpl w:val="F6A6D098"/>
    <w:lvl w:ilvl="0" w:tplc="B6103D16">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35327D"/>
    <w:multiLevelType w:val="hybridMultilevel"/>
    <w:tmpl w:val="70C827E8"/>
    <w:lvl w:ilvl="0" w:tplc="7EE237A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F54734"/>
    <w:multiLevelType w:val="hybridMultilevel"/>
    <w:tmpl w:val="31921EEA"/>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75EA5CF9"/>
    <w:multiLevelType w:val="hybridMultilevel"/>
    <w:tmpl w:val="2D0ED4C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215542">
    <w:abstractNumId w:val="12"/>
  </w:num>
  <w:num w:numId="2" w16cid:durableId="1806511458">
    <w:abstractNumId w:val="3"/>
  </w:num>
  <w:num w:numId="3" w16cid:durableId="2118062894">
    <w:abstractNumId w:val="11"/>
  </w:num>
  <w:num w:numId="4" w16cid:durableId="596140846">
    <w:abstractNumId w:val="13"/>
  </w:num>
  <w:num w:numId="5" w16cid:durableId="1710184379">
    <w:abstractNumId w:val="6"/>
  </w:num>
  <w:num w:numId="6" w16cid:durableId="1887183935">
    <w:abstractNumId w:val="8"/>
  </w:num>
  <w:num w:numId="7" w16cid:durableId="1012295525">
    <w:abstractNumId w:val="15"/>
  </w:num>
  <w:num w:numId="8" w16cid:durableId="1976518760">
    <w:abstractNumId w:val="0"/>
  </w:num>
  <w:num w:numId="9" w16cid:durableId="1998992038">
    <w:abstractNumId w:val="18"/>
  </w:num>
  <w:num w:numId="10" w16cid:durableId="129177466">
    <w:abstractNumId w:val="5"/>
  </w:num>
  <w:num w:numId="11" w16cid:durableId="329993605">
    <w:abstractNumId w:val="1"/>
  </w:num>
  <w:num w:numId="12" w16cid:durableId="1938175210">
    <w:abstractNumId w:val="17"/>
  </w:num>
  <w:num w:numId="13" w16cid:durableId="1584605381">
    <w:abstractNumId w:val="7"/>
  </w:num>
  <w:num w:numId="14" w16cid:durableId="572357595">
    <w:abstractNumId w:val="19"/>
  </w:num>
  <w:num w:numId="15" w16cid:durableId="670572090">
    <w:abstractNumId w:val="3"/>
    <w:lvlOverride w:ilvl="0">
      <w:startOverride w:val="1"/>
    </w:lvlOverride>
  </w:num>
  <w:num w:numId="16" w16cid:durableId="90637115">
    <w:abstractNumId w:val="16"/>
  </w:num>
  <w:num w:numId="17" w16cid:durableId="525215751">
    <w:abstractNumId w:val="3"/>
    <w:lvlOverride w:ilvl="0">
      <w:startOverride w:val="1"/>
    </w:lvlOverride>
  </w:num>
  <w:num w:numId="18" w16cid:durableId="2067754886">
    <w:abstractNumId w:val="2"/>
  </w:num>
  <w:num w:numId="19" w16cid:durableId="807283628">
    <w:abstractNumId w:val="4"/>
  </w:num>
  <w:num w:numId="20" w16cid:durableId="1679305106">
    <w:abstractNumId w:val="9"/>
  </w:num>
  <w:num w:numId="21" w16cid:durableId="2006126404">
    <w:abstractNumId w:val="21"/>
  </w:num>
  <w:num w:numId="22" w16cid:durableId="1653145615">
    <w:abstractNumId w:val="14"/>
  </w:num>
  <w:num w:numId="23" w16cid:durableId="1492411454">
    <w:abstractNumId w:val="3"/>
    <w:lvlOverride w:ilvl="0">
      <w:startOverride w:val="1"/>
    </w:lvlOverride>
  </w:num>
  <w:num w:numId="24" w16cid:durableId="854466911">
    <w:abstractNumId w:val="10"/>
  </w:num>
  <w:num w:numId="25" w16cid:durableId="2013333390">
    <w:abstractNumId w:val="3"/>
    <w:lvlOverride w:ilvl="0">
      <w:startOverride w:val="1"/>
    </w:lvlOverride>
  </w:num>
  <w:num w:numId="26" w16cid:durableId="15471382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8E"/>
    <w:rsid w:val="00000B01"/>
    <w:rsid w:val="00000C5D"/>
    <w:rsid w:val="00002572"/>
    <w:rsid w:val="00002A1B"/>
    <w:rsid w:val="00007218"/>
    <w:rsid w:val="0001223F"/>
    <w:rsid w:val="00014720"/>
    <w:rsid w:val="00014D73"/>
    <w:rsid w:val="00016671"/>
    <w:rsid w:val="000166B7"/>
    <w:rsid w:val="00016CF0"/>
    <w:rsid w:val="00017D4E"/>
    <w:rsid w:val="0002404F"/>
    <w:rsid w:val="00025724"/>
    <w:rsid w:val="0003052A"/>
    <w:rsid w:val="00031179"/>
    <w:rsid w:val="00034B2C"/>
    <w:rsid w:val="00034B8A"/>
    <w:rsid w:val="0003506E"/>
    <w:rsid w:val="00036675"/>
    <w:rsid w:val="00036DED"/>
    <w:rsid w:val="00044ECE"/>
    <w:rsid w:val="00046AD9"/>
    <w:rsid w:val="00053D0E"/>
    <w:rsid w:val="00054078"/>
    <w:rsid w:val="00060500"/>
    <w:rsid w:val="00061C5A"/>
    <w:rsid w:val="000629B2"/>
    <w:rsid w:val="000634A1"/>
    <w:rsid w:val="00070838"/>
    <w:rsid w:val="00071BD1"/>
    <w:rsid w:val="00073E8F"/>
    <w:rsid w:val="000747D1"/>
    <w:rsid w:val="00080805"/>
    <w:rsid w:val="00081BDB"/>
    <w:rsid w:val="000833A9"/>
    <w:rsid w:val="00084E23"/>
    <w:rsid w:val="000866C4"/>
    <w:rsid w:val="00086C38"/>
    <w:rsid w:val="000903AE"/>
    <w:rsid w:val="000906F0"/>
    <w:rsid w:val="00094FDC"/>
    <w:rsid w:val="000A0F9E"/>
    <w:rsid w:val="000A2B2F"/>
    <w:rsid w:val="000A3201"/>
    <w:rsid w:val="000A615B"/>
    <w:rsid w:val="000B0E07"/>
    <w:rsid w:val="000B30DD"/>
    <w:rsid w:val="000B3DF1"/>
    <w:rsid w:val="000C009D"/>
    <w:rsid w:val="000C1580"/>
    <w:rsid w:val="000C3AC1"/>
    <w:rsid w:val="000D0981"/>
    <w:rsid w:val="000E0166"/>
    <w:rsid w:val="000E0E36"/>
    <w:rsid w:val="000E64EA"/>
    <w:rsid w:val="000F130D"/>
    <w:rsid w:val="000F4AD0"/>
    <w:rsid w:val="00104F3B"/>
    <w:rsid w:val="00106897"/>
    <w:rsid w:val="001107AD"/>
    <w:rsid w:val="00110C35"/>
    <w:rsid w:val="00116BEC"/>
    <w:rsid w:val="00117F4E"/>
    <w:rsid w:val="0012008E"/>
    <w:rsid w:val="0012453C"/>
    <w:rsid w:val="00125C9A"/>
    <w:rsid w:val="00126DB1"/>
    <w:rsid w:val="0012798B"/>
    <w:rsid w:val="00127B91"/>
    <w:rsid w:val="001303BD"/>
    <w:rsid w:val="0013175E"/>
    <w:rsid w:val="0013240D"/>
    <w:rsid w:val="00135BCE"/>
    <w:rsid w:val="00140190"/>
    <w:rsid w:val="00142CCD"/>
    <w:rsid w:val="001433E8"/>
    <w:rsid w:val="00145CB1"/>
    <w:rsid w:val="001462AE"/>
    <w:rsid w:val="001537AC"/>
    <w:rsid w:val="001553EF"/>
    <w:rsid w:val="00156661"/>
    <w:rsid w:val="00156908"/>
    <w:rsid w:val="00157F23"/>
    <w:rsid w:val="001608DC"/>
    <w:rsid w:val="001627CE"/>
    <w:rsid w:val="001654B0"/>
    <w:rsid w:val="00166617"/>
    <w:rsid w:val="00166CCA"/>
    <w:rsid w:val="00167722"/>
    <w:rsid w:val="00177BF2"/>
    <w:rsid w:val="00183E11"/>
    <w:rsid w:val="001844E9"/>
    <w:rsid w:val="001867CD"/>
    <w:rsid w:val="00196026"/>
    <w:rsid w:val="001C4C66"/>
    <w:rsid w:val="001C6FE2"/>
    <w:rsid w:val="001D7D9E"/>
    <w:rsid w:val="001E2AAD"/>
    <w:rsid w:val="001E49E8"/>
    <w:rsid w:val="001E4D13"/>
    <w:rsid w:val="001E5BEA"/>
    <w:rsid w:val="001F386F"/>
    <w:rsid w:val="001F7504"/>
    <w:rsid w:val="002015B4"/>
    <w:rsid w:val="00204682"/>
    <w:rsid w:val="0020490F"/>
    <w:rsid w:val="00207DC4"/>
    <w:rsid w:val="00207FEC"/>
    <w:rsid w:val="00211059"/>
    <w:rsid w:val="0021241F"/>
    <w:rsid w:val="002145E1"/>
    <w:rsid w:val="00214D27"/>
    <w:rsid w:val="00222F39"/>
    <w:rsid w:val="00223939"/>
    <w:rsid w:val="002342AE"/>
    <w:rsid w:val="00236AFD"/>
    <w:rsid w:val="00236C59"/>
    <w:rsid w:val="00237233"/>
    <w:rsid w:val="00237999"/>
    <w:rsid w:val="00242CFD"/>
    <w:rsid w:val="00246AAA"/>
    <w:rsid w:val="002512F6"/>
    <w:rsid w:val="00253556"/>
    <w:rsid w:val="00253B38"/>
    <w:rsid w:val="00254AA2"/>
    <w:rsid w:val="00256C27"/>
    <w:rsid w:val="00256D5C"/>
    <w:rsid w:val="00256E8D"/>
    <w:rsid w:val="0026431D"/>
    <w:rsid w:val="002711A7"/>
    <w:rsid w:val="002714ED"/>
    <w:rsid w:val="00271AFE"/>
    <w:rsid w:val="00272B32"/>
    <w:rsid w:val="00274CFF"/>
    <w:rsid w:val="00280C38"/>
    <w:rsid w:val="0028169C"/>
    <w:rsid w:val="0028331E"/>
    <w:rsid w:val="0028381C"/>
    <w:rsid w:val="00284120"/>
    <w:rsid w:val="00290030"/>
    <w:rsid w:val="00291EDF"/>
    <w:rsid w:val="00293587"/>
    <w:rsid w:val="002A4C5D"/>
    <w:rsid w:val="002B3717"/>
    <w:rsid w:val="002C1BA0"/>
    <w:rsid w:val="002C2C98"/>
    <w:rsid w:val="002C3C1F"/>
    <w:rsid w:val="002C3FFF"/>
    <w:rsid w:val="002D098C"/>
    <w:rsid w:val="002D2476"/>
    <w:rsid w:val="002D35AC"/>
    <w:rsid w:val="002D5650"/>
    <w:rsid w:val="002E2145"/>
    <w:rsid w:val="002E4361"/>
    <w:rsid w:val="002E6738"/>
    <w:rsid w:val="002F2734"/>
    <w:rsid w:val="002F2B22"/>
    <w:rsid w:val="002F582E"/>
    <w:rsid w:val="002F5DB9"/>
    <w:rsid w:val="002F7855"/>
    <w:rsid w:val="00301906"/>
    <w:rsid w:val="003019AB"/>
    <w:rsid w:val="0030311B"/>
    <w:rsid w:val="00304CCD"/>
    <w:rsid w:val="00305967"/>
    <w:rsid w:val="00306DD1"/>
    <w:rsid w:val="00311E2A"/>
    <w:rsid w:val="00311F13"/>
    <w:rsid w:val="00313079"/>
    <w:rsid w:val="00313222"/>
    <w:rsid w:val="003153A4"/>
    <w:rsid w:val="003257B4"/>
    <w:rsid w:val="00331E72"/>
    <w:rsid w:val="003344F7"/>
    <w:rsid w:val="00335D75"/>
    <w:rsid w:val="00341BB0"/>
    <w:rsid w:val="00342B3B"/>
    <w:rsid w:val="00355F6D"/>
    <w:rsid w:val="00357C7F"/>
    <w:rsid w:val="00365300"/>
    <w:rsid w:val="0037066A"/>
    <w:rsid w:val="003754D3"/>
    <w:rsid w:val="003823F9"/>
    <w:rsid w:val="003838DA"/>
    <w:rsid w:val="00383A5D"/>
    <w:rsid w:val="00391DB0"/>
    <w:rsid w:val="0039217A"/>
    <w:rsid w:val="00392FC4"/>
    <w:rsid w:val="003A01B2"/>
    <w:rsid w:val="003A32C4"/>
    <w:rsid w:val="003A63A6"/>
    <w:rsid w:val="003B3C74"/>
    <w:rsid w:val="003B495A"/>
    <w:rsid w:val="003C4357"/>
    <w:rsid w:val="003C6CD9"/>
    <w:rsid w:val="003C7115"/>
    <w:rsid w:val="003C7291"/>
    <w:rsid w:val="003D0F47"/>
    <w:rsid w:val="003E0138"/>
    <w:rsid w:val="003E2504"/>
    <w:rsid w:val="003E49F9"/>
    <w:rsid w:val="003F6B1D"/>
    <w:rsid w:val="0040002C"/>
    <w:rsid w:val="004025AD"/>
    <w:rsid w:val="00403C79"/>
    <w:rsid w:val="0041152D"/>
    <w:rsid w:val="0041280D"/>
    <w:rsid w:val="004142A6"/>
    <w:rsid w:val="00416BC4"/>
    <w:rsid w:val="00417EE3"/>
    <w:rsid w:val="00421FC4"/>
    <w:rsid w:val="004223B5"/>
    <w:rsid w:val="004236FA"/>
    <w:rsid w:val="004241D0"/>
    <w:rsid w:val="0042441D"/>
    <w:rsid w:val="0042512F"/>
    <w:rsid w:val="00432205"/>
    <w:rsid w:val="004366AD"/>
    <w:rsid w:val="004372C4"/>
    <w:rsid w:val="00460511"/>
    <w:rsid w:val="00461806"/>
    <w:rsid w:val="00462007"/>
    <w:rsid w:val="0046508D"/>
    <w:rsid w:val="0047076D"/>
    <w:rsid w:val="0047149E"/>
    <w:rsid w:val="00483B68"/>
    <w:rsid w:val="00486F5A"/>
    <w:rsid w:val="00487477"/>
    <w:rsid w:val="00490C95"/>
    <w:rsid w:val="00494F7B"/>
    <w:rsid w:val="004978A9"/>
    <w:rsid w:val="004A3FF7"/>
    <w:rsid w:val="004A668C"/>
    <w:rsid w:val="004A7EF5"/>
    <w:rsid w:val="004B19E7"/>
    <w:rsid w:val="004B3B98"/>
    <w:rsid w:val="004B7362"/>
    <w:rsid w:val="004C2E08"/>
    <w:rsid w:val="004C3B64"/>
    <w:rsid w:val="004C4B52"/>
    <w:rsid w:val="004D303C"/>
    <w:rsid w:val="004D3BC6"/>
    <w:rsid w:val="004E70C6"/>
    <w:rsid w:val="004E724D"/>
    <w:rsid w:val="00502C63"/>
    <w:rsid w:val="00503C8A"/>
    <w:rsid w:val="005131BF"/>
    <w:rsid w:val="005151A6"/>
    <w:rsid w:val="00516FC2"/>
    <w:rsid w:val="00532ED5"/>
    <w:rsid w:val="00534B7E"/>
    <w:rsid w:val="00541FE0"/>
    <w:rsid w:val="00542932"/>
    <w:rsid w:val="0054531A"/>
    <w:rsid w:val="005542C5"/>
    <w:rsid w:val="00560616"/>
    <w:rsid w:val="0057314A"/>
    <w:rsid w:val="00573F76"/>
    <w:rsid w:val="005742E3"/>
    <w:rsid w:val="0057465D"/>
    <w:rsid w:val="00587901"/>
    <w:rsid w:val="0059054F"/>
    <w:rsid w:val="005937D5"/>
    <w:rsid w:val="00593E2A"/>
    <w:rsid w:val="005A37D7"/>
    <w:rsid w:val="005A4754"/>
    <w:rsid w:val="005B1B81"/>
    <w:rsid w:val="005B2B3E"/>
    <w:rsid w:val="005B653F"/>
    <w:rsid w:val="005B6626"/>
    <w:rsid w:val="005B7B38"/>
    <w:rsid w:val="005C2317"/>
    <w:rsid w:val="005C2BB4"/>
    <w:rsid w:val="005C2DC3"/>
    <w:rsid w:val="005C3E4A"/>
    <w:rsid w:val="005C5468"/>
    <w:rsid w:val="005C5D8F"/>
    <w:rsid w:val="005C793F"/>
    <w:rsid w:val="005D056B"/>
    <w:rsid w:val="005D2A3A"/>
    <w:rsid w:val="005D2BC1"/>
    <w:rsid w:val="005D61AE"/>
    <w:rsid w:val="005D6DFA"/>
    <w:rsid w:val="005E1453"/>
    <w:rsid w:val="005F51D8"/>
    <w:rsid w:val="005F5CE0"/>
    <w:rsid w:val="005F745F"/>
    <w:rsid w:val="005F7D2A"/>
    <w:rsid w:val="00600A2A"/>
    <w:rsid w:val="00602602"/>
    <w:rsid w:val="006067C0"/>
    <w:rsid w:val="006074DF"/>
    <w:rsid w:val="006117BB"/>
    <w:rsid w:val="0061339B"/>
    <w:rsid w:val="00620D2F"/>
    <w:rsid w:val="0063606E"/>
    <w:rsid w:val="00637BF5"/>
    <w:rsid w:val="00640D04"/>
    <w:rsid w:val="00641B7F"/>
    <w:rsid w:val="00647C7C"/>
    <w:rsid w:val="00653D5C"/>
    <w:rsid w:val="00655466"/>
    <w:rsid w:val="006567B7"/>
    <w:rsid w:val="00662923"/>
    <w:rsid w:val="00662C44"/>
    <w:rsid w:val="00673FA1"/>
    <w:rsid w:val="00676A80"/>
    <w:rsid w:val="00680753"/>
    <w:rsid w:val="0068403F"/>
    <w:rsid w:val="006841E6"/>
    <w:rsid w:val="0068522D"/>
    <w:rsid w:val="00690B01"/>
    <w:rsid w:val="00694277"/>
    <w:rsid w:val="006A1A07"/>
    <w:rsid w:val="006A3D7A"/>
    <w:rsid w:val="006A4C3B"/>
    <w:rsid w:val="006A5261"/>
    <w:rsid w:val="006A5647"/>
    <w:rsid w:val="006B2DE5"/>
    <w:rsid w:val="006B40EF"/>
    <w:rsid w:val="006B4B1A"/>
    <w:rsid w:val="006B586B"/>
    <w:rsid w:val="006B6A96"/>
    <w:rsid w:val="006C2CF2"/>
    <w:rsid w:val="006C2F36"/>
    <w:rsid w:val="006C7B6F"/>
    <w:rsid w:val="006D0207"/>
    <w:rsid w:val="006D2096"/>
    <w:rsid w:val="006D2112"/>
    <w:rsid w:val="006D3021"/>
    <w:rsid w:val="006D3810"/>
    <w:rsid w:val="006D54ED"/>
    <w:rsid w:val="006D7D87"/>
    <w:rsid w:val="006E02EE"/>
    <w:rsid w:val="006E4757"/>
    <w:rsid w:val="006F0A6E"/>
    <w:rsid w:val="006F0F10"/>
    <w:rsid w:val="006F0F2B"/>
    <w:rsid w:val="006F4049"/>
    <w:rsid w:val="006F473F"/>
    <w:rsid w:val="006F54D2"/>
    <w:rsid w:val="006F6407"/>
    <w:rsid w:val="006F67D0"/>
    <w:rsid w:val="006F7970"/>
    <w:rsid w:val="007011E7"/>
    <w:rsid w:val="0070285B"/>
    <w:rsid w:val="00715091"/>
    <w:rsid w:val="00716C96"/>
    <w:rsid w:val="00717F65"/>
    <w:rsid w:val="007218AD"/>
    <w:rsid w:val="00727661"/>
    <w:rsid w:val="00734750"/>
    <w:rsid w:val="00735647"/>
    <w:rsid w:val="00736E9F"/>
    <w:rsid w:val="00741642"/>
    <w:rsid w:val="00741D70"/>
    <w:rsid w:val="0074228C"/>
    <w:rsid w:val="007438F5"/>
    <w:rsid w:val="00745169"/>
    <w:rsid w:val="00746B2D"/>
    <w:rsid w:val="007470DD"/>
    <w:rsid w:val="0075283A"/>
    <w:rsid w:val="00760850"/>
    <w:rsid w:val="00762BA5"/>
    <w:rsid w:val="00765BBB"/>
    <w:rsid w:val="0076693C"/>
    <w:rsid w:val="00766F3D"/>
    <w:rsid w:val="0076710E"/>
    <w:rsid w:val="00767AE2"/>
    <w:rsid w:val="00775851"/>
    <w:rsid w:val="007763CD"/>
    <w:rsid w:val="00784BB1"/>
    <w:rsid w:val="00787FE9"/>
    <w:rsid w:val="00792222"/>
    <w:rsid w:val="00794FB3"/>
    <w:rsid w:val="007A0542"/>
    <w:rsid w:val="007A1552"/>
    <w:rsid w:val="007B1877"/>
    <w:rsid w:val="007B2424"/>
    <w:rsid w:val="007B2E8E"/>
    <w:rsid w:val="007B3520"/>
    <w:rsid w:val="007B544D"/>
    <w:rsid w:val="007B6EBB"/>
    <w:rsid w:val="007C07B1"/>
    <w:rsid w:val="007C2A22"/>
    <w:rsid w:val="007C695A"/>
    <w:rsid w:val="007D5620"/>
    <w:rsid w:val="007D7162"/>
    <w:rsid w:val="007E0438"/>
    <w:rsid w:val="007E4025"/>
    <w:rsid w:val="007E4A2C"/>
    <w:rsid w:val="007E7258"/>
    <w:rsid w:val="007E7B29"/>
    <w:rsid w:val="007F086B"/>
    <w:rsid w:val="007F14E2"/>
    <w:rsid w:val="007F2208"/>
    <w:rsid w:val="007F527D"/>
    <w:rsid w:val="008019CF"/>
    <w:rsid w:val="0080257D"/>
    <w:rsid w:val="00810A51"/>
    <w:rsid w:val="00812E81"/>
    <w:rsid w:val="00815CCB"/>
    <w:rsid w:val="00820992"/>
    <w:rsid w:val="008213E5"/>
    <w:rsid w:val="00822210"/>
    <w:rsid w:val="0082248D"/>
    <w:rsid w:val="0082308B"/>
    <w:rsid w:val="00825253"/>
    <w:rsid w:val="008259BA"/>
    <w:rsid w:val="008269E4"/>
    <w:rsid w:val="0083517D"/>
    <w:rsid w:val="00836F07"/>
    <w:rsid w:val="00840C8A"/>
    <w:rsid w:val="008443EB"/>
    <w:rsid w:val="00844700"/>
    <w:rsid w:val="00845590"/>
    <w:rsid w:val="00845D1A"/>
    <w:rsid w:val="008469F7"/>
    <w:rsid w:val="00852233"/>
    <w:rsid w:val="00853127"/>
    <w:rsid w:val="008550AF"/>
    <w:rsid w:val="0085575E"/>
    <w:rsid w:val="008601DB"/>
    <w:rsid w:val="00861692"/>
    <w:rsid w:val="008759FB"/>
    <w:rsid w:val="00876D67"/>
    <w:rsid w:val="008822F6"/>
    <w:rsid w:val="008848DA"/>
    <w:rsid w:val="00885306"/>
    <w:rsid w:val="00886E42"/>
    <w:rsid w:val="00890845"/>
    <w:rsid w:val="008916E5"/>
    <w:rsid w:val="00892A40"/>
    <w:rsid w:val="00893A73"/>
    <w:rsid w:val="0089497C"/>
    <w:rsid w:val="008A0E07"/>
    <w:rsid w:val="008B1886"/>
    <w:rsid w:val="008B576B"/>
    <w:rsid w:val="008B6BF0"/>
    <w:rsid w:val="008C1C7D"/>
    <w:rsid w:val="008C1D2B"/>
    <w:rsid w:val="008C3984"/>
    <w:rsid w:val="008C6C0D"/>
    <w:rsid w:val="008D1688"/>
    <w:rsid w:val="008D35D1"/>
    <w:rsid w:val="008D4630"/>
    <w:rsid w:val="008D5773"/>
    <w:rsid w:val="008D6EB0"/>
    <w:rsid w:val="008E041B"/>
    <w:rsid w:val="008E1282"/>
    <w:rsid w:val="008E29EC"/>
    <w:rsid w:val="008E4054"/>
    <w:rsid w:val="008E789F"/>
    <w:rsid w:val="008F15FA"/>
    <w:rsid w:val="008F394D"/>
    <w:rsid w:val="008F39A8"/>
    <w:rsid w:val="008F4BD1"/>
    <w:rsid w:val="008F59C8"/>
    <w:rsid w:val="008F6C5B"/>
    <w:rsid w:val="008F6F5E"/>
    <w:rsid w:val="0090065D"/>
    <w:rsid w:val="0090130C"/>
    <w:rsid w:val="00902A9C"/>
    <w:rsid w:val="0090611F"/>
    <w:rsid w:val="00907243"/>
    <w:rsid w:val="00910122"/>
    <w:rsid w:val="009160BC"/>
    <w:rsid w:val="00926493"/>
    <w:rsid w:val="00933D1C"/>
    <w:rsid w:val="009340E5"/>
    <w:rsid w:val="00940261"/>
    <w:rsid w:val="00940907"/>
    <w:rsid w:val="0094375B"/>
    <w:rsid w:val="00947383"/>
    <w:rsid w:val="00950207"/>
    <w:rsid w:val="0095195F"/>
    <w:rsid w:val="009520A1"/>
    <w:rsid w:val="00954F9B"/>
    <w:rsid w:val="00956D14"/>
    <w:rsid w:val="009677C6"/>
    <w:rsid w:val="00973E19"/>
    <w:rsid w:val="00973E94"/>
    <w:rsid w:val="0097406B"/>
    <w:rsid w:val="009777F9"/>
    <w:rsid w:val="00980195"/>
    <w:rsid w:val="009843D9"/>
    <w:rsid w:val="00984FE7"/>
    <w:rsid w:val="00986829"/>
    <w:rsid w:val="0098683B"/>
    <w:rsid w:val="00987B63"/>
    <w:rsid w:val="009A6265"/>
    <w:rsid w:val="009A6694"/>
    <w:rsid w:val="009A6701"/>
    <w:rsid w:val="009B0EAD"/>
    <w:rsid w:val="009C0B67"/>
    <w:rsid w:val="009C0FED"/>
    <w:rsid w:val="009C3444"/>
    <w:rsid w:val="009C45FD"/>
    <w:rsid w:val="009C5399"/>
    <w:rsid w:val="009E1A3D"/>
    <w:rsid w:val="009F6B01"/>
    <w:rsid w:val="009F7743"/>
    <w:rsid w:val="009F785D"/>
    <w:rsid w:val="009F79F6"/>
    <w:rsid w:val="00A10765"/>
    <w:rsid w:val="00A1346E"/>
    <w:rsid w:val="00A235CB"/>
    <w:rsid w:val="00A25D00"/>
    <w:rsid w:val="00A30BEC"/>
    <w:rsid w:val="00A36E6F"/>
    <w:rsid w:val="00A4388D"/>
    <w:rsid w:val="00A45A28"/>
    <w:rsid w:val="00A46566"/>
    <w:rsid w:val="00A46C8E"/>
    <w:rsid w:val="00A54706"/>
    <w:rsid w:val="00A569C0"/>
    <w:rsid w:val="00A60F29"/>
    <w:rsid w:val="00A61353"/>
    <w:rsid w:val="00A670EA"/>
    <w:rsid w:val="00A719F3"/>
    <w:rsid w:val="00A71AF1"/>
    <w:rsid w:val="00A72584"/>
    <w:rsid w:val="00A73097"/>
    <w:rsid w:val="00A77D55"/>
    <w:rsid w:val="00A81698"/>
    <w:rsid w:val="00A83A8F"/>
    <w:rsid w:val="00A84D8B"/>
    <w:rsid w:val="00A86478"/>
    <w:rsid w:val="00A9023A"/>
    <w:rsid w:val="00A90DA9"/>
    <w:rsid w:val="00A92043"/>
    <w:rsid w:val="00A946FF"/>
    <w:rsid w:val="00A95F67"/>
    <w:rsid w:val="00A9624A"/>
    <w:rsid w:val="00A963B5"/>
    <w:rsid w:val="00A96F3B"/>
    <w:rsid w:val="00AA3EF7"/>
    <w:rsid w:val="00AB1E24"/>
    <w:rsid w:val="00AB600F"/>
    <w:rsid w:val="00AB61A9"/>
    <w:rsid w:val="00AC10AD"/>
    <w:rsid w:val="00AC1DE2"/>
    <w:rsid w:val="00AC4202"/>
    <w:rsid w:val="00AD0EDF"/>
    <w:rsid w:val="00AD2E5A"/>
    <w:rsid w:val="00AD2FAF"/>
    <w:rsid w:val="00AD362B"/>
    <w:rsid w:val="00AD4602"/>
    <w:rsid w:val="00AD47DB"/>
    <w:rsid w:val="00AE1C11"/>
    <w:rsid w:val="00AE43EB"/>
    <w:rsid w:val="00AE46D2"/>
    <w:rsid w:val="00AE6920"/>
    <w:rsid w:val="00AE7E03"/>
    <w:rsid w:val="00AF0FAE"/>
    <w:rsid w:val="00AF5579"/>
    <w:rsid w:val="00AF6BEE"/>
    <w:rsid w:val="00AF76F7"/>
    <w:rsid w:val="00AF7E02"/>
    <w:rsid w:val="00B0093D"/>
    <w:rsid w:val="00B00E37"/>
    <w:rsid w:val="00B010BC"/>
    <w:rsid w:val="00B02C71"/>
    <w:rsid w:val="00B03376"/>
    <w:rsid w:val="00B0436D"/>
    <w:rsid w:val="00B049A1"/>
    <w:rsid w:val="00B04C54"/>
    <w:rsid w:val="00B05803"/>
    <w:rsid w:val="00B064BA"/>
    <w:rsid w:val="00B07ABF"/>
    <w:rsid w:val="00B10AD9"/>
    <w:rsid w:val="00B118E5"/>
    <w:rsid w:val="00B16ADE"/>
    <w:rsid w:val="00B30B01"/>
    <w:rsid w:val="00B37ACE"/>
    <w:rsid w:val="00B40571"/>
    <w:rsid w:val="00B405D7"/>
    <w:rsid w:val="00B45048"/>
    <w:rsid w:val="00B45B91"/>
    <w:rsid w:val="00B52CBB"/>
    <w:rsid w:val="00B57AB7"/>
    <w:rsid w:val="00B57EA1"/>
    <w:rsid w:val="00B7366D"/>
    <w:rsid w:val="00B73A6F"/>
    <w:rsid w:val="00B84D81"/>
    <w:rsid w:val="00B92385"/>
    <w:rsid w:val="00B9541C"/>
    <w:rsid w:val="00B97D92"/>
    <w:rsid w:val="00BA1AB3"/>
    <w:rsid w:val="00BA1D79"/>
    <w:rsid w:val="00BA251E"/>
    <w:rsid w:val="00BA2AC7"/>
    <w:rsid w:val="00BA2FE5"/>
    <w:rsid w:val="00BA3757"/>
    <w:rsid w:val="00BA5FE5"/>
    <w:rsid w:val="00BA7A96"/>
    <w:rsid w:val="00BB3608"/>
    <w:rsid w:val="00BB5D06"/>
    <w:rsid w:val="00BB6246"/>
    <w:rsid w:val="00BB66E1"/>
    <w:rsid w:val="00BD0842"/>
    <w:rsid w:val="00BD2C4D"/>
    <w:rsid w:val="00BD3EDB"/>
    <w:rsid w:val="00BE3976"/>
    <w:rsid w:val="00BF4292"/>
    <w:rsid w:val="00BF44D1"/>
    <w:rsid w:val="00BF6B9E"/>
    <w:rsid w:val="00BF6E8F"/>
    <w:rsid w:val="00C023F1"/>
    <w:rsid w:val="00C07541"/>
    <w:rsid w:val="00C118CD"/>
    <w:rsid w:val="00C16B89"/>
    <w:rsid w:val="00C176CB"/>
    <w:rsid w:val="00C2153E"/>
    <w:rsid w:val="00C228CE"/>
    <w:rsid w:val="00C25401"/>
    <w:rsid w:val="00C25631"/>
    <w:rsid w:val="00C277F3"/>
    <w:rsid w:val="00C3205A"/>
    <w:rsid w:val="00C3257D"/>
    <w:rsid w:val="00C34370"/>
    <w:rsid w:val="00C40472"/>
    <w:rsid w:val="00C41D11"/>
    <w:rsid w:val="00C4446F"/>
    <w:rsid w:val="00C553EB"/>
    <w:rsid w:val="00C60DB6"/>
    <w:rsid w:val="00C62E1E"/>
    <w:rsid w:val="00C65E66"/>
    <w:rsid w:val="00C71350"/>
    <w:rsid w:val="00C71BE8"/>
    <w:rsid w:val="00C739F3"/>
    <w:rsid w:val="00C762C4"/>
    <w:rsid w:val="00C82824"/>
    <w:rsid w:val="00C87D75"/>
    <w:rsid w:val="00C97E78"/>
    <w:rsid w:val="00CA2FFA"/>
    <w:rsid w:val="00CB3929"/>
    <w:rsid w:val="00CB3BF5"/>
    <w:rsid w:val="00CB737E"/>
    <w:rsid w:val="00CC2407"/>
    <w:rsid w:val="00CC2E7C"/>
    <w:rsid w:val="00CC5643"/>
    <w:rsid w:val="00CC770B"/>
    <w:rsid w:val="00CC7D3F"/>
    <w:rsid w:val="00CD0FD2"/>
    <w:rsid w:val="00CD1B9E"/>
    <w:rsid w:val="00CD27CB"/>
    <w:rsid w:val="00CD2F4B"/>
    <w:rsid w:val="00CD3646"/>
    <w:rsid w:val="00CD5327"/>
    <w:rsid w:val="00CD67EB"/>
    <w:rsid w:val="00CE4909"/>
    <w:rsid w:val="00CF13B0"/>
    <w:rsid w:val="00CF39B8"/>
    <w:rsid w:val="00CF7AF5"/>
    <w:rsid w:val="00D0056E"/>
    <w:rsid w:val="00D01AC5"/>
    <w:rsid w:val="00D04ECA"/>
    <w:rsid w:val="00D073CF"/>
    <w:rsid w:val="00D14012"/>
    <w:rsid w:val="00D17903"/>
    <w:rsid w:val="00D23123"/>
    <w:rsid w:val="00D23E10"/>
    <w:rsid w:val="00D24161"/>
    <w:rsid w:val="00D254CC"/>
    <w:rsid w:val="00D25B83"/>
    <w:rsid w:val="00D30F6B"/>
    <w:rsid w:val="00D32433"/>
    <w:rsid w:val="00D3248C"/>
    <w:rsid w:val="00D33A00"/>
    <w:rsid w:val="00D35A84"/>
    <w:rsid w:val="00D35F30"/>
    <w:rsid w:val="00D373EF"/>
    <w:rsid w:val="00D40524"/>
    <w:rsid w:val="00D41346"/>
    <w:rsid w:val="00D44C57"/>
    <w:rsid w:val="00D46FCB"/>
    <w:rsid w:val="00D50D49"/>
    <w:rsid w:val="00D52DD9"/>
    <w:rsid w:val="00D549C1"/>
    <w:rsid w:val="00D57464"/>
    <w:rsid w:val="00D65496"/>
    <w:rsid w:val="00D72E04"/>
    <w:rsid w:val="00D76BDD"/>
    <w:rsid w:val="00D83B65"/>
    <w:rsid w:val="00D86B4D"/>
    <w:rsid w:val="00D95EF1"/>
    <w:rsid w:val="00D97D1C"/>
    <w:rsid w:val="00DA0A00"/>
    <w:rsid w:val="00DA3446"/>
    <w:rsid w:val="00DA470E"/>
    <w:rsid w:val="00DA625E"/>
    <w:rsid w:val="00DA7460"/>
    <w:rsid w:val="00DB072A"/>
    <w:rsid w:val="00DB529C"/>
    <w:rsid w:val="00DC2FDE"/>
    <w:rsid w:val="00DC34B2"/>
    <w:rsid w:val="00DC4107"/>
    <w:rsid w:val="00DC5E7E"/>
    <w:rsid w:val="00DC6443"/>
    <w:rsid w:val="00DD17E6"/>
    <w:rsid w:val="00DD1CF2"/>
    <w:rsid w:val="00DD617A"/>
    <w:rsid w:val="00DE0429"/>
    <w:rsid w:val="00DE4239"/>
    <w:rsid w:val="00DE6C49"/>
    <w:rsid w:val="00DF0566"/>
    <w:rsid w:val="00DF0C50"/>
    <w:rsid w:val="00DF15DB"/>
    <w:rsid w:val="00E0109E"/>
    <w:rsid w:val="00E06AAF"/>
    <w:rsid w:val="00E10541"/>
    <w:rsid w:val="00E1131A"/>
    <w:rsid w:val="00E11B9B"/>
    <w:rsid w:val="00E1253A"/>
    <w:rsid w:val="00E2057F"/>
    <w:rsid w:val="00E2338D"/>
    <w:rsid w:val="00E27CE7"/>
    <w:rsid w:val="00E321D1"/>
    <w:rsid w:val="00E32B56"/>
    <w:rsid w:val="00E42DCC"/>
    <w:rsid w:val="00E4397A"/>
    <w:rsid w:val="00E439A9"/>
    <w:rsid w:val="00E46F45"/>
    <w:rsid w:val="00E50357"/>
    <w:rsid w:val="00E510D7"/>
    <w:rsid w:val="00E5489B"/>
    <w:rsid w:val="00E54993"/>
    <w:rsid w:val="00E665DE"/>
    <w:rsid w:val="00E672D2"/>
    <w:rsid w:val="00E72428"/>
    <w:rsid w:val="00E72778"/>
    <w:rsid w:val="00E74863"/>
    <w:rsid w:val="00E75B75"/>
    <w:rsid w:val="00E837FF"/>
    <w:rsid w:val="00E84740"/>
    <w:rsid w:val="00E85A94"/>
    <w:rsid w:val="00E85D38"/>
    <w:rsid w:val="00E87FA1"/>
    <w:rsid w:val="00E91851"/>
    <w:rsid w:val="00E95C2F"/>
    <w:rsid w:val="00E95E8A"/>
    <w:rsid w:val="00EA1BD2"/>
    <w:rsid w:val="00EA2639"/>
    <w:rsid w:val="00EA316A"/>
    <w:rsid w:val="00EA6122"/>
    <w:rsid w:val="00EB037A"/>
    <w:rsid w:val="00EB2724"/>
    <w:rsid w:val="00EB50DA"/>
    <w:rsid w:val="00EB6946"/>
    <w:rsid w:val="00EC0101"/>
    <w:rsid w:val="00EC02A7"/>
    <w:rsid w:val="00EC231E"/>
    <w:rsid w:val="00EC3188"/>
    <w:rsid w:val="00EC400B"/>
    <w:rsid w:val="00ED040E"/>
    <w:rsid w:val="00ED69BF"/>
    <w:rsid w:val="00ED6AB6"/>
    <w:rsid w:val="00EE2B3E"/>
    <w:rsid w:val="00EE355E"/>
    <w:rsid w:val="00EE4194"/>
    <w:rsid w:val="00EE42B8"/>
    <w:rsid w:val="00EE6B36"/>
    <w:rsid w:val="00EF10B9"/>
    <w:rsid w:val="00EF116F"/>
    <w:rsid w:val="00EF2F5A"/>
    <w:rsid w:val="00EF595A"/>
    <w:rsid w:val="00EF6836"/>
    <w:rsid w:val="00F0331B"/>
    <w:rsid w:val="00F106B2"/>
    <w:rsid w:val="00F111CC"/>
    <w:rsid w:val="00F11FBA"/>
    <w:rsid w:val="00F12316"/>
    <w:rsid w:val="00F153AB"/>
    <w:rsid w:val="00F2181E"/>
    <w:rsid w:val="00F21D1F"/>
    <w:rsid w:val="00F234AE"/>
    <w:rsid w:val="00F24E25"/>
    <w:rsid w:val="00F25345"/>
    <w:rsid w:val="00F26183"/>
    <w:rsid w:val="00F26854"/>
    <w:rsid w:val="00F32BE6"/>
    <w:rsid w:val="00F33FEB"/>
    <w:rsid w:val="00F376A5"/>
    <w:rsid w:val="00F420F5"/>
    <w:rsid w:val="00F43BE9"/>
    <w:rsid w:val="00F45FC3"/>
    <w:rsid w:val="00F46440"/>
    <w:rsid w:val="00F46643"/>
    <w:rsid w:val="00F52FB6"/>
    <w:rsid w:val="00F57837"/>
    <w:rsid w:val="00F612A1"/>
    <w:rsid w:val="00F62970"/>
    <w:rsid w:val="00F706C6"/>
    <w:rsid w:val="00F70C03"/>
    <w:rsid w:val="00F7249E"/>
    <w:rsid w:val="00F73D6E"/>
    <w:rsid w:val="00F75FFF"/>
    <w:rsid w:val="00F80C70"/>
    <w:rsid w:val="00F86F95"/>
    <w:rsid w:val="00F91588"/>
    <w:rsid w:val="00F93AE8"/>
    <w:rsid w:val="00F95BF7"/>
    <w:rsid w:val="00FA47F7"/>
    <w:rsid w:val="00FA54FE"/>
    <w:rsid w:val="00FB02E7"/>
    <w:rsid w:val="00FB32DE"/>
    <w:rsid w:val="00FB4FBA"/>
    <w:rsid w:val="00FB7BC4"/>
    <w:rsid w:val="00FC143E"/>
    <w:rsid w:val="00FC3FA6"/>
    <w:rsid w:val="00FC5C22"/>
    <w:rsid w:val="00FD0902"/>
    <w:rsid w:val="00FD2ADD"/>
    <w:rsid w:val="00FD71D5"/>
    <w:rsid w:val="00FE07E7"/>
    <w:rsid w:val="00FE0E46"/>
    <w:rsid w:val="00FE1809"/>
    <w:rsid w:val="00FE1B0B"/>
    <w:rsid w:val="00FE51E6"/>
    <w:rsid w:val="00FE5468"/>
    <w:rsid w:val="00FE572F"/>
    <w:rsid w:val="00FE6BDC"/>
    <w:rsid w:val="00FF1575"/>
    <w:rsid w:val="00FF28E5"/>
    <w:rsid w:val="00FF6177"/>
    <w:rsid w:val="00FF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6C5AA7"/>
  <w14:defaultImageDpi w14:val="32767"/>
  <w15:chartTrackingRefBased/>
  <w15:docId w15:val="{A282FCF1-70E8-1046-8326-A8B3EB03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28E5"/>
    <w:rPr>
      <w:rFonts w:ascii="Times New Roman" w:eastAsia="Times New Roman" w:hAnsi="Times New Roman" w:cs="Times New Roman"/>
    </w:rPr>
  </w:style>
  <w:style w:type="paragraph" w:styleId="Heading1">
    <w:name w:val="heading 1"/>
    <w:basedOn w:val="Normal"/>
    <w:next w:val="Normal"/>
    <w:link w:val="Heading1Char"/>
    <w:uiPriority w:val="9"/>
    <w:qFormat/>
    <w:rsid w:val="007B2E8E"/>
    <w:pPr>
      <w:keepNext/>
      <w:keepLines/>
      <w:numPr>
        <w:numId w:val="1"/>
      </w:numPr>
      <w:spacing w:before="240"/>
      <w:outlineLvl w:val="0"/>
    </w:pPr>
    <w:rPr>
      <w:rFonts w:eastAsiaTheme="majorEastAsia"/>
      <w:b/>
      <w:bCs/>
      <w:color w:val="000000" w:themeColor="text1"/>
      <w:sz w:val="32"/>
      <w:szCs w:val="32"/>
    </w:rPr>
  </w:style>
  <w:style w:type="paragraph" w:styleId="Heading2">
    <w:name w:val="heading 2"/>
    <w:basedOn w:val="ListParagraph"/>
    <w:next w:val="Normal"/>
    <w:link w:val="Heading2Char"/>
    <w:uiPriority w:val="9"/>
    <w:unhideWhenUsed/>
    <w:qFormat/>
    <w:rsid w:val="007B2E8E"/>
    <w:pPr>
      <w:keepNext/>
      <w:keepLines/>
      <w:numPr>
        <w:numId w:val="2"/>
      </w:numPr>
      <w:spacing w:before="40"/>
      <w:outlineLvl w:val="1"/>
    </w:pPr>
    <w:rPr>
      <w:rFonts w:eastAsiaTheme="majorEastAsia"/>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A81698"/>
    <w:rPr>
      <w:rFonts w:ascii="Garamond" w:hAnsi="Garamond"/>
    </w:rPr>
  </w:style>
  <w:style w:type="character" w:customStyle="1" w:styleId="Heading1Char">
    <w:name w:val="Heading 1 Char"/>
    <w:basedOn w:val="DefaultParagraphFont"/>
    <w:link w:val="Heading1"/>
    <w:uiPriority w:val="9"/>
    <w:rsid w:val="007B2E8E"/>
    <w:rPr>
      <w:rFonts w:ascii="Times New Roman" w:eastAsiaTheme="majorEastAsia" w:hAnsi="Times New Roman" w:cs="Times New Roman"/>
      <w:b/>
      <w:bCs/>
      <w:color w:val="000000" w:themeColor="text1"/>
      <w:sz w:val="32"/>
      <w:szCs w:val="32"/>
    </w:rPr>
  </w:style>
  <w:style w:type="character" w:customStyle="1" w:styleId="Heading2Char">
    <w:name w:val="Heading 2 Char"/>
    <w:basedOn w:val="DefaultParagraphFont"/>
    <w:link w:val="Heading2"/>
    <w:uiPriority w:val="9"/>
    <w:rsid w:val="007B2E8E"/>
    <w:rPr>
      <w:rFonts w:ascii="Times New Roman" w:eastAsiaTheme="majorEastAsia" w:hAnsi="Times New Roman" w:cs="Times New Roman"/>
      <w:b/>
      <w:bCs/>
      <w:color w:val="000000" w:themeColor="text1"/>
      <w:sz w:val="28"/>
      <w:szCs w:val="28"/>
    </w:rPr>
  </w:style>
  <w:style w:type="paragraph" w:styleId="ListParagraph">
    <w:name w:val="List Paragraph"/>
    <w:basedOn w:val="Normal"/>
    <w:uiPriority w:val="34"/>
    <w:qFormat/>
    <w:rsid w:val="007B2E8E"/>
    <w:pPr>
      <w:ind w:left="720"/>
      <w:contextualSpacing/>
    </w:pPr>
  </w:style>
  <w:style w:type="paragraph" w:styleId="FootnoteText">
    <w:name w:val="footnote text"/>
    <w:basedOn w:val="Normal"/>
    <w:link w:val="FootnoteTextChar"/>
    <w:uiPriority w:val="99"/>
    <w:unhideWhenUsed/>
    <w:rsid w:val="009C3444"/>
    <w:rPr>
      <w:sz w:val="20"/>
      <w:szCs w:val="20"/>
    </w:rPr>
  </w:style>
  <w:style w:type="character" w:customStyle="1" w:styleId="FootnoteTextChar">
    <w:name w:val="Footnote Text Char"/>
    <w:basedOn w:val="DefaultParagraphFont"/>
    <w:link w:val="FootnoteText"/>
    <w:uiPriority w:val="99"/>
    <w:rsid w:val="009C344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C3444"/>
    <w:rPr>
      <w:vertAlign w:val="superscript"/>
    </w:rPr>
  </w:style>
  <w:style w:type="character" w:styleId="Hyperlink">
    <w:name w:val="Hyperlink"/>
    <w:basedOn w:val="DefaultParagraphFont"/>
    <w:uiPriority w:val="99"/>
    <w:unhideWhenUsed/>
    <w:rsid w:val="009C3444"/>
    <w:rPr>
      <w:color w:val="0563C1" w:themeColor="hyperlink"/>
      <w:u w:val="single"/>
    </w:rPr>
  </w:style>
  <w:style w:type="paragraph" w:styleId="NormalWeb">
    <w:name w:val="Normal (Web)"/>
    <w:basedOn w:val="Normal"/>
    <w:uiPriority w:val="99"/>
    <w:unhideWhenUsed/>
    <w:rsid w:val="00342B3B"/>
  </w:style>
  <w:style w:type="character" w:customStyle="1" w:styleId="apple-converted-space">
    <w:name w:val="apple-converted-space"/>
    <w:basedOn w:val="DefaultParagraphFont"/>
    <w:rsid w:val="00D65496"/>
  </w:style>
  <w:style w:type="character" w:customStyle="1" w:styleId="authorortitle">
    <w:name w:val="authorortitle"/>
    <w:basedOn w:val="DefaultParagraphFont"/>
    <w:rsid w:val="00D65496"/>
  </w:style>
  <w:style w:type="paragraph" w:styleId="BalloonText">
    <w:name w:val="Balloon Text"/>
    <w:basedOn w:val="Normal"/>
    <w:link w:val="BalloonTextChar"/>
    <w:uiPriority w:val="99"/>
    <w:semiHidden/>
    <w:unhideWhenUsed/>
    <w:rsid w:val="0061339B"/>
    <w:rPr>
      <w:rFonts w:eastAsiaTheme="minorHAnsi"/>
      <w:sz w:val="18"/>
      <w:szCs w:val="18"/>
    </w:rPr>
  </w:style>
  <w:style w:type="character" w:customStyle="1" w:styleId="BalloonTextChar">
    <w:name w:val="Balloon Text Char"/>
    <w:basedOn w:val="DefaultParagraphFont"/>
    <w:link w:val="BalloonText"/>
    <w:uiPriority w:val="99"/>
    <w:semiHidden/>
    <w:rsid w:val="0061339B"/>
    <w:rPr>
      <w:rFonts w:ascii="Times New Roman" w:hAnsi="Times New Roman" w:cs="Times New Roman"/>
      <w:sz w:val="18"/>
      <w:szCs w:val="18"/>
    </w:rPr>
  </w:style>
  <w:style w:type="paragraph" w:styleId="Footer">
    <w:name w:val="footer"/>
    <w:basedOn w:val="Normal"/>
    <w:link w:val="FooterChar"/>
    <w:uiPriority w:val="99"/>
    <w:unhideWhenUsed/>
    <w:rsid w:val="008759FB"/>
    <w:pPr>
      <w:tabs>
        <w:tab w:val="center" w:pos="4680"/>
        <w:tab w:val="right" w:pos="9360"/>
      </w:tabs>
    </w:pPr>
  </w:style>
  <w:style w:type="character" w:customStyle="1" w:styleId="FooterChar">
    <w:name w:val="Footer Char"/>
    <w:basedOn w:val="DefaultParagraphFont"/>
    <w:link w:val="Footer"/>
    <w:uiPriority w:val="99"/>
    <w:rsid w:val="008759FB"/>
    <w:rPr>
      <w:rFonts w:ascii="Times New Roman" w:eastAsia="Times New Roman" w:hAnsi="Times New Roman" w:cs="Times New Roman"/>
    </w:rPr>
  </w:style>
  <w:style w:type="character" w:styleId="PageNumber">
    <w:name w:val="page number"/>
    <w:basedOn w:val="DefaultParagraphFont"/>
    <w:uiPriority w:val="99"/>
    <w:semiHidden/>
    <w:unhideWhenUsed/>
    <w:rsid w:val="008759FB"/>
  </w:style>
  <w:style w:type="paragraph" w:styleId="Header">
    <w:name w:val="header"/>
    <w:basedOn w:val="Normal"/>
    <w:link w:val="HeaderChar"/>
    <w:uiPriority w:val="99"/>
    <w:unhideWhenUsed/>
    <w:rsid w:val="008759FB"/>
    <w:pPr>
      <w:tabs>
        <w:tab w:val="center" w:pos="4680"/>
        <w:tab w:val="right" w:pos="9360"/>
      </w:tabs>
    </w:pPr>
  </w:style>
  <w:style w:type="character" w:customStyle="1" w:styleId="HeaderChar">
    <w:name w:val="Header Char"/>
    <w:basedOn w:val="DefaultParagraphFont"/>
    <w:link w:val="Header"/>
    <w:uiPriority w:val="99"/>
    <w:rsid w:val="008759FB"/>
    <w:rPr>
      <w:rFonts w:ascii="Times New Roman" w:eastAsia="Times New Roman" w:hAnsi="Times New Roman" w:cs="Times New Roman"/>
    </w:rPr>
  </w:style>
  <w:style w:type="paragraph" w:styleId="NoSpacing">
    <w:name w:val="No Spacing"/>
    <w:uiPriority w:val="1"/>
    <w:qFormat/>
    <w:rsid w:val="008759FB"/>
    <w:rPr>
      <w:rFonts w:eastAsiaTheme="minorEastAsia"/>
      <w:sz w:val="22"/>
      <w:szCs w:val="22"/>
      <w:lang w:eastAsia="zh-CN"/>
    </w:rPr>
  </w:style>
  <w:style w:type="character" w:styleId="UnresolvedMention">
    <w:name w:val="Unresolved Mention"/>
    <w:basedOn w:val="DefaultParagraphFont"/>
    <w:uiPriority w:val="99"/>
    <w:rsid w:val="003E0138"/>
    <w:rPr>
      <w:color w:val="605E5C"/>
      <w:shd w:val="clear" w:color="auto" w:fill="E1DFDD"/>
    </w:rPr>
  </w:style>
  <w:style w:type="paragraph" w:styleId="EndnoteText">
    <w:name w:val="endnote text"/>
    <w:basedOn w:val="Normal"/>
    <w:link w:val="EndnoteTextChar"/>
    <w:uiPriority w:val="99"/>
    <w:semiHidden/>
    <w:unhideWhenUsed/>
    <w:rsid w:val="004A668C"/>
    <w:rPr>
      <w:sz w:val="20"/>
      <w:szCs w:val="20"/>
    </w:rPr>
  </w:style>
  <w:style w:type="character" w:customStyle="1" w:styleId="EndnoteTextChar">
    <w:name w:val="Endnote Text Char"/>
    <w:basedOn w:val="DefaultParagraphFont"/>
    <w:link w:val="EndnoteText"/>
    <w:uiPriority w:val="99"/>
    <w:semiHidden/>
    <w:rsid w:val="004A668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A668C"/>
    <w:rPr>
      <w:vertAlign w:val="superscript"/>
    </w:rPr>
  </w:style>
  <w:style w:type="character" w:styleId="FollowedHyperlink">
    <w:name w:val="FollowedHyperlink"/>
    <w:basedOn w:val="DefaultParagraphFont"/>
    <w:uiPriority w:val="99"/>
    <w:semiHidden/>
    <w:unhideWhenUsed/>
    <w:rsid w:val="00254A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92418">
      <w:bodyDiv w:val="1"/>
      <w:marLeft w:val="0"/>
      <w:marRight w:val="0"/>
      <w:marTop w:val="0"/>
      <w:marBottom w:val="0"/>
      <w:divBdr>
        <w:top w:val="none" w:sz="0" w:space="0" w:color="auto"/>
        <w:left w:val="none" w:sz="0" w:space="0" w:color="auto"/>
        <w:bottom w:val="none" w:sz="0" w:space="0" w:color="auto"/>
        <w:right w:val="none" w:sz="0" w:space="0" w:color="auto"/>
      </w:divBdr>
    </w:div>
    <w:div w:id="34040779">
      <w:bodyDiv w:val="1"/>
      <w:marLeft w:val="0"/>
      <w:marRight w:val="0"/>
      <w:marTop w:val="0"/>
      <w:marBottom w:val="0"/>
      <w:divBdr>
        <w:top w:val="none" w:sz="0" w:space="0" w:color="auto"/>
        <w:left w:val="none" w:sz="0" w:space="0" w:color="auto"/>
        <w:bottom w:val="none" w:sz="0" w:space="0" w:color="auto"/>
        <w:right w:val="none" w:sz="0" w:space="0" w:color="auto"/>
      </w:divBdr>
    </w:div>
    <w:div w:id="243272253">
      <w:bodyDiv w:val="1"/>
      <w:marLeft w:val="0"/>
      <w:marRight w:val="0"/>
      <w:marTop w:val="0"/>
      <w:marBottom w:val="0"/>
      <w:divBdr>
        <w:top w:val="none" w:sz="0" w:space="0" w:color="auto"/>
        <w:left w:val="none" w:sz="0" w:space="0" w:color="auto"/>
        <w:bottom w:val="none" w:sz="0" w:space="0" w:color="auto"/>
        <w:right w:val="none" w:sz="0" w:space="0" w:color="auto"/>
      </w:divBdr>
    </w:div>
    <w:div w:id="455148567">
      <w:bodyDiv w:val="1"/>
      <w:marLeft w:val="0"/>
      <w:marRight w:val="0"/>
      <w:marTop w:val="0"/>
      <w:marBottom w:val="0"/>
      <w:divBdr>
        <w:top w:val="none" w:sz="0" w:space="0" w:color="auto"/>
        <w:left w:val="none" w:sz="0" w:space="0" w:color="auto"/>
        <w:bottom w:val="none" w:sz="0" w:space="0" w:color="auto"/>
        <w:right w:val="none" w:sz="0" w:space="0" w:color="auto"/>
      </w:divBdr>
    </w:div>
    <w:div w:id="546185888">
      <w:bodyDiv w:val="1"/>
      <w:marLeft w:val="0"/>
      <w:marRight w:val="0"/>
      <w:marTop w:val="0"/>
      <w:marBottom w:val="0"/>
      <w:divBdr>
        <w:top w:val="none" w:sz="0" w:space="0" w:color="auto"/>
        <w:left w:val="none" w:sz="0" w:space="0" w:color="auto"/>
        <w:bottom w:val="none" w:sz="0" w:space="0" w:color="auto"/>
        <w:right w:val="none" w:sz="0" w:space="0" w:color="auto"/>
      </w:divBdr>
    </w:div>
    <w:div w:id="665548558">
      <w:bodyDiv w:val="1"/>
      <w:marLeft w:val="0"/>
      <w:marRight w:val="0"/>
      <w:marTop w:val="0"/>
      <w:marBottom w:val="0"/>
      <w:divBdr>
        <w:top w:val="none" w:sz="0" w:space="0" w:color="auto"/>
        <w:left w:val="none" w:sz="0" w:space="0" w:color="auto"/>
        <w:bottom w:val="none" w:sz="0" w:space="0" w:color="auto"/>
        <w:right w:val="none" w:sz="0" w:space="0" w:color="auto"/>
      </w:divBdr>
    </w:div>
    <w:div w:id="878974397">
      <w:bodyDiv w:val="1"/>
      <w:marLeft w:val="0"/>
      <w:marRight w:val="0"/>
      <w:marTop w:val="0"/>
      <w:marBottom w:val="0"/>
      <w:divBdr>
        <w:top w:val="none" w:sz="0" w:space="0" w:color="auto"/>
        <w:left w:val="none" w:sz="0" w:space="0" w:color="auto"/>
        <w:bottom w:val="none" w:sz="0" w:space="0" w:color="auto"/>
        <w:right w:val="none" w:sz="0" w:space="0" w:color="auto"/>
      </w:divBdr>
    </w:div>
    <w:div w:id="937982779">
      <w:bodyDiv w:val="1"/>
      <w:marLeft w:val="0"/>
      <w:marRight w:val="0"/>
      <w:marTop w:val="0"/>
      <w:marBottom w:val="0"/>
      <w:divBdr>
        <w:top w:val="none" w:sz="0" w:space="0" w:color="auto"/>
        <w:left w:val="none" w:sz="0" w:space="0" w:color="auto"/>
        <w:bottom w:val="none" w:sz="0" w:space="0" w:color="auto"/>
        <w:right w:val="none" w:sz="0" w:space="0" w:color="auto"/>
      </w:divBdr>
    </w:div>
    <w:div w:id="1097556071">
      <w:bodyDiv w:val="1"/>
      <w:marLeft w:val="0"/>
      <w:marRight w:val="0"/>
      <w:marTop w:val="0"/>
      <w:marBottom w:val="0"/>
      <w:divBdr>
        <w:top w:val="none" w:sz="0" w:space="0" w:color="auto"/>
        <w:left w:val="none" w:sz="0" w:space="0" w:color="auto"/>
        <w:bottom w:val="none" w:sz="0" w:space="0" w:color="auto"/>
        <w:right w:val="none" w:sz="0" w:space="0" w:color="auto"/>
      </w:divBdr>
    </w:div>
    <w:div w:id="1202132365">
      <w:bodyDiv w:val="1"/>
      <w:marLeft w:val="0"/>
      <w:marRight w:val="0"/>
      <w:marTop w:val="0"/>
      <w:marBottom w:val="0"/>
      <w:divBdr>
        <w:top w:val="none" w:sz="0" w:space="0" w:color="auto"/>
        <w:left w:val="none" w:sz="0" w:space="0" w:color="auto"/>
        <w:bottom w:val="none" w:sz="0" w:space="0" w:color="auto"/>
        <w:right w:val="none" w:sz="0" w:space="0" w:color="auto"/>
      </w:divBdr>
    </w:div>
    <w:div w:id="1574852355">
      <w:bodyDiv w:val="1"/>
      <w:marLeft w:val="0"/>
      <w:marRight w:val="0"/>
      <w:marTop w:val="0"/>
      <w:marBottom w:val="0"/>
      <w:divBdr>
        <w:top w:val="none" w:sz="0" w:space="0" w:color="auto"/>
        <w:left w:val="none" w:sz="0" w:space="0" w:color="auto"/>
        <w:bottom w:val="none" w:sz="0" w:space="0" w:color="auto"/>
        <w:right w:val="none" w:sz="0" w:space="0" w:color="auto"/>
      </w:divBdr>
    </w:div>
    <w:div w:id="1649901076">
      <w:bodyDiv w:val="1"/>
      <w:marLeft w:val="0"/>
      <w:marRight w:val="0"/>
      <w:marTop w:val="0"/>
      <w:marBottom w:val="0"/>
      <w:divBdr>
        <w:top w:val="none" w:sz="0" w:space="0" w:color="auto"/>
        <w:left w:val="none" w:sz="0" w:space="0" w:color="auto"/>
        <w:bottom w:val="none" w:sz="0" w:space="0" w:color="auto"/>
        <w:right w:val="none" w:sz="0" w:space="0" w:color="auto"/>
      </w:divBdr>
    </w:div>
    <w:div w:id="209481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dreads.com/work/quotes/1781679"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scholarship.law.upenn.edu/faculty_scholarship/145**" TargetMode="External"/><Relationship Id="rId13" Type="http://schemas.openxmlformats.org/officeDocument/2006/relationships/hyperlink" Target="https://doi.org/10.1017/s1566752906004733" TargetMode="External"/><Relationship Id="rId18" Type="http://schemas.openxmlformats.org/officeDocument/2006/relationships/hyperlink" Target="https://www.cliffordchance.com/briefings/2018/06/sustainability_anditsimpactonbusiness.html" TargetMode="External"/><Relationship Id="rId3" Type="http://schemas.openxmlformats.org/officeDocument/2006/relationships/hyperlink" Target="https://www.lawschool.cornell.edu/academics/clarke_business_law_institute/corporations-and-society/Common-Misunderstandings-About-Corporations.cfm" TargetMode="External"/><Relationship Id="rId21" Type="http://schemas.openxmlformats.org/officeDocument/2006/relationships/hyperlink" Target="http://content.linklaters.com/pdfs/mkt/luxembourg/8407_LIN_ESG_Duties_Luxembourg_PDF_FINAL_AW_WEB.pdf" TargetMode="External"/><Relationship Id="rId7" Type="http://schemas.openxmlformats.org/officeDocument/2006/relationships/hyperlink" Target="https://scholarship.law.upenn.edu/faculty_scholarship/145**" TargetMode="External"/><Relationship Id="rId12" Type="http://schemas.openxmlformats.org/officeDocument/2006/relationships/hyperlink" Target="https://www.law.cornell.edu/wex/fiduciary_duty" TargetMode="External"/><Relationship Id="rId17" Type="http://schemas.openxmlformats.org/officeDocument/2006/relationships/hyperlink" Target="https://www.researchgate.net/publication/228168828_Stakeholder_Value_Equilibration_and_the_Entrepreneurial_Process" TargetMode="External"/><Relationship Id="rId25" Type="http://schemas.openxmlformats.org/officeDocument/2006/relationships/hyperlink" Target="http://rooseveltinstitute.org/wp-content/uploads/2015/11/Understanding-Short-Termism.pdf" TargetMode="External"/><Relationship Id="rId2" Type="http://schemas.openxmlformats.org/officeDocument/2006/relationships/hyperlink" Target="https://doi.org/10.1017/s1566752906004733" TargetMode="External"/><Relationship Id="rId16" Type="http://schemas.openxmlformats.org/officeDocument/2006/relationships/hyperlink" Target="https://doi.org/10.1017/s1566752906004733" TargetMode="External"/><Relationship Id="rId20" Type="http://schemas.openxmlformats.org/officeDocument/2006/relationships/hyperlink" Target="https://www.businessroundtable.org/business-roundtable-redefines-the-purpose-of-a-corporation-to-promote-an-economy-that-serves-all-americans" TargetMode="External"/><Relationship Id="rId1" Type="http://schemas.openxmlformats.org/officeDocument/2006/relationships/hyperlink" Target="https://doi.org/10.1017/s0003055412000536" TargetMode="External"/><Relationship Id="rId6" Type="http://schemas.openxmlformats.org/officeDocument/2006/relationships/hyperlink" Target="https://onlinelibrary.wiley.com/doi/pdf/10.1111/1467-8551.12024" TargetMode="External"/><Relationship Id="rId11" Type="http://schemas.openxmlformats.org/officeDocument/2006/relationships/hyperlink" Target="https://www.agb.org/briefs/fiduciary-duties" TargetMode="External"/><Relationship Id="rId24" Type="http://schemas.openxmlformats.org/officeDocument/2006/relationships/hyperlink" Target="https://hbr.org/2017/05/managing-for-the-long-term" TargetMode="External"/><Relationship Id="rId5" Type="http://schemas.openxmlformats.org/officeDocument/2006/relationships/hyperlink" Target="https://doi.org/10.1111/rego.12154" TargetMode="External"/><Relationship Id="rId15" Type="http://schemas.openxmlformats.org/officeDocument/2006/relationships/hyperlink" Target="https://doi.org/10.1017/s1566752906004733" TargetMode="External"/><Relationship Id="rId23" Type="http://schemas.openxmlformats.org/officeDocument/2006/relationships/hyperlink" Target="https://www.conference-board.org/topics/short-termism" TargetMode="External"/><Relationship Id="rId10" Type="http://schemas.openxmlformats.org/officeDocument/2006/relationships/hyperlink" Target="https://www.law.cornell.edu/wex/fiduciary_duty" TargetMode="External"/><Relationship Id="rId19" Type="http://schemas.openxmlformats.org/officeDocument/2006/relationships/hyperlink" Target="https://www.accdocket.com/articles/corporate-responsibility-sustainability-lawyers.cfm" TargetMode="External"/><Relationship Id="rId4" Type="http://schemas.openxmlformats.org/officeDocument/2006/relationships/hyperlink" Target="http://www.nber.org/papers/w23593" TargetMode="External"/><Relationship Id="rId9" Type="http://schemas.openxmlformats.org/officeDocument/2006/relationships/hyperlink" Target="https://www.oecd-ilibrary.org/governance/g20-oecd-principles-of-corporate-governance-2015_9789264236882-en" TargetMode="External"/><Relationship Id="rId14" Type="http://schemas.openxmlformats.org/officeDocument/2006/relationships/hyperlink" Target="https://doi.org/10.1017/s1566752906004733" TargetMode="External"/><Relationship Id="rId22" Type="http://schemas.openxmlformats.org/officeDocument/2006/relationships/hyperlink" Target="http://rooseveltinstitute.org/wp-content/uploads/2015/11/Understanding-Short-Termis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A3F6020-8D9A-314F-8CA7-D701A6C3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22927</Words>
  <Characters>130690</Characters>
  <Application>Microsoft Office Word</Application>
  <DocSecurity>0</DocSecurity>
  <Lines>1089</Lines>
  <Paragraphs>306</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Acknowledgements</vt:lpstr>
      <vt:lpstr>Contents</vt:lpstr>
      <vt:lpstr>Abstract</vt:lpstr>
      <vt:lpstr>Introduction</vt:lpstr>
      <vt:lpstr>Origins &amp; Features of the Corporate Institution </vt:lpstr>
      <vt:lpstr>    Historical Origins</vt:lpstr>
      <vt:lpstr>    Legal Characteristics</vt:lpstr>
      <vt:lpstr>Political Theory of Corporate Powers</vt:lpstr>
      <vt:lpstr>    Political Dimensions of the Modern Corporation</vt:lpstr>
      <vt:lpstr>    Legitimacy of Corporate Power</vt:lpstr>
      <vt:lpstr>    The Political Construction of the ‘Private’ Sector Economy</vt:lpstr>
      <vt:lpstr>    Dynamism of the Institutional Political Economy</vt:lpstr>
      <vt:lpstr>Corporate Purpose &amp; Fiduciary Duties/ Decision-making</vt:lpstr>
      <vt:lpstr>    Nature of Corporate Fiduciary Duties</vt:lpstr>
      <vt:lpstr>    Nexus of Contracts - Shareholder Rights</vt:lpstr>
      <vt:lpstr>    Corporate Governance  &amp;  Fiduciary Duties</vt:lpstr>
      <vt:lpstr>    Corporate Purpose: The Objective Function</vt:lpstr>
      <vt:lpstr>Enterprise Value</vt:lpstr>
    </vt:vector>
  </TitlesOfParts>
  <Company/>
  <LinksUpToDate>false</LinksUpToDate>
  <CharactersWithSpaces>153311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Motala, Omar</dc:creator>
  <cp:keywords/>
  <dc:description/>
  <cp:lastModifiedBy>Motala, Omar-HLSCLINICS</cp:lastModifiedBy>
  <cp:revision>2</cp:revision>
  <dcterms:created xsi:type="dcterms:W3CDTF">2024-09-04T02:19:00Z</dcterms:created>
  <dcterms:modified xsi:type="dcterms:W3CDTF">2024-09-04T02:19:00Z</dcterms:modified>
</cp:coreProperties>
</file>