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250C" w14:textId="77777777" w:rsidR="00881155" w:rsidRPr="00196F93" w:rsidRDefault="00881155" w:rsidP="00B71A8C">
      <w:pPr>
        <w:spacing w:line="480" w:lineRule="auto"/>
        <w:contextualSpacing/>
        <w:jc w:val="center"/>
        <w:rPr>
          <w:rFonts w:cs="Times New Roman"/>
          <w:color w:val="000000" w:themeColor="text1"/>
        </w:rPr>
      </w:pPr>
      <w:bookmarkStart w:id="0" w:name="OLE_LINK40"/>
      <w:bookmarkStart w:id="1" w:name="OLE_LINK27"/>
    </w:p>
    <w:p w14:paraId="0E990E5B" w14:textId="77777777" w:rsidR="00881155" w:rsidRPr="00196F93" w:rsidRDefault="00881155" w:rsidP="00B71A8C">
      <w:pPr>
        <w:spacing w:line="480" w:lineRule="auto"/>
        <w:contextualSpacing/>
        <w:jc w:val="center"/>
        <w:rPr>
          <w:rFonts w:cs="Times New Roman"/>
          <w:color w:val="000000" w:themeColor="text1"/>
        </w:rPr>
      </w:pPr>
    </w:p>
    <w:p w14:paraId="47906C0F" w14:textId="77777777" w:rsidR="00881155" w:rsidRPr="00196F93" w:rsidRDefault="00881155" w:rsidP="00B71A8C">
      <w:pPr>
        <w:spacing w:line="360" w:lineRule="auto"/>
        <w:contextualSpacing/>
        <w:jc w:val="center"/>
        <w:rPr>
          <w:rFonts w:cs="Times New Roman"/>
          <w:b/>
          <w:bCs/>
          <w:color w:val="000000" w:themeColor="text1"/>
        </w:rPr>
      </w:pPr>
    </w:p>
    <w:p w14:paraId="038CB58E" w14:textId="77777777" w:rsidR="00322BF1" w:rsidRDefault="00322BF1" w:rsidP="00322BF1">
      <w:pPr>
        <w:spacing w:line="360" w:lineRule="auto"/>
        <w:ind w:left="0"/>
        <w:contextualSpacing/>
        <w:jc w:val="center"/>
        <w:rPr>
          <w:rFonts w:cs="Times New Roman"/>
          <w:b/>
          <w:bCs/>
          <w:color w:val="000000" w:themeColor="text1"/>
        </w:rPr>
      </w:pPr>
    </w:p>
    <w:p w14:paraId="2818DDDA" w14:textId="000187B7" w:rsidR="00881155" w:rsidRDefault="00AD0EA4" w:rsidP="00B71A8C">
      <w:pPr>
        <w:spacing w:line="360" w:lineRule="auto"/>
        <w:ind w:left="0"/>
        <w:contextualSpacing/>
        <w:jc w:val="center"/>
        <w:rPr>
          <w:rFonts w:cs="Times New Roman"/>
          <w:b/>
          <w:bCs/>
          <w:color w:val="000000" w:themeColor="text1"/>
        </w:rPr>
      </w:pPr>
      <w:r>
        <w:rPr>
          <w:rFonts w:cs="Times New Roman"/>
          <w:b/>
          <w:bCs/>
          <w:color w:val="000000" w:themeColor="text1"/>
        </w:rPr>
        <w:t xml:space="preserve">ESG </w:t>
      </w:r>
      <w:r w:rsidR="00CB22C0" w:rsidRPr="00196F93">
        <w:rPr>
          <w:rFonts w:cs="Times New Roman"/>
          <w:b/>
          <w:bCs/>
          <w:color w:val="000000" w:themeColor="text1"/>
        </w:rPr>
        <w:t>Regulatory Divergence: A C</w:t>
      </w:r>
      <w:r w:rsidR="00156048" w:rsidRPr="00196F93">
        <w:rPr>
          <w:rFonts w:cs="Times New Roman"/>
          <w:b/>
          <w:bCs/>
          <w:color w:val="000000" w:themeColor="text1"/>
        </w:rPr>
        <w:t xml:space="preserve">omparative Analysis of the EU, SEC, and California’s </w:t>
      </w:r>
      <w:r>
        <w:rPr>
          <w:rFonts w:cs="Times New Roman"/>
          <w:b/>
          <w:bCs/>
          <w:color w:val="000000" w:themeColor="text1"/>
        </w:rPr>
        <w:t xml:space="preserve">Climate </w:t>
      </w:r>
      <w:r w:rsidR="00156048" w:rsidRPr="00196F93">
        <w:rPr>
          <w:rFonts w:cs="Times New Roman"/>
          <w:b/>
          <w:bCs/>
          <w:color w:val="000000" w:themeColor="text1"/>
        </w:rPr>
        <w:t>Disclosure Requirements</w:t>
      </w:r>
    </w:p>
    <w:p w14:paraId="468ABE35" w14:textId="77777777" w:rsidR="00B71A8C" w:rsidRPr="00B71A8C" w:rsidRDefault="00B71A8C" w:rsidP="00B71A8C">
      <w:pPr>
        <w:spacing w:line="360" w:lineRule="auto"/>
        <w:ind w:left="0"/>
        <w:contextualSpacing/>
        <w:jc w:val="center"/>
        <w:rPr>
          <w:rFonts w:cs="Times New Roman"/>
          <w:b/>
          <w:bCs/>
          <w:color w:val="000000" w:themeColor="text1"/>
          <w:sz w:val="12"/>
          <w:szCs w:val="12"/>
        </w:rPr>
      </w:pPr>
    </w:p>
    <w:p w14:paraId="7950FE1F" w14:textId="30083B24" w:rsidR="006016F8" w:rsidRDefault="00156048" w:rsidP="00084D92">
      <w:pPr>
        <w:spacing w:line="480" w:lineRule="auto"/>
        <w:ind w:left="2520" w:firstLine="1080"/>
        <w:contextualSpacing/>
        <w:rPr>
          <w:rFonts w:cs="Times New Roman"/>
          <w:color w:val="000000" w:themeColor="text1"/>
        </w:rPr>
      </w:pPr>
      <w:r w:rsidRPr="00196F93">
        <w:rPr>
          <w:rFonts w:cs="Times New Roman"/>
          <w:color w:val="000000" w:themeColor="text1"/>
        </w:rPr>
        <w:t>By Omar Motala</w:t>
      </w:r>
    </w:p>
    <w:p w14:paraId="1CDB2923" w14:textId="77777777" w:rsidR="006016F8" w:rsidRDefault="006016F8" w:rsidP="00B71A8C">
      <w:pPr>
        <w:spacing w:line="480" w:lineRule="auto"/>
        <w:contextualSpacing/>
        <w:jc w:val="center"/>
        <w:rPr>
          <w:rFonts w:cs="Times New Roman"/>
          <w:color w:val="000000" w:themeColor="text1"/>
        </w:rPr>
      </w:pPr>
    </w:p>
    <w:p w14:paraId="5B7C01D9" w14:textId="77777777" w:rsidR="00322BF1" w:rsidRDefault="00322BF1" w:rsidP="00B71A8C">
      <w:pPr>
        <w:spacing w:line="480" w:lineRule="auto"/>
        <w:ind w:left="0"/>
        <w:contextualSpacing/>
        <w:rPr>
          <w:rFonts w:cs="Times New Roman"/>
          <w:color w:val="000000" w:themeColor="text1"/>
        </w:rPr>
      </w:pPr>
    </w:p>
    <w:p w14:paraId="4C49CF3E" w14:textId="77777777" w:rsidR="00B71A8C" w:rsidRPr="00B71A8C" w:rsidRDefault="00B71A8C" w:rsidP="00B71A8C">
      <w:pPr>
        <w:spacing w:line="480" w:lineRule="auto"/>
        <w:ind w:left="0"/>
        <w:contextualSpacing/>
        <w:rPr>
          <w:rFonts w:cs="Times New Roman"/>
          <w:color w:val="000000" w:themeColor="text1"/>
          <w:sz w:val="11"/>
          <w:szCs w:val="11"/>
        </w:rPr>
      </w:pPr>
    </w:p>
    <w:p w14:paraId="7BF2DBAD" w14:textId="1D87C54F" w:rsidR="00322BF1" w:rsidRDefault="00322BF1" w:rsidP="00B71A8C">
      <w:pPr>
        <w:spacing w:line="480" w:lineRule="auto"/>
        <w:contextualSpacing/>
        <w:jc w:val="center"/>
        <w:rPr>
          <w:rFonts w:cs="Times New Roman"/>
          <w:color w:val="000000" w:themeColor="text1"/>
        </w:rPr>
      </w:pPr>
      <w:r>
        <w:rPr>
          <w:rFonts w:cs="Times New Roman"/>
          <w:noProof/>
          <w:color w:val="000000" w:themeColor="text1"/>
        </w:rPr>
        <w:drawing>
          <wp:inline distT="0" distB="0" distL="0" distR="0" wp14:anchorId="4820695E" wp14:editId="36644E38">
            <wp:extent cx="1429966" cy="1660187"/>
            <wp:effectExtent l="0" t="0" r="5715" b="3810"/>
            <wp:docPr id="104969494" name="Picture 2" descr="A red shiel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9494" name="Picture 2" descr="A red shield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18551" cy="1763034"/>
                    </a:xfrm>
                    <a:prstGeom prst="rect">
                      <a:avLst/>
                    </a:prstGeom>
                  </pic:spPr>
                </pic:pic>
              </a:graphicData>
            </a:graphic>
          </wp:inline>
        </w:drawing>
      </w:r>
    </w:p>
    <w:p w14:paraId="6D86FCAC" w14:textId="77777777" w:rsidR="00322BF1" w:rsidRDefault="00322BF1" w:rsidP="00B71A8C">
      <w:pPr>
        <w:spacing w:line="360" w:lineRule="auto"/>
        <w:ind w:left="0"/>
        <w:contextualSpacing/>
        <w:rPr>
          <w:rFonts w:cs="Times New Roman"/>
          <w:color w:val="000000" w:themeColor="text1"/>
          <w:sz w:val="6"/>
          <w:szCs w:val="6"/>
        </w:rPr>
      </w:pPr>
    </w:p>
    <w:p w14:paraId="116F4F03" w14:textId="77777777" w:rsidR="00B71A8C" w:rsidRPr="00B71A8C" w:rsidRDefault="00B71A8C" w:rsidP="00B71A8C">
      <w:pPr>
        <w:spacing w:line="360" w:lineRule="auto"/>
        <w:ind w:left="0"/>
        <w:contextualSpacing/>
        <w:rPr>
          <w:rFonts w:cs="Times New Roman"/>
          <w:color w:val="000000" w:themeColor="text1"/>
          <w:sz w:val="6"/>
          <w:szCs w:val="6"/>
        </w:rPr>
      </w:pPr>
    </w:p>
    <w:p w14:paraId="60F00B70" w14:textId="77777777" w:rsidR="00B71A8C" w:rsidRPr="00196F93" w:rsidRDefault="00B71A8C" w:rsidP="00B71A8C">
      <w:pPr>
        <w:spacing w:line="480" w:lineRule="auto"/>
        <w:ind w:left="0"/>
        <w:contextualSpacing/>
        <w:rPr>
          <w:rFonts w:cs="Times New Roman"/>
          <w:color w:val="000000" w:themeColor="text1"/>
        </w:rPr>
      </w:pPr>
    </w:p>
    <w:p w14:paraId="30372D81" w14:textId="77777777" w:rsidR="00B71A8C" w:rsidRDefault="00B71A8C" w:rsidP="00B71A8C">
      <w:pPr>
        <w:spacing w:line="360" w:lineRule="auto"/>
        <w:contextualSpacing/>
        <w:jc w:val="center"/>
        <w:rPr>
          <w:rFonts w:cs="Times New Roman"/>
          <w:color w:val="000000" w:themeColor="text1"/>
        </w:rPr>
      </w:pPr>
    </w:p>
    <w:p w14:paraId="73F3AFE9" w14:textId="7636D285" w:rsidR="00B71A8C" w:rsidRPr="00196F93" w:rsidRDefault="00B71A8C" w:rsidP="00B71A8C">
      <w:pPr>
        <w:spacing w:line="360" w:lineRule="auto"/>
        <w:contextualSpacing/>
        <w:jc w:val="center"/>
        <w:rPr>
          <w:rFonts w:cs="Times New Roman"/>
          <w:color w:val="000000" w:themeColor="text1"/>
        </w:rPr>
      </w:pPr>
      <w:r w:rsidRPr="00196F93">
        <w:rPr>
          <w:rFonts w:cs="Times New Roman"/>
          <w:color w:val="000000" w:themeColor="text1"/>
        </w:rPr>
        <w:t>Comparative Corporate Governance</w:t>
      </w:r>
      <w:r w:rsidRPr="00196F93">
        <w:rPr>
          <w:rFonts w:cs="Times New Roman"/>
          <w:color w:val="000000" w:themeColor="text1"/>
        </w:rPr>
        <w:br/>
        <w:t>Professor Pargendler</w:t>
      </w:r>
    </w:p>
    <w:p w14:paraId="6BDEE47A" w14:textId="77777777" w:rsidR="00B71A8C" w:rsidRDefault="00B71A8C" w:rsidP="00B71A8C">
      <w:pPr>
        <w:spacing w:line="360" w:lineRule="auto"/>
        <w:contextualSpacing/>
        <w:jc w:val="center"/>
        <w:rPr>
          <w:rFonts w:cs="Times New Roman"/>
          <w:color w:val="000000" w:themeColor="text1"/>
        </w:rPr>
      </w:pPr>
    </w:p>
    <w:p w14:paraId="3EEDA08F" w14:textId="59D8C3DD" w:rsidR="00E44C3E" w:rsidRDefault="00156048" w:rsidP="00B71A8C">
      <w:pPr>
        <w:spacing w:line="360" w:lineRule="auto"/>
        <w:contextualSpacing/>
        <w:jc w:val="center"/>
        <w:rPr>
          <w:rFonts w:cs="Times New Roman"/>
          <w:color w:val="000000" w:themeColor="text1"/>
        </w:rPr>
      </w:pPr>
      <w:r w:rsidRPr="00196F93">
        <w:rPr>
          <w:rFonts w:cs="Times New Roman"/>
          <w:color w:val="000000" w:themeColor="text1"/>
        </w:rPr>
        <w:t>Fall 2024</w:t>
      </w:r>
      <w:bookmarkStart w:id="2" w:name="OLE_LINK4"/>
      <w:bookmarkStart w:id="3" w:name="OLE_LINK3"/>
    </w:p>
    <w:p w14:paraId="2867049E" w14:textId="557425BF" w:rsidR="008B6968" w:rsidRDefault="008B6968" w:rsidP="00B71A8C">
      <w:pPr>
        <w:spacing w:line="360" w:lineRule="auto"/>
        <w:contextualSpacing/>
        <w:jc w:val="center"/>
        <w:rPr>
          <w:rFonts w:cs="Times New Roman"/>
          <w:color w:val="000000" w:themeColor="text1"/>
        </w:rPr>
      </w:pPr>
      <w:r>
        <w:rPr>
          <w:rFonts w:cs="Times New Roman"/>
          <w:color w:val="000000" w:themeColor="text1"/>
        </w:rPr>
        <w:t>Harvard Law School</w:t>
      </w:r>
    </w:p>
    <w:p w14:paraId="079FA361" w14:textId="77777777" w:rsidR="008B6968" w:rsidRDefault="008B6968" w:rsidP="00B71A8C">
      <w:pPr>
        <w:spacing w:line="480" w:lineRule="auto"/>
        <w:contextualSpacing/>
        <w:jc w:val="center"/>
        <w:rPr>
          <w:rFonts w:cs="Times New Roman"/>
          <w:color w:val="000000" w:themeColor="text1"/>
        </w:rPr>
      </w:pPr>
    </w:p>
    <w:p w14:paraId="31EB4B0A" w14:textId="77777777" w:rsidR="00B71A8C" w:rsidRDefault="00B71A8C" w:rsidP="00B71A8C">
      <w:pPr>
        <w:spacing w:line="480" w:lineRule="auto"/>
        <w:contextualSpacing/>
        <w:jc w:val="center"/>
        <w:rPr>
          <w:rFonts w:cs="Times New Roman"/>
          <w:color w:val="000000" w:themeColor="text1"/>
        </w:rPr>
      </w:pPr>
    </w:p>
    <w:p w14:paraId="5AD1D61B" w14:textId="77777777" w:rsidR="008B6968" w:rsidRDefault="008B6968" w:rsidP="00B71A8C">
      <w:pPr>
        <w:spacing w:line="480" w:lineRule="auto"/>
        <w:contextualSpacing/>
        <w:jc w:val="center"/>
        <w:rPr>
          <w:rFonts w:cs="Times New Roman"/>
          <w:color w:val="000000" w:themeColor="text1"/>
        </w:rPr>
      </w:pPr>
    </w:p>
    <w:p w14:paraId="72908D3B" w14:textId="2AAA88E3" w:rsidR="0088392D" w:rsidRPr="00B71A8C" w:rsidRDefault="008B6968" w:rsidP="00B71A8C">
      <w:pPr>
        <w:spacing w:line="480" w:lineRule="auto"/>
        <w:ind w:left="0"/>
        <w:contextualSpacing/>
        <w:jc w:val="center"/>
        <w:rPr>
          <w:rFonts w:cs="Times New Roman"/>
          <w:i/>
          <w:iCs/>
          <w:color w:val="000000" w:themeColor="text1"/>
          <w:sz w:val="21"/>
          <w:szCs w:val="21"/>
        </w:rPr>
      </w:pPr>
      <w:r w:rsidRPr="00B71A8C">
        <w:rPr>
          <w:rFonts w:cs="Times New Roman"/>
          <w:i/>
          <w:iCs/>
          <w:color w:val="000000" w:themeColor="text1"/>
          <w:sz w:val="21"/>
          <w:szCs w:val="21"/>
        </w:rPr>
        <w:t>*In Fulfillment of the J.D. Analytical Paper Requirement</w:t>
      </w:r>
      <w:bookmarkStart w:id="4" w:name="OLE_LINK26"/>
    </w:p>
    <w:p w14:paraId="5C1B3D31" w14:textId="51EFC1EB" w:rsidR="00C807C8" w:rsidRPr="004A5F86" w:rsidRDefault="00C807C8" w:rsidP="00B71A8C">
      <w:pPr>
        <w:spacing w:line="480" w:lineRule="auto"/>
        <w:ind w:firstLine="1080"/>
        <w:contextualSpacing/>
        <w:rPr>
          <w:rFonts w:cs="Times New Roman"/>
          <w:b/>
          <w:bCs/>
          <w:color w:val="000000" w:themeColor="text1"/>
          <w:sz w:val="28"/>
          <w:szCs w:val="28"/>
          <w:u w:val="single"/>
        </w:rPr>
      </w:pPr>
      <w:bookmarkStart w:id="5" w:name="OLE_LINK114"/>
      <w:bookmarkEnd w:id="4"/>
      <w:commentRangeStart w:id="6"/>
      <w:r w:rsidRPr="004A5F86">
        <w:rPr>
          <w:rFonts w:cs="Times New Roman"/>
          <w:b/>
          <w:bCs/>
          <w:color w:val="000000" w:themeColor="text1"/>
          <w:sz w:val="28"/>
          <w:szCs w:val="28"/>
          <w:u w:val="single"/>
        </w:rPr>
        <w:lastRenderedPageBreak/>
        <w:t>Introduction</w:t>
      </w:r>
      <w:commentRangeEnd w:id="6"/>
      <w:r w:rsidR="00E93C02">
        <w:rPr>
          <w:rStyle w:val="CommentReference"/>
        </w:rPr>
        <w:commentReference w:id="6"/>
      </w:r>
    </w:p>
    <w:p w14:paraId="58CB5E12" w14:textId="760C9774" w:rsidR="00A773BE" w:rsidRDefault="00B733E9" w:rsidP="00B71A8C">
      <w:pPr>
        <w:spacing w:line="480" w:lineRule="auto"/>
        <w:ind w:firstLine="1080"/>
        <w:contextualSpacing/>
        <w:rPr>
          <w:rFonts w:cs="Times New Roman"/>
          <w:color w:val="000000" w:themeColor="text1"/>
        </w:rPr>
      </w:pPr>
      <w:r w:rsidRPr="00196F93">
        <w:rPr>
          <w:rFonts w:cs="Times New Roman"/>
          <w:color w:val="000000" w:themeColor="text1"/>
        </w:rPr>
        <w:t>In recent years</w:t>
      </w:r>
      <w:r w:rsidR="00A773BE">
        <w:rPr>
          <w:rFonts w:cs="Times New Roman"/>
          <w:color w:val="000000" w:themeColor="text1"/>
        </w:rPr>
        <w:t>,</w:t>
      </w:r>
      <w:r w:rsidRPr="00196F93">
        <w:rPr>
          <w:rFonts w:cs="Times New Roman"/>
          <w:color w:val="000000" w:themeColor="text1"/>
        </w:rPr>
        <w:t xml:space="preserve"> regulatory authorities world</w:t>
      </w:r>
      <w:r w:rsidR="00A773BE">
        <w:rPr>
          <w:rFonts w:cs="Times New Roman"/>
          <w:color w:val="000000" w:themeColor="text1"/>
        </w:rPr>
        <w:t>wide</w:t>
      </w:r>
      <w:r w:rsidRPr="00196F93">
        <w:rPr>
          <w:rFonts w:cs="Times New Roman"/>
          <w:color w:val="000000" w:themeColor="text1"/>
        </w:rPr>
        <w:t xml:space="preserve"> have </w:t>
      </w:r>
      <w:r w:rsidR="00A773BE">
        <w:rPr>
          <w:rFonts w:cs="Times New Roman"/>
          <w:color w:val="000000" w:themeColor="text1"/>
        </w:rPr>
        <w:t>increasingly mandated</w:t>
      </w:r>
      <w:r w:rsidRPr="00196F93">
        <w:rPr>
          <w:rFonts w:cs="Times New Roman"/>
          <w:color w:val="000000" w:themeColor="text1"/>
        </w:rPr>
        <w:t xml:space="preserve"> corporate </w:t>
      </w:r>
      <w:r w:rsidR="00A773BE">
        <w:rPr>
          <w:rFonts w:cs="Times New Roman"/>
          <w:color w:val="000000" w:themeColor="text1"/>
        </w:rPr>
        <w:t>disclosures</w:t>
      </w:r>
      <w:r w:rsidR="00A773BE" w:rsidRPr="00196F93">
        <w:rPr>
          <w:rFonts w:cs="Times New Roman"/>
          <w:color w:val="000000" w:themeColor="text1"/>
        </w:rPr>
        <w:t xml:space="preserve"> </w:t>
      </w:r>
      <w:r w:rsidR="00A773BE">
        <w:rPr>
          <w:rFonts w:cs="Times New Roman"/>
          <w:color w:val="000000" w:themeColor="text1"/>
        </w:rPr>
        <w:t>of</w:t>
      </w:r>
      <w:r w:rsidRPr="00196F93">
        <w:rPr>
          <w:rFonts w:cs="Times New Roman"/>
          <w:color w:val="000000" w:themeColor="text1"/>
        </w:rPr>
        <w:t xml:space="preserve"> </w:t>
      </w:r>
      <w:r w:rsidR="007E599A">
        <w:rPr>
          <w:rFonts w:cs="Times New Roman"/>
          <w:color w:val="000000" w:themeColor="text1"/>
        </w:rPr>
        <w:t xml:space="preserve">climate emissions and other </w:t>
      </w:r>
      <w:r w:rsidR="00A62A37" w:rsidRPr="00196F93">
        <w:rPr>
          <w:rFonts w:cs="Times New Roman"/>
          <w:color w:val="000000" w:themeColor="text1"/>
        </w:rPr>
        <w:t>Environmental, Social, and Governance (</w:t>
      </w:r>
      <w:r w:rsidRPr="00196F93">
        <w:rPr>
          <w:rFonts w:cs="Times New Roman"/>
          <w:color w:val="000000" w:themeColor="text1"/>
        </w:rPr>
        <w:t>ESG</w:t>
      </w:r>
      <w:r w:rsidR="00A62A37" w:rsidRPr="00196F93">
        <w:rPr>
          <w:rFonts w:cs="Times New Roman"/>
          <w:color w:val="000000" w:themeColor="text1"/>
        </w:rPr>
        <w:t>)</w:t>
      </w:r>
      <w:r w:rsidRPr="00196F93">
        <w:rPr>
          <w:rFonts w:cs="Times New Roman"/>
          <w:color w:val="000000" w:themeColor="text1"/>
        </w:rPr>
        <w:t xml:space="preserve"> </w:t>
      </w:r>
      <w:r w:rsidR="00020ECA">
        <w:rPr>
          <w:rFonts w:cs="Times New Roman"/>
          <w:color w:val="000000" w:themeColor="text1"/>
        </w:rPr>
        <w:t xml:space="preserve">factors transcending </w:t>
      </w:r>
      <w:r w:rsidR="00A773BE">
        <w:rPr>
          <w:rFonts w:cs="Times New Roman"/>
          <w:color w:val="000000" w:themeColor="text1"/>
        </w:rPr>
        <w:t xml:space="preserve">traditional </w:t>
      </w:r>
      <w:r w:rsidR="00567E71" w:rsidRPr="00196F93">
        <w:rPr>
          <w:rFonts w:cs="Times New Roman"/>
          <w:color w:val="000000" w:themeColor="text1"/>
        </w:rPr>
        <w:t xml:space="preserve">financial </w:t>
      </w:r>
      <w:r w:rsidRPr="00196F93">
        <w:rPr>
          <w:rFonts w:cs="Times New Roman"/>
          <w:color w:val="000000" w:themeColor="text1"/>
        </w:rPr>
        <w:t xml:space="preserve">accounting </w:t>
      </w:r>
      <w:r w:rsidR="00A773BE">
        <w:rPr>
          <w:rFonts w:cs="Times New Roman"/>
          <w:color w:val="000000" w:themeColor="text1"/>
        </w:rPr>
        <w:t>requirements</w:t>
      </w:r>
      <w:r w:rsidRPr="00196F93">
        <w:rPr>
          <w:rFonts w:cs="Times New Roman"/>
          <w:color w:val="000000" w:themeColor="text1"/>
        </w:rPr>
        <w:t>.</w:t>
      </w:r>
      <w:r w:rsidR="00A773BE">
        <w:rPr>
          <w:rFonts w:cs="Times New Roman"/>
          <w:color w:val="000000" w:themeColor="text1"/>
        </w:rPr>
        <w:t xml:space="preserve"> </w:t>
      </w:r>
      <w:r w:rsidR="007C4756">
        <w:rPr>
          <w:rFonts w:cs="Times New Roman"/>
          <w:color w:val="000000" w:themeColor="text1"/>
        </w:rPr>
        <w:t xml:space="preserve">Europe </w:t>
      </w:r>
      <w:r w:rsidR="0082689D">
        <w:rPr>
          <w:rFonts w:cs="Times New Roman"/>
          <w:color w:val="000000" w:themeColor="text1"/>
        </w:rPr>
        <w:t>has</w:t>
      </w:r>
      <w:r w:rsidR="007C4756">
        <w:rPr>
          <w:rFonts w:cs="Times New Roman"/>
          <w:color w:val="000000" w:themeColor="text1"/>
        </w:rPr>
        <w:t xml:space="preserve"> led these efforts with </w:t>
      </w:r>
      <w:r w:rsidR="00EF2F8D">
        <w:rPr>
          <w:rFonts w:cs="Times New Roman"/>
          <w:color w:val="000000" w:themeColor="text1"/>
        </w:rPr>
        <w:t xml:space="preserve">a </w:t>
      </w:r>
      <w:r w:rsidR="007C4756">
        <w:rPr>
          <w:rFonts w:cs="Times New Roman"/>
          <w:color w:val="000000" w:themeColor="text1"/>
        </w:rPr>
        <w:t xml:space="preserve">comprehensive </w:t>
      </w:r>
      <w:r w:rsidR="007E599A">
        <w:rPr>
          <w:rFonts w:cs="Times New Roman"/>
          <w:color w:val="000000" w:themeColor="text1"/>
        </w:rPr>
        <w:t>ESG</w:t>
      </w:r>
      <w:r w:rsidR="007C4756">
        <w:rPr>
          <w:rFonts w:cs="Times New Roman"/>
          <w:color w:val="000000" w:themeColor="text1"/>
        </w:rPr>
        <w:t xml:space="preserve"> disclosure framework, while the U.S. had previously lagged behind with a largely voluntary and market-driven approach.</w:t>
      </w:r>
      <w:bookmarkStart w:id="7" w:name="_Ref191564758"/>
      <w:r w:rsidR="0044358F">
        <w:rPr>
          <w:rStyle w:val="FootnoteReference"/>
          <w:rFonts w:cs="Times New Roman"/>
          <w:color w:val="000000" w:themeColor="text1"/>
        </w:rPr>
        <w:footnoteReference w:id="2"/>
      </w:r>
      <w:bookmarkEnd w:id="7"/>
      <w:r w:rsidR="007E599A">
        <w:rPr>
          <w:rFonts w:cs="Times New Roman"/>
          <w:color w:val="000000" w:themeColor="text1"/>
        </w:rPr>
        <w:t xml:space="preserve"> </w:t>
      </w:r>
      <w:r w:rsidR="00B63593">
        <w:rPr>
          <w:rFonts w:cs="Times New Roman"/>
          <w:color w:val="000000" w:themeColor="text1"/>
        </w:rPr>
        <w:t>The SEC’s 2024 Climate Rule</w:t>
      </w:r>
      <w:r w:rsidR="007E599A">
        <w:rPr>
          <w:rFonts w:cs="Times New Roman"/>
          <w:color w:val="000000" w:themeColor="text1"/>
        </w:rPr>
        <w:t xml:space="preserve"> (SEC Climate Rule)</w:t>
      </w:r>
      <w:r w:rsidR="00B63593">
        <w:rPr>
          <w:rFonts w:cs="Times New Roman"/>
          <w:color w:val="000000" w:themeColor="text1"/>
        </w:rPr>
        <w:t xml:space="preserve"> would mark a potential shift</w:t>
      </w:r>
      <w:r w:rsidR="00020ECA">
        <w:rPr>
          <w:rFonts w:cs="Times New Roman"/>
          <w:color w:val="000000" w:themeColor="text1"/>
        </w:rPr>
        <w:t xml:space="preserve"> if implemented</w:t>
      </w:r>
      <w:r w:rsidR="00B63593">
        <w:rPr>
          <w:rFonts w:cs="Times New Roman"/>
          <w:color w:val="000000" w:themeColor="text1"/>
        </w:rPr>
        <w:t xml:space="preserve">, however, </w:t>
      </w:r>
      <w:r w:rsidR="00020ECA">
        <w:rPr>
          <w:rFonts w:cs="Times New Roman"/>
          <w:color w:val="000000" w:themeColor="text1"/>
        </w:rPr>
        <w:t xml:space="preserve">with disclosure mandates for </w:t>
      </w:r>
      <w:r w:rsidR="00B63593">
        <w:rPr>
          <w:rFonts w:cs="Times New Roman"/>
          <w:color w:val="000000" w:themeColor="text1"/>
        </w:rPr>
        <w:t>Scope 1 (S1) direct emissions</w:t>
      </w:r>
      <w:r w:rsidR="00020ECA">
        <w:rPr>
          <w:rFonts w:cs="Times New Roman"/>
          <w:color w:val="000000" w:themeColor="text1"/>
        </w:rPr>
        <w:t>,</w:t>
      </w:r>
      <w:r w:rsidR="00B63593">
        <w:rPr>
          <w:rFonts w:cs="Times New Roman"/>
          <w:color w:val="000000" w:themeColor="text1"/>
        </w:rPr>
        <w:t xml:space="preserve"> and Scope 2 (S2) indirect emissions from energy use for large public</w:t>
      </w:r>
      <w:r w:rsidR="00020ECA">
        <w:rPr>
          <w:rFonts w:cs="Times New Roman"/>
          <w:color w:val="000000" w:themeColor="text1"/>
        </w:rPr>
        <w:t>ly-listed</w:t>
      </w:r>
      <w:r w:rsidR="00B63593">
        <w:rPr>
          <w:rFonts w:cs="Times New Roman"/>
          <w:color w:val="000000" w:themeColor="text1"/>
        </w:rPr>
        <w:t xml:space="preserve"> companies—but notably excluding the more expansive Scope 3 (S3) value chain emissions.</w:t>
      </w:r>
      <w:bookmarkStart w:id="9" w:name="_Ref191564256"/>
      <w:r w:rsidR="00E35EF9">
        <w:rPr>
          <w:rStyle w:val="FootnoteReference"/>
          <w:rFonts w:cs="Times New Roman"/>
          <w:color w:val="000000" w:themeColor="text1"/>
        </w:rPr>
        <w:footnoteReference w:id="3"/>
      </w:r>
      <w:bookmarkEnd w:id="9"/>
      <w:r w:rsidR="00E35EF9">
        <w:rPr>
          <w:rFonts w:cs="Times New Roman"/>
          <w:color w:val="000000" w:themeColor="text1"/>
        </w:rPr>
        <w:t xml:space="preserve"> California’s landmark 2023 </w:t>
      </w:r>
      <w:r w:rsidR="00EF2F8D">
        <w:rPr>
          <w:rFonts w:cs="Times New Roman"/>
          <w:color w:val="000000" w:themeColor="text1"/>
        </w:rPr>
        <w:t>Climate Laws</w:t>
      </w:r>
      <w:r w:rsidR="008F2C6E">
        <w:rPr>
          <w:rFonts w:cs="Times New Roman"/>
          <w:color w:val="000000" w:themeColor="text1"/>
        </w:rPr>
        <w:t xml:space="preserve"> (CA Climate Laws)</w:t>
      </w:r>
      <w:r w:rsidR="00E35EF9">
        <w:rPr>
          <w:rFonts w:cs="Times New Roman"/>
          <w:color w:val="000000" w:themeColor="text1"/>
        </w:rPr>
        <w:t xml:space="preserve"> would impose disclosure requirements for S1, S2, and S3 emissions on large public and private entities operating within the state.</w:t>
      </w:r>
      <w:r w:rsidR="00E35EF9">
        <w:rPr>
          <w:rStyle w:val="FootnoteReference"/>
          <w:rFonts w:cs="Times New Roman"/>
          <w:color w:val="000000" w:themeColor="text1"/>
        </w:rPr>
        <w:footnoteReference w:id="4"/>
      </w:r>
      <w:r w:rsidR="00E35EF9">
        <w:rPr>
          <w:rFonts w:cs="Times New Roman"/>
          <w:color w:val="000000" w:themeColor="text1"/>
        </w:rPr>
        <w:t xml:space="preserve"> These</w:t>
      </w:r>
      <w:r w:rsidR="007E599A">
        <w:rPr>
          <w:rFonts w:cs="Times New Roman"/>
          <w:color w:val="000000" w:themeColor="text1"/>
        </w:rPr>
        <w:t xml:space="preserve"> climate</w:t>
      </w:r>
      <w:r w:rsidR="00E35EF9">
        <w:rPr>
          <w:rFonts w:cs="Times New Roman"/>
          <w:color w:val="000000" w:themeColor="text1"/>
        </w:rPr>
        <w:t xml:space="preserve"> frameworks differ from</w:t>
      </w:r>
      <w:r w:rsidR="007E599A">
        <w:rPr>
          <w:rFonts w:cs="Times New Roman"/>
          <w:color w:val="000000" w:themeColor="text1"/>
        </w:rPr>
        <w:t xml:space="preserve"> each other and</w:t>
      </w:r>
      <w:r w:rsidR="00E35EF9">
        <w:rPr>
          <w:rFonts w:cs="Times New Roman"/>
          <w:color w:val="000000" w:themeColor="text1"/>
        </w:rPr>
        <w:t xml:space="preserve"> </w:t>
      </w:r>
      <w:r w:rsidR="007E599A">
        <w:rPr>
          <w:rFonts w:cs="Times New Roman"/>
          <w:color w:val="000000" w:themeColor="text1"/>
        </w:rPr>
        <w:t xml:space="preserve">substantially with </w:t>
      </w:r>
      <w:r w:rsidR="00E35EF9">
        <w:rPr>
          <w:rFonts w:cs="Times New Roman"/>
          <w:color w:val="000000" w:themeColor="text1"/>
        </w:rPr>
        <w:t xml:space="preserve">the European Union’s Corporate Sustainability Reporting Directive </w:t>
      </w:r>
      <w:r w:rsidR="00E35EF9" w:rsidRPr="008F2C6E">
        <w:rPr>
          <w:rFonts w:cs="Times New Roman"/>
          <w:color w:val="000000" w:themeColor="text1"/>
        </w:rPr>
        <w:t xml:space="preserve">(CSRD), which applies much broader </w:t>
      </w:r>
      <w:r w:rsidR="00790DBE" w:rsidRPr="008F2C6E">
        <w:rPr>
          <w:rFonts w:cs="Times New Roman"/>
          <w:color w:val="000000" w:themeColor="text1"/>
        </w:rPr>
        <w:t>ESG reporting requirements using a “double materiality” standard.</w:t>
      </w:r>
      <w:r w:rsidR="00790DBE" w:rsidRPr="008F2C6E">
        <w:rPr>
          <w:rStyle w:val="FootnoteReference"/>
          <w:rFonts w:cs="Times New Roman"/>
          <w:color w:val="000000" w:themeColor="text1"/>
        </w:rPr>
        <w:footnoteReference w:id="5"/>
      </w:r>
      <w:r w:rsidR="00790DBE" w:rsidRPr="008F2C6E">
        <w:rPr>
          <w:rFonts w:cs="Times New Roman"/>
          <w:color w:val="000000" w:themeColor="text1"/>
        </w:rPr>
        <w:t xml:space="preserve"> This divergence has sparked debate </w:t>
      </w:r>
      <w:r w:rsidR="0029487F" w:rsidRPr="00B71A8C">
        <w:rPr>
          <w:rFonts w:cs="Times New Roman"/>
          <w:color w:val="000000" w:themeColor="text1"/>
        </w:rPr>
        <w:t>across</w:t>
      </w:r>
      <w:r w:rsidR="00790DBE" w:rsidRPr="008F2C6E">
        <w:rPr>
          <w:rFonts w:cs="Times New Roman"/>
          <w:color w:val="000000" w:themeColor="text1"/>
        </w:rPr>
        <w:t xml:space="preserve"> legal and business communities around why regulatory approaches to corporate transparency </w:t>
      </w:r>
      <w:r w:rsidR="007E599A" w:rsidRPr="00B71A8C">
        <w:rPr>
          <w:rFonts w:cs="Times New Roman"/>
          <w:color w:val="000000" w:themeColor="text1"/>
        </w:rPr>
        <w:t>differ</w:t>
      </w:r>
      <w:r w:rsidR="00AC1087" w:rsidRPr="00B71A8C">
        <w:rPr>
          <w:rFonts w:cs="Times New Roman"/>
          <w:color w:val="000000" w:themeColor="text1"/>
        </w:rPr>
        <w:t xml:space="preserve">, </w:t>
      </w:r>
      <w:r w:rsidR="0029487F" w:rsidRPr="00B71A8C">
        <w:rPr>
          <w:rFonts w:cs="Times New Roman"/>
          <w:color w:val="000000" w:themeColor="text1"/>
        </w:rPr>
        <w:t xml:space="preserve">and has implicated broader discussions </w:t>
      </w:r>
      <w:r w:rsidR="00790DBE" w:rsidRPr="008F2C6E">
        <w:rPr>
          <w:rFonts w:cs="Times New Roman"/>
          <w:color w:val="000000" w:themeColor="text1"/>
        </w:rPr>
        <w:t>around the</w:t>
      </w:r>
      <w:r w:rsidR="00EF2F8D" w:rsidRPr="00B71A8C">
        <w:rPr>
          <w:rFonts w:cs="Times New Roman"/>
          <w:color w:val="000000" w:themeColor="text1"/>
        </w:rPr>
        <w:t xml:space="preserve"> appropriate</w:t>
      </w:r>
      <w:r w:rsidR="00790DBE" w:rsidRPr="008F2C6E">
        <w:rPr>
          <w:rFonts w:cs="Times New Roman"/>
          <w:color w:val="000000" w:themeColor="text1"/>
        </w:rPr>
        <w:t xml:space="preserve"> </w:t>
      </w:r>
      <w:r w:rsidR="0082689D" w:rsidRPr="00B71A8C">
        <w:rPr>
          <w:rFonts w:cs="Times New Roman"/>
          <w:color w:val="000000" w:themeColor="text1"/>
        </w:rPr>
        <w:t>scope</w:t>
      </w:r>
      <w:r w:rsidR="00790DBE" w:rsidRPr="008F2C6E">
        <w:rPr>
          <w:rFonts w:cs="Times New Roman"/>
          <w:color w:val="000000" w:themeColor="text1"/>
        </w:rPr>
        <w:t xml:space="preserve"> </w:t>
      </w:r>
      <w:r w:rsidR="008D4B7B" w:rsidRPr="00B71A8C">
        <w:rPr>
          <w:rFonts w:cs="Times New Roman"/>
          <w:color w:val="000000" w:themeColor="text1"/>
        </w:rPr>
        <w:t xml:space="preserve">of </w:t>
      </w:r>
      <w:r w:rsidR="00790DBE" w:rsidRPr="008F2C6E">
        <w:rPr>
          <w:rFonts w:cs="Times New Roman"/>
          <w:color w:val="000000" w:themeColor="text1"/>
        </w:rPr>
        <w:t>regulatory authorit</w:t>
      </w:r>
      <w:r w:rsidR="0082689D" w:rsidRPr="00B71A8C">
        <w:rPr>
          <w:rFonts w:cs="Times New Roman"/>
          <w:color w:val="000000" w:themeColor="text1"/>
        </w:rPr>
        <w:t>y</w:t>
      </w:r>
      <w:r w:rsidR="00EF2F8D" w:rsidRPr="00B71A8C">
        <w:rPr>
          <w:rFonts w:cs="Times New Roman"/>
          <w:color w:val="000000" w:themeColor="text1"/>
        </w:rPr>
        <w:t xml:space="preserve"> in compelling corporate disclosures across a broader range of ESG topics. </w:t>
      </w:r>
    </w:p>
    <w:p w14:paraId="49083DBC" w14:textId="2CB99570" w:rsidR="00980846" w:rsidRDefault="00980846" w:rsidP="00B71A8C">
      <w:pPr>
        <w:spacing w:line="480" w:lineRule="auto"/>
        <w:ind w:firstLine="1080"/>
        <w:contextualSpacing/>
        <w:rPr>
          <w:rFonts w:cs="Times New Roman"/>
          <w:color w:val="000000" w:themeColor="text1"/>
        </w:rPr>
      </w:pPr>
      <w:r>
        <w:rPr>
          <w:rFonts w:cs="Times New Roman"/>
          <w:color w:val="000000" w:themeColor="text1"/>
        </w:rPr>
        <w:t xml:space="preserve">This paper focuses on </w:t>
      </w:r>
      <w:r w:rsidR="00BA63EC">
        <w:rPr>
          <w:rFonts w:cs="Times New Roman"/>
          <w:color w:val="000000" w:themeColor="text1"/>
        </w:rPr>
        <w:t xml:space="preserve">climate </w:t>
      </w:r>
      <w:r>
        <w:rPr>
          <w:rFonts w:cs="Times New Roman"/>
          <w:color w:val="000000" w:themeColor="text1"/>
        </w:rPr>
        <w:t xml:space="preserve">disclosure given </w:t>
      </w:r>
      <w:r w:rsidR="008D4B7B">
        <w:rPr>
          <w:rFonts w:cs="Times New Roman"/>
          <w:color w:val="000000" w:themeColor="text1"/>
        </w:rPr>
        <w:t>the</w:t>
      </w:r>
      <w:r>
        <w:rPr>
          <w:rFonts w:cs="Times New Roman"/>
          <w:color w:val="000000" w:themeColor="text1"/>
        </w:rPr>
        <w:t xml:space="preserve"> critical role</w:t>
      </w:r>
      <w:r w:rsidR="008D4B7B">
        <w:rPr>
          <w:rFonts w:cs="Times New Roman"/>
          <w:color w:val="000000" w:themeColor="text1"/>
        </w:rPr>
        <w:t xml:space="preserve"> disclosure </w:t>
      </w:r>
      <w:r w:rsidR="00BA63EC">
        <w:rPr>
          <w:rFonts w:cs="Times New Roman"/>
          <w:color w:val="000000" w:themeColor="text1"/>
        </w:rPr>
        <w:t>mandates more generally play</w:t>
      </w:r>
      <w:r w:rsidR="008D4B7B">
        <w:rPr>
          <w:rFonts w:cs="Times New Roman"/>
          <w:color w:val="000000" w:themeColor="text1"/>
        </w:rPr>
        <w:t xml:space="preserve"> </w:t>
      </w:r>
      <w:r>
        <w:rPr>
          <w:rFonts w:cs="Times New Roman"/>
          <w:color w:val="000000" w:themeColor="text1"/>
        </w:rPr>
        <w:t xml:space="preserve">in </w:t>
      </w:r>
      <w:r w:rsidR="009F1859">
        <w:rPr>
          <w:rFonts w:cs="Times New Roman"/>
          <w:color w:val="000000" w:themeColor="text1"/>
        </w:rPr>
        <w:t>facilitating transparency required for</w:t>
      </w:r>
      <w:r>
        <w:rPr>
          <w:rFonts w:cs="Times New Roman"/>
          <w:color w:val="000000" w:themeColor="text1"/>
        </w:rPr>
        <w:t xml:space="preserve"> effective corporate governance—and public accountability more broadly. </w:t>
      </w:r>
      <w:r w:rsidR="009F1859">
        <w:rPr>
          <w:rFonts w:cs="Times New Roman"/>
          <w:color w:val="000000" w:themeColor="text1"/>
        </w:rPr>
        <w:t xml:space="preserve">Disclosure </w:t>
      </w:r>
      <w:r>
        <w:rPr>
          <w:rFonts w:cs="Times New Roman"/>
          <w:color w:val="000000" w:themeColor="text1"/>
        </w:rPr>
        <w:t>is often suggested as an alternative to the potentially worse effects of direct regulation</w:t>
      </w:r>
      <w:r w:rsidR="008D4B7B">
        <w:rPr>
          <w:rFonts w:cs="Times New Roman"/>
          <w:color w:val="000000" w:themeColor="text1"/>
        </w:rPr>
        <w:t>—</w:t>
      </w:r>
      <w:r>
        <w:rPr>
          <w:rFonts w:cs="Times New Roman"/>
          <w:color w:val="000000" w:themeColor="text1"/>
        </w:rPr>
        <w:t xml:space="preserve">in the words of Louis Brandeis, </w:t>
      </w:r>
      <w:r w:rsidRPr="00980846">
        <w:rPr>
          <w:rFonts w:cs="Times New Roman"/>
          <w:color w:val="000000" w:themeColor="text1"/>
        </w:rPr>
        <w:t>“</w:t>
      </w:r>
      <w:r w:rsidRPr="00440BE3">
        <w:rPr>
          <w:rFonts w:cs="Times New Roman"/>
          <w:color w:val="000000" w:themeColor="text1"/>
        </w:rPr>
        <w:t>[s]unlight is said to be the best of disinfectants; electric light the most efficient policeman.”</w:t>
      </w:r>
      <w:bookmarkStart w:id="11" w:name="OLE_LINK85"/>
      <w:r w:rsidRPr="00440BE3">
        <w:rPr>
          <w:rStyle w:val="FootnoteReference"/>
          <w:rFonts w:cs="Times New Roman"/>
          <w:color w:val="000000" w:themeColor="text1"/>
        </w:rPr>
        <w:footnoteReference w:id="6"/>
      </w:r>
      <w:bookmarkEnd w:id="11"/>
      <w:r w:rsidRPr="00440BE3">
        <w:rPr>
          <w:rFonts w:cs="Times New Roman"/>
          <w:color w:val="000000" w:themeColor="text1"/>
        </w:rPr>
        <w:t xml:space="preserve"> The extension of disclosure requirements to cover a wider range of corporate activity may be </w:t>
      </w:r>
      <w:r w:rsidRPr="00BA63EC">
        <w:rPr>
          <w:rFonts w:cs="Times New Roman"/>
          <w:color w:val="000000" w:themeColor="text1"/>
        </w:rPr>
        <w:t>in part “a means of forestalling direct government intervention as well as an aspect of the concept of legitimacy.”</w:t>
      </w:r>
      <w:r w:rsidRPr="00BA63EC">
        <w:rPr>
          <w:rStyle w:val="FootnoteReference"/>
          <w:rFonts w:cs="Times New Roman"/>
          <w:color w:val="000000" w:themeColor="text1"/>
        </w:rPr>
        <w:footnoteReference w:id="7"/>
      </w:r>
      <w:r w:rsidRPr="00BA63EC">
        <w:rPr>
          <w:rFonts w:cs="Times New Roman"/>
          <w:color w:val="000000" w:themeColor="text1"/>
        </w:rPr>
        <w:t xml:space="preserve"> Particularly when approaching </w:t>
      </w:r>
      <w:r w:rsidR="00BA63EC">
        <w:rPr>
          <w:rFonts w:cs="Times New Roman"/>
          <w:color w:val="000000" w:themeColor="text1"/>
        </w:rPr>
        <w:t xml:space="preserve">the </w:t>
      </w:r>
      <w:r w:rsidRPr="00BA63EC">
        <w:rPr>
          <w:rFonts w:cs="Times New Roman"/>
          <w:color w:val="000000" w:themeColor="text1"/>
        </w:rPr>
        <w:t xml:space="preserve">systemic impacts of multinational corporations in contributing to climate change, mandated corporate transparency is of utmost concern to inform </w:t>
      </w:r>
      <w:r w:rsidR="00BA63EC">
        <w:rPr>
          <w:rFonts w:cs="Times New Roman"/>
          <w:color w:val="000000" w:themeColor="text1"/>
        </w:rPr>
        <w:t xml:space="preserve">public understanding needed for </w:t>
      </w:r>
      <w:r w:rsidR="00BA63EC" w:rsidRPr="004A5F86">
        <w:rPr>
          <w:rFonts w:cs="Times New Roman"/>
          <w:color w:val="000000" w:themeColor="text1"/>
        </w:rPr>
        <w:t>public</w:t>
      </w:r>
      <w:r w:rsidR="00BA63EC" w:rsidRPr="004A5F86">
        <w:rPr>
          <w:rFonts w:cs="Times New Roman"/>
          <w:color w:val="FF0000"/>
        </w:rPr>
        <w:t xml:space="preserve"> </w:t>
      </w:r>
      <w:r w:rsidR="00BA63EC">
        <w:rPr>
          <w:rFonts w:cs="Times New Roman"/>
          <w:color w:val="000000" w:themeColor="text1"/>
        </w:rPr>
        <w:t>and government action</w:t>
      </w:r>
      <w:r w:rsidR="00216689" w:rsidRPr="00BA63EC">
        <w:rPr>
          <w:rFonts w:cs="Times New Roman"/>
          <w:color w:val="000000" w:themeColor="text1"/>
        </w:rPr>
        <w:t>. By diving into the</w:t>
      </w:r>
      <w:r w:rsidRPr="00BA63EC">
        <w:rPr>
          <w:rFonts w:cs="Times New Roman"/>
          <w:color w:val="000000" w:themeColor="text1"/>
        </w:rPr>
        <w:t xml:space="preserve"> </w:t>
      </w:r>
      <w:r w:rsidR="00216689" w:rsidRPr="00BA63EC">
        <w:rPr>
          <w:rFonts w:cs="Times New Roman"/>
          <w:color w:val="000000" w:themeColor="text1"/>
        </w:rPr>
        <w:t>drivers behind the divergence in climate disclosure regulations</w:t>
      </w:r>
      <w:r w:rsidR="00262D0D" w:rsidRPr="00BA63EC">
        <w:rPr>
          <w:rFonts w:cs="Times New Roman"/>
          <w:color w:val="000000" w:themeColor="text1"/>
        </w:rPr>
        <w:t xml:space="preserve"> </w:t>
      </w:r>
      <w:r w:rsidR="008D4B7B" w:rsidRPr="00BA63EC">
        <w:rPr>
          <w:rFonts w:cs="Times New Roman"/>
          <w:color w:val="000000" w:themeColor="text1"/>
        </w:rPr>
        <w:t>t</w:t>
      </w:r>
      <w:r w:rsidR="00216689" w:rsidRPr="00BA63EC">
        <w:rPr>
          <w:rFonts w:cs="Times New Roman"/>
          <w:color w:val="000000" w:themeColor="text1"/>
        </w:rPr>
        <w:t>his paper aims to</w:t>
      </w:r>
      <w:r w:rsidR="00262D0D" w:rsidRPr="00BA63EC">
        <w:rPr>
          <w:rFonts w:cs="Times New Roman"/>
          <w:color w:val="000000" w:themeColor="text1"/>
        </w:rPr>
        <w:t xml:space="preserve"> highlight factors critical for future policymaking </w:t>
      </w:r>
      <w:r w:rsidR="00262D0D">
        <w:rPr>
          <w:rFonts w:cs="Times New Roman"/>
          <w:color w:val="000000" w:themeColor="text1"/>
        </w:rPr>
        <w:t xml:space="preserve">and broader conversations about the evolving conception of the corporation in society today—and the </w:t>
      </w:r>
      <w:r w:rsidR="00875905">
        <w:rPr>
          <w:rFonts w:cs="Times New Roman"/>
          <w:color w:val="000000" w:themeColor="text1"/>
        </w:rPr>
        <w:t>interplay</w:t>
      </w:r>
      <w:r w:rsidR="00262D0D">
        <w:rPr>
          <w:rFonts w:cs="Times New Roman"/>
          <w:color w:val="000000" w:themeColor="text1"/>
        </w:rPr>
        <w:t xml:space="preserve"> of regulatory authorit</w:t>
      </w:r>
      <w:r w:rsidR="00BA63EC">
        <w:rPr>
          <w:rFonts w:cs="Times New Roman"/>
          <w:color w:val="000000" w:themeColor="text1"/>
        </w:rPr>
        <w:t>y</w:t>
      </w:r>
      <w:r w:rsidR="00262D0D">
        <w:rPr>
          <w:rFonts w:cs="Times New Roman"/>
          <w:color w:val="000000" w:themeColor="text1"/>
        </w:rPr>
        <w:t xml:space="preserve"> in facilitating </w:t>
      </w:r>
      <w:r w:rsidR="00670BDE">
        <w:rPr>
          <w:rFonts w:cs="Times New Roman"/>
          <w:color w:val="000000" w:themeColor="text1"/>
        </w:rPr>
        <w:t xml:space="preserve">varying levels of </w:t>
      </w:r>
      <w:r w:rsidR="00262D0D">
        <w:rPr>
          <w:rFonts w:cs="Times New Roman"/>
          <w:color w:val="000000" w:themeColor="text1"/>
        </w:rPr>
        <w:t>corporate transparency</w:t>
      </w:r>
      <w:r w:rsidR="00875905">
        <w:rPr>
          <w:rFonts w:cs="Times New Roman"/>
          <w:color w:val="000000" w:themeColor="text1"/>
        </w:rPr>
        <w:t xml:space="preserve"> across jurisdictions</w:t>
      </w:r>
      <w:r w:rsidR="00262D0D">
        <w:rPr>
          <w:rFonts w:cs="Times New Roman"/>
          <w:color w:val="000000" w:themeColor="text1"/>
        </w:rPr>
        <w:t xml:space="preserve">. </w:t>
      </w:r>
    </w:p>
    <w:p w14:paraId="66634DAF" w14:textId="262B37AC" w:rsidR="006B1496" w:rsidRDefault="00262D0D" w:rsidP="00322BF1">
      <w:pPr>
        <w:spacing w:line="480" w:lineRule="auto"/>
        <w:ind w:firstLine="1080"/>
        <w:contextualSpacing/>
        <w:rPr>
          <w:rFonts w:cs="Times New Roman"/>
          <w:color w:val="000000" w:themeColor="text1"/>
        </w:rPr>
      </w:pPr>
      <w:r>
        <w:rPr>
          <w:rFonts w:cs="Times New Roman"/>
          <w:color w:val="000000" w:themeColor="text1"/>
        </w:rPr>
        <w:t xml:space="preserve">This paper examines the factors driving </w:t>
      </w:r>
      <w:r w:rsidR="004A1A46">
        <w:rPr>
          <w:rFonts w:cs="Times New Roman"/>
          <w:color w:val="000000" w:themeColor="text1"/>
        </w:rPr>
        <w:t xml:space="preserve">this </w:t>
      </w:r>
      <w:r>
        <w:rPr>
          <w:rFonts w:cs="Times New Roman"/>
          <w:color w:val="000000" w:themeColor="text1"/>
        </w:rPr>
        <w:t xml:space="preserve">regulatory divergence </w:t>
      </w:r>
      <w:r w:rsidR="004A1A46">
        <w:rPr>
          <w:rFonts w:cs="Times New Roman"/>
          <w:color w:val="000000" w:themeColor="text1"/>
        </w:rPr>
        <w:t>through</w:t>
      </w:r>
      <w:r>
        <w:rPr>
          <w:rFonts w:cs="Times New Roman"/>
          <w:color w:val="000000" w:themeColor="text1"/>
        </w:rPr>
        <w:t xml:space="preserve"> its focus on S1, S2, and S3 emissions disclosure requirements. </w:t>
      </w:r>
      <w:r w:rsidR="00875905">
        <w:rPr>
          <w:rFonts w:cs="Times New Roman"/>
          <w:color w:val="000000" w:themeColor="text1"/>
        </w:rPr>
        <w:t>This paper builds upon e</w:t>
      </w:r>
      <w:r w:rsidR="008D4B7B">
        <w:rPr>
          <w:rFonts w:cs="Times New Roman"/>
          <w:color w:val="000000" w:themeColor="text1"/>
        </w:rPr>
        <w:t xml:space="preserve">xisting literature from </w:t>
      </w:r>
      <w:r>
        <w:rPr>
          <w:rFonts w:cs="Times New Roman"/>
          <w:color w:val="000000" w:themeColor="text1"/>
        </w:rPr>
        <w:t>Gadinis</w:t>
      </w:r>
      <w:r w:rsidR="00875905">
        <w:rPr>
          <w:rFonts w:cs="Times New Roman"/>
          <w:color w:val="000000" w:themeColor="text1"/>
        </w:rPr>
        <w:t>’</w:t>
      </w:r>
      <w:bookmarkStart w:id="12" w:name="_Ref191563183"/>
      <w:r w:rsidR="003B5F61">
        <w:rPr>
          <w:rStyle w:val="FootnoteReference"/>
          <w:rFonts w:cs="Times New Roman"/>
          <w:color w:val="000000" w:themeColor="text1"/>
        </w:rPr>
        <w:footnoteReference w:id="8"/>
      </w:r>
      <w:bookmarkEnd w:id="12"/>
      <w:r w:rsidR="00017AE6">
        <w:rPr>
          <w:rFonts w:cs="Times New Roman"/>
          <w:color w:val="000000" w:themeColor="text1"/>
        </w:rPr>
        <w:t xml:space="preserve"> </w:t>
      </w:r>
      <w:r w:rsidR="00875905">
        <w:rPr>
          <w:rFonts w:cs="Times New Roman"/>
          <w:color w:val="000000" w:themeColor="text1"/>
        </w:rPr>
        <w:t>exploration of</w:t>
      </w:r>
      <w:r>
        <w:rPr>
          <w:rFonts w:cs="Times New Roman"/>
          <w:color w:val="000000" w:themeColor="text1"/>
        </w:rPr>
        <w:t xml:space="preserve"> the functional </w:t>
      </w:r>
      <w:r w:rsidR="006B1496">
        <w:rPr>
          <w:rFonts w:cs="Times New Roman"/>
          <w:color w:val="000000" w:themeColor="text1"/>
        </w:rPr>
        <w:t xml:space="preserve">and practical </w:t>
      </w:r>
      <w:r>
        <w:rPr>
          <w:rFonts w:cs="Times New Roman"/>
          <w:color w:val="000000" w:themeColor="text1"/>
        </w:rPr>
        <w:t xml:space="preserve">differences between </w:t>
      </w:r>
      <w:r w:rsidR="006B1496">
        <w:rPr>
          <w:rFonts w:cs="Times New Roman"/>
          <w:color w:val="000000" w:themeColor="text1"/>
        </w:rPr>
        <w:t>emissions</w:t>
      </w:r>
      <w:r>
        <w:rPr>
          <w:rFonts w:cs="Times New Roman"/>
          <w:color w:val="000000" w:themeColor="text1"/>
        </w:rPr>
        <w:t xml:space="preserve"> reporting frameworks</w:t>
      </w:r>
      <w:r w:rsidR="00875905">
        <w:rPr>
          <w:rFonts w:cs="Times New Roman"/>
          <w:color w:val="000000" w:themeColor="text1"/>
        </w:rPr>
        <w:t>; and</w:t>
      </w:r>
      <w:r>
        <w:rPr>
          <w:rFonts w:cs="Times New Roman"/>
          <w:color w:val="000000" w:themeColor="text1"/>
        </w:rPr>
        <w:t xml:space="preserve"> Gordon</w:t>
      </w:r>
      <w:r w:rsidR="00875905">
        <w:rPr>
          <w:rFonts w:cs="Times New Roman"/>
          <w:color w:val="000000" w:themeColor="text1"/>
        </w:rPr>
        <w:t>’s</w:t>
      </w:r>
      <w:bookmarkStart w:id="13" w:name="_Ref191563650"/>
      <w:r w:rsidR="00017AE6">
        <w:rPr>
          <w:rStyle w:val="FootnoteReference"/>
          <w:rFonts w:cs="Times New Roman"/>
          <w:color w:val="000000" w:themeColor="text1"/>
        </w:rPr>
        <w:footnoteReference w:id="9"/>
      </w:r>
      <w:bookmarkEnd w:id="13"/>
      <w:r w:rsidR="00017AE6">
        <w:rPr>
          <w:rFonts w:cs="Times New Roman"/>
          <w:color w:val="000000" w:themeColor="text1"/>
        </w:rPr>
        <w:t xml:space="preserve"> </w:t>
      </w:r>
      <w:r w:rsidR="00875905">
        <w:rPr>
          <w:rFonts w:cs="Times New Roman"/>
          <w:color w:val="000000" w:themeColor="text1"/>
        </w:rPr>
        <w:t xml:space="preserve">emphasis of </w:t>
      </w:r>
      <w:r>
        <w:rPr>
          <w:rFonts w:cs="Times New Roman"/>
          <w:color w:val="000000" w:themeColor="text1"/>
        </w:rPr>
        <w:t xml:space="preserve">political economy factors in shaping climate and ESG policy </w:t>
      </w:r>
      <w:r w:rsidR="00670BDE">
        <w:rPr>
          <w:rFonts w:cs="Times New Roman"/>
          <w:color w:val="000000" w:themeColor="text1"/>
        </w:rPr>
        <w:t xml:space="preserve">more </w:t>
      </w:r>
      <w:r>
        <w:rPr>
          <w:rFonts w:cs="Times New Roman"/>
          <w:color w:val="000000" w:themeColor="text1"/>
        </w:rPr>
        <w:t>broadly</w:t>
      </w:r>
      <w:r w:rsidR="00875905">
        <w:rPr>
          <w:rFonts w:cs="Times New Roman"/>
          <w:color w:val="000000" w:themeColor="text1"/>
        </w:rPr>
        <w:t>.</w:t>
      </w:r>
      <w:r w:rsidR="00670BDE">
        <w:rPr>
          <w:rFonts w:cs="Times New Roman"/>
          <w:color w:val="000000" w:themeColor="text1"/>
        </w:rPr>
        <w:t xml:space="preserve"> </w:t>
      </w:r>
      <w:r w:rsidR="00875905">
        <w:rPr>
          <w:rFonts w:cs="Times New Roman"/>
          <w:color w:val="000000" w:themeColor="text1"/>
        </w:rPr>
        <w:t xml:space="preserve">Moreover, it extends </w:t>
      </w:r>
      <w:r w:rsidR="008D4B7B">
        <w:rPr>
          <w:rFonts w:cs="Times New Roman"/>
          <w:color w:val="000000" w:themeColor="text1"/>
        </w:rPr>
        <w:t>Armour</w:t>
      </w:r>
      <w:r w:rsidR="00875905">
        <w:rPr>
          <w:rFonts w:cs="Times New Roman"/>
          <w:color w:val="000000" w:themeColor="text1"/>
        </w:rPr>
        <w:t>’s</w:t>
      </w:r>
      <w:bookmarkStart w:id="15" w:name="_Ref191564510"/>
      <w:r w:rsidR="00C807C8">
        <w:rPr>
          <w:rStyle w:val="FootnoteReference"/>
          <w:rFonts w:cs="Times New Roman"/>
          <w:color w:val="000000" w:themeColor="text1"/>
        </w:rPr>
        <w:footnoteReference w:id="10"/>
      </w:r>
      <w:bookmarkEnd w:id="15"/>
      <w:r w:rsidR="008D4B7B">
        <w:rPr>
          <w:rFonts w:cs="Times New Roman"/>
          <w:color w:val="000000" w:themeColor="text1"/>
        </w:rPr>
        <w:t xml:space="preserve"> analy</w:t>
      </w:r>
      <w:r w:rsidR="00875905">
        <w:rPr>
          <w:rFonts w:cs="Times New Roman"/>
          <w:color w:val="000000" w:themeColor="text1"/>
        </w:rPr>
        <w:t>sis on</w:t>
      </w:r>
      <w:r w:rsidR="008D4B7B">
        <w:rPr>
          <w:rFonts w:cs="Times New Roman"/>
          <w:color w:val="000000" w:themeColor="text1"/>
        </w:rPr>
        <w:t xml:space="preserve"> how the context and identity of the rule maker determines </w:t>
      </w:r>
      <w:r w:rsidR="008D4B7B" w:rsidRPr="00875905">
        <w:rPr>
          <w:rFonts w:cs="Times New Roman"/>
          <w:color w:val="000000" w:themeColor="text1"/>
        </w:rPr>
        <w:t xml:space="preserve">the substance of rules </w:t>
      </w:r>
      <w:r w:rsidR="00875905" w:rsidRPr="00875905">
        <w:rPr>
          <w:rFonts w:cs="Times New Roman"/>
          <w:color w:val="000000" w:themeColor="text1"/>
        </w:rPr>
        <w:t>from the</w:t>
      </w:r>
      <w:r w:rsidR="008D4B7B" w:rsidRPr="00875905">
        <w:rPr>
          <w:rFonts w:cs="Times New Roman"/>
          <w:color w:val="000000" w:themeColor="text1"/>
        </w:rPr>
        <w:t xml:space="preserve"> hostile-takeover </w:t>
      </w:r>
      <w:r w:rsidR="0001775D" w:rsidRPr="00875905">
        <w:rPr>
          <w:rFonts w:cs="Times New Roman"/>
          <w:color w:val="000000" w:themeColor="text1"/>
        </w:rPr>
        <w:t>context</w:t>
      </w:r>
      <w:r w:rsidR="00875905" w:rsidRPr="00875905">
        <w:rPr>
          <w:rFonts w:cs="Times New Roman"/>
          <w:color w:val="000000" w:themeColor="text1"/>
        </w:rPr>
        <w:t xml:space="preserve">, by applying it to the </w:t>
      </w:r>
      <w:r w:rsidR="009F1859" w:rsidRPr="00875905">
        <w:rPr>
          <w:rFonts w:cs="Times New Roman"/>
          <w:color w:val="000000" w:themeColor="text1"/>
        </w:rPr>
        <w:t>climate and ESG disclosures context</w:t>
      </w:r>
      <w:r w:rsidR="008D4B7B" w:rsidRPr="00875905">
        <w:rPr>
          <w:rFonts w:cs="Times New Roman"/>
          <w:color w:val="000000" w:themeColor="text1"/>
        </w:rPr>
        <w:t xml:space="preserve">. </w:t>
      </w:r>
      <w:r w:rsidR="009B7A5F" w:rsidRPr="00875905">
        <w:rPr>
          <w:rFonts w:cs="Times New Roman"/>
          <w:color w:val="000000" w:themeColor="text1"/>
        </w:rPr>
        <w:t>E</w:t>
      </w:r>
      <w:r w:rsidRPr="00875905">
        <w:rPr>
          <w:rFonts w:cs="Times New Roman"/>
          <w:color w:val="000000" w:themeColor="text1"/>
        </w:rPr>
        <w:t xml:space="preserve">xisting literature often examines broad trends in ESG </w:t>
      </w:r>
      <w:r w:rsidR="00875905" w:rsidRPr="00B71A8C">
        <w:rPr>
          <w:rFonts w:cs="Times New Roman"/>
          <w:color w:val="000000" w:themeColor="text1"/>
        </w:rPr>
        <w:t>regulation but</w:t>
      </w:r>
      <w:r w:rsidRPr="00875905">
        <w:rPr>
          <w:rFonts w:cs="Times New Roman"/>
          <w:color w:val="000000" w:themeColor="text1"/>
        </w:rPr>
        <w:t xml:space="preserve"> fails to interrogate th</w:t>
      </w:r>
      <w:r w:rsidR="009B7A5F" w:rsidRPr="00875905">
        <w:rPr>
          <w:rFonts w:cs="Times New Roman"/>
          <w:color w:val="000000" w:themeColor="text1"/>
        </w:rPr>
        <w:t xml:space="preserve">e </w:t>
      </w:r>
      <w:r w:rsidRPr="00875905">
        <w:rPr>
          <w:rFonts w:cs="Times New Roman"/>
          <w:color w:val="000000" w:themeColor="text1"/>
        </w:rPr>
        <w:t>mechanisms and drivers behind</w:t>
      </w:r>
      <w:r w:rsidR="009B7A5F" w:rsidRPr="00875905">
        <w:rPr>
          <w:rFonts w:cs="Times New Roman"/>
          <w:color w:val="000000" w:themeColor="text1"/>
        </w:rPr>
        <w:t xml:space="preserve"> this</w:t>
      </w:r>
      <w:r w:rsidRPr="00875905">
        <w:rPr>
          <w:rFonts w:cs="Times New Roman"/>
          <w:color w:val="000000" w:themeColor="text1"/>
        </w:rPr>
        <w:t xml:space="preserve"> regulatory </w:t>
      </w:r>
      <w:r w:rsidR="009B7A5F" w:rsidRPr="00875905">
        <w:rPr>
          <w:rFonts w:cs="Times New Roman"/>
          <w:color w:val="000000" w:themeColor="text1"/>
        </w:rPr>
        <w:t>divergence</w:t>
      </w:r>
      <w:r w:rsidRPr="00875905">
        <w:rPr>
          <w:rFonts w:cs="Times New Roman"/>
          <w:color w:val="000000" w:themeColor="text1"/>
        </w:rPr>
        <w:t xml:space="preserve"> in a comprehensive manner. This paper addresses a crucial gap </w:t>
      </w:r>
      <w:r w:rsidR="00875905" w:rsidRPr="00875905">
        <w:rPr>
          <w:rFonts w:cs="Times New Roman"/>
          <w:color w:val="000000" w:themeColor="text1"/>
        </w:rPr>
        <w:t>in the literature through its</w:t>
      </w:r>
      <w:r w:rsidR="009B7A5F" w:rsidRPr="00875905">
        <w:rPr>
          <w:rFonts w:cs="Times New Roman"/>
          <w:color w:val="000000" w:themeColor="text1"/>
        </w:rPr>
        <w:t xml:space="preserve"> systemic analysis of </w:t>
      </w:r>
      <w:r w:rsidRPr="00875905">
        <w:rPr>
          <w:rFonts w:cs="Times New Roman"/>
          <w:color w:val="000000" w:themeColor="text1"/>
        </w:rPr>
        <w:t xml:space="preserve">the multi-faceted interplay of </w:t>
      </w:r>
      <w:r w:rsidR="008F2C6E">
        <w:rPr>
          <w:rFonts w:cs="Times New Roman"/>
          <w:color w:val="000000" w:themeColor="text1"/>
        </w:rPr>
        <w:t>institutional</w:t>
      </w:r>
      <w:r w:rsidR="009F1859">
        <w:rPr>
          <w:rFonts w:cs="Times New Roman"/>
          <w:color w:val="000000" w:themeColor="text1"/>
        </w:rPr>
        <w:t xml:space="preserve"> design with </w:t>
      </w:r>
      <w:r>
        <w:rPr>
          <w:rFonts w:cs="Times New Roman"/>
          <w:color w:val="000000" w:themeColor="text1"/>
        </w:rPr>
        <w:t xml:space="preserve">legal mandates, materiality frameworks, policy objectives, and political economy factors in shaping </w:t>
      </w:r>
      <w:r w:rsidR="009F1859">
        <w:rPr>
          <w:rFonts w:cs="Times New Roman"/>
          <w:color w:val="000000" w:themeColor="text1"/>
        </w:rPr>
        <w:t>diverging</w:t>
      </w:r>
      <w:r>
        <w:rPr>
          <w:rFonts w:cs="Times New Roman"/>
          <w:color w:val="000000" w:themeColor="text1"/>
        </w:rPr>
        <w:t xml:space="preserve"> </w:t>
      </w:r>
      <w:r w:rsidR="0082689D">
        <w:rPr>
          <w:rFonts w:cs="Times New Roman"/>
          <w:color w:val="000000" w:themeColor="text1"/>
        </w:rPr>
        <w:t>emissions</w:t>
      </w:r>
      <w:r>
        <w:rPr>
          <w:rFonts w:cs="Times New Roman"/>
          <w:color w:val="000000" w:themeColor="text1"/>
        </w:rPr>
        <w:t xml:space="preserve"> disclosure requirements across these </w:t>
      </w:r>
      <w:r w:rsidR="009F1859">
        <w:rPr>
          <w:rFonts w:cs="Times New Roman"/>
          <w:color w:val="000000" w:themeColor="text1"/>
        </w:rPr>
        <w:t xml:space="preserve">three </w:t>
      </w:r>
      <w:r>
        <w:rPr>
          <w:rFonts w:cs="Times New Roman"/>
          <w:color w:val="000000" w:themeColor="text1"/>
        </w:rPr>
        <w:t>jurisdictions</w:t>
      </w:r>
      <w:r w:rsidR="00670BDE">
        <w:rPr>
          <w:rFonts w:cs="Times New Roman"/>
          <w:color w:val="000000" w:themeColor="text1"/>
        </w:rPr>
        <w:t>: the EU, the U.S., and California.</w:t>
      </w:r>
      <w:bookmarkStart w:id="16" w:name="OLE_LINK91"/>
    </w:p>
    <w:bookmarkEnd w:id="16"/>
    <w:p w14:paraId="665C5500" w14:textId="77343DC2" w:rsidR="0008652F" w:rsidRPr="00B5540E" w:rsidRDefault="004A1A46" w:rsidP="00B5540E">
      <w:pPr>
        <w:spacing w:line="480" w:lineRule="auto"/>
        <w:ind w:firstLine="1080"/>
        <w:contextualSpacing/>
        <w:rPr>
          <w:rFonts w:cs="Times New Roman"/>
          <w:color w:val="000000" w:themeColor="text1"/>
        </w:rPr>
      </w:pPr>
      <w:r>
        <w:rPr>
          <w:rFonts w:cs="Times New Roman"/>
          <w:color w:val="000000" w:themeColor="text1"/>
        </w:rPr>
        <w:t xml:space="preserve">This paper is structured as follows. </w:t>
      </w:r>
      <w:r w:rsidR="002B57F7">
        <w:rPr>
          <w:rFonts w:cs="Times New Roman"/>
          <w:color w:val="000000" w:themeColor="text1"/>
        </w:rPr>
        <w:t xml:space="preserve">First, it compares key provisions of the EU, SEC, and </w:t>
      </w:r>
      <w:r w:rsidR="002B57F7" w:rsidRPr="00670BDE">
        <w:rPr>
          <w:rFonts w:cs="Times New Roman"/>
          <w:color w:val="000000" w:themeColor="text1"/>
        </w:rPr>
        <w:t xml:space="preserve">California frameworks to elucidate </w:t>
      </w:r>
      <w:r w:rsidR="00875905">
        <w:rPr>
          <w:rFonts w:cs="Times New Roman"/>
          <w:color w:val="000000" w:themeColor="text1"/>
        </w:rPr>
        <w:t>a</w:t>
      </w:r>
      <w:r w:rsidR="0047310C" w:rsidRPr="00670BDE">
        <w:rPr>
          <w:rFonts w:cs="Times New Roman"/>
          <w:color w:val="000000" w:themeColor="text1"/>
        </w:rPr>
        <w:t xml:space="preserve"> divergence in climate reporting and materiality frameworks. </w:t>
      </w:r>
      <w:r w:rsidR="00E92C2A" w:rsidRPr="00670BDE">
        <w:rPr>
          <w:rFonts w:cs="Times New Roman"/>
          <w:color w:val="000000" w:themeColor="text1"/>
        </w:rPr>
        <w:t xml:space="preserve">Notably, this paper includes California as a valuable point of comparison </w:t>
      </w:r>
      <w:r w:rsidR="0001775D" w:rsidRPr="00B71A8C">
        <w:rPr>
          <w:rFonts w:cs="Times New Roman"/>
          <w:color w:val="000000" w:themeColor="text1"/>
        </w:rPr>
        <w:t xml:space="preserve">as </w:t>
      </w:r>
      <w:r w:rsidR="00875905">
        <w:rPr>
          <w:rFonts w:cs="Times New Roman"/>
          <w:color w:val="000000" w:themeColor="text1"/>
        </w:rPr>
        <w:t xml:space="preserve">a </w:t>
      </w:r>
      <w:r w:rsidR="00E92C2A" w:rsidRPr="00670BDE">
        <w:rPr>
          <w:rFonts w:cs="Times New Roman"/>
          <w:color w:val="000000" w:themeColor="text1"/>
        </w:rPr>
        <w:t>subnational entity</w:t>
      </w:r>
      <w:r w:rsidR="00875905">
        <w:rPr>
          <w:rFonts w:cs="Times New Roman"/>
          <w:color w:val="000000" w:themeColor="text1"/>
        </w:rPr>
        <w:t xml:space="preserve"> within the U.S.</w:t>
      </w:r>
      <w:r w:rsidR="00E92C2A" w:rsidRPr="00670BDE">
        <w:rPr>
          <w:rFonts w:cs="Times New Roman"/>
          <w:color w:val="000000" w:themeColor="text1"/>
        </w:rPr>
        <w:t xml:space="preserve"> </w:t>
      </w:r>
      <w:r w:rsidR="00645DDB">
        <w:rPr>
          <w:rFonts w:cs="Times New Roman"/>
          <w:color w:val="000000" w:themeColor="text1"/>
        </w:rPr>
        <w:t>with</w:t>
      </w:r>
      <w:r w:rsidR="0001775D" w:rsidRPr="00B71A8C">
        <w:rPr>
          <w:rFonts w:cs="Times New Roman"/>
          <w:color w:val="000000" w:themeColor="text1"/>
        </w:rPr>
        <w:t xml:space="preserve"> </w:t>
      </w:r>
      <w:r w:rsidR="00E92C2A" w:rsidRPr="00670BDE">
        <w:rPr>
          <w:rFonts w:cs="Times New Roman"/>
          <w:color w:val="000000" w:themeColor="text1"/>
        </w:rPr>
        <w:t xml:space="preserve">comparatively more stringent climate disclosure </w:t>
      </w:r>
      <w:r w:rsidR="00645DDB" w:rsidRPr="00670BDE">
        <w:rPr>
          <w:rFonts w:cs="Times New Roman"/>
          <w:color w:val="000000" w:themeColor="text1"/>
        </w:rPr>
        <w:t>rules</w:t>
      </w:r>
      <w:r w:rsidR="00645DDB">
        <w:rPr>
          <w:rFonts w:cs="Times New Roman"/>
          <w:color w:val="000000" w:themeColor="text1"/>
        </w:rPr>
        <w:t xml:space="preserve"> and</w:t>
      </w:r>
      <w:r w:rsidR="00875905">
        <w:rPr>
          <w:rFonts w:cs="Times New Roman"/>
          <w:color w:val="000000" w:themeColor="text1"/>
        </w:rPr>
        <w:t xml:space="preserve"> </w:t>
      </w:r>
      <w:r w:rsidR="0001775D" w:rsidRPr="00B71A8C">
        <w:rPr>
          <w:rFonts w:cs="Times New Roman"/>
          <w:color w:val="000000" w:themeColor="text1"/>
        </w:rPr>
        <w:t>potentially influenc</w:t>
      </w:r>
      <w:r w:rsidR="00645DDB">
        <w:rPr>
          <w:rFonts w:cs="Times New Roman"/>
          <w:color w:val="000000" w:themeColor="text1"/>
        </w:rPr>
        <w:t>ing</w:t>
      </w:r>
      <w:r w:rsidR="00E92C2A" w:rsidRPr="00670BDE">
        <w:rPr>
          <w:rFonts w:cs="Times New Roman"/>
          <w:color w:val="000000" w:themeColor="text1"/>
        </w:rPr>
        <w:t xml:space="preserve"> </w:t>
      </w:r>
      <w:r w:rsidR="0001775D" w:rsidRPr="00B71A8C">
        <w:rPr>
          <w:rFonts w:cs="Times New Roman"/>
          <w:color w:val="000000" w:themeColor="text1"/>
        </w:rPr>
        <w:t xml:space="preserve">disclosure practices </w:t>
      </w:r>
      <w:r w:rsidR="00875905">
        <w:rPr>
          <w:rFonts w:cs="Times New Roman"/>
          <w:color w:val="000000" w:themeColor="text1"/>
        </w:rPr>
        <w:t>across</w:t>
      </w:r>
      <w:r w:rsidR="00E92C2A" w:rsidRPr="00670BDE">
        <w:rPr>
          <w:rFonts w:cs="Times New Roman"/>
          <w:color w:val="000000" w:themeColor="text1"/>
        </w:rPr>
        <w:t xml:space="preserve"> the</w:t>
      </w:r>
      <w:r w:rsidR="00875905">
        <w:rPr>
          <w:rFonts w:cs="Times New Roman"/>
          <w:color w:val="000000" w:themeColor="text1"/>
        </w:rPr>
        <w:t xml:space="preserve"> country</w:t>
      </w:r>
      <w:r w:rsidR="00E92C2A" w:rsidRPr="00670BDE">
        <w:rPr>
          <w:rFonts w:cs="Times New Roman"/>
          <w:color w:val="000000" w:themeColor="text1"/>
        </w:rPr>
        <w:t xml:space="preserve">. </w:t>
      </w:r>
      <w:r w:rsidR="0047310C" w:rsidRPr="00670BDE">
        <w:rPr>
          <w:rFonts w:cs="Times New Roman"/>
          <w:color w:val="000000" w:themeColor="text1"/>
        </w:rPr>
        <w:t xml:space="preserve">Second, it interrogates </w:t>
      </w:r>
      <w:r w:rsidR="00E6587D" w:rsidRPr="00670BDE">
        <w:rPr>
          <w:rFonts w:cs="Times New Roman"/>
          <w:color w:val="000000" w:themeColor="text1"/>
        </w:rPr>
        <w:t>two</w:t>
      </w:r>
      <w:r w:rsidR="00A277AD" w:rsidRPr="00670BDE">
        <w:rPr>
          <w:rFonts w:cs="Times New Roman"/>
          <w:color w:val="000000" w:themeColor="text1"/>
        </w:rPr>
        <w:t xml:space="preserve"> potential </w:t>
      </w:r>
      <w:r w:rsidR="0047310C" w:rsidRPr="00670BDE">
        <w:rPr>
          <w:rFonts w:cs="Times New Roman"/>
          <w:color w:val="000000" w:themeColor="text1"/>
        </w:rPr>
        <w:t>drivers of this divergence</w:t>
      </w:r>
      <w:r w:rsidR="00A277AD" w:rsidRPr="00670BDE">
        <w:rPr>
          <w:rFonts w:cs="Times New Roman"/>
          <w:color w:val="000000" w:themeColor="text1"/>
        </w:rPr>
        <w:t xml:space="preserve">: </w:t>
      </w:r>
      <w:r w:rsidR="0047310C" w:rsidRPr="00670BDE">
        <w:rPr>
          <w:rFonts w:cs="Times New Roman"/>
          <w:color w:val="000000" w:themeColor="text1"/>
        </w:rPr>
        <w:t xml:space="preserve">1) </w:t>
      </w:r>
      <w:r w:rsidR="00875905">
        <w:rPr>
          <w:rFonts w:cs="Times New Roman"/>
          <w:color w:val="000000" w:themeColor="text1"/>
        </w:rPr>
        <w:t>the use of</w:t>
      </w:r>
      <w:r w:rsidR="0082689D" w:rsidRPr="00670BDE">
        <w:rPr>
          <w:rFonts w:cs="Times New Roman"/>
          <w:color w:val="000000" w:themeColor="text1"/>
        </w:rPr>
        <w:t xml:space="preserve"> different </w:t>
      </w:r>
      <w:r w:rsidR="0047310C" w:rsidRPr="00670BDE">
        <w:rPr>
          <w:rFonts w:cs="Times New Roman"/>
          <w:color w:val="000000" w:themeColor="text1"/>
        </w:rPr>
        <w:t>legal authority</w:t>
      </w:r>
      <w:r w:rsidR="00875905">
        <w:rPr>
          <w:rFonts w:cs="Times New Roman"/>
          <w:color w:val="000000" w:themeColor="text1"/>
        </w:rPr>
        <w:t xml:space="preserve"> with diverging</w:t>
      </w:r>
      <w:r w:rsidR="00E6587D" w:rsidRPr="00670BDE">
        <w:rPr>
          <w:rFonts w:cs="Times New Roman"/>
          <w:color w:val="000000" w:themeColor="text1"/>
        </w:rPr>
        <w:t xml:space="preserve"> </w:t>
      </w:r>
      <w:r w:rsidR="0047310C" w:rsidRPr="00670BDE">
        <w:rPr>
          <w:rFonts w:cs="Times New Roman"/>
          <w:color w:val="000000" w:themeColor="text1"/>
        </w:rPr>
        <w:t>institutional mandates</w:t>
      </w:r>
      <w:r w:rsidR="00875905">
        <w:rPr>
          <w:rFonts w:cs="Times New Roman"/>
          <w:color w:val="000000" w:themeColor="text1"/>
        </w:rPr>
        <w:t xml:space="preserve"> and policy priorities</w:t>
      </w:r>
      <w:r w:rsidR="0047310C" w:rsidRPr="00670BDE">
        <w:rPr>
          <w:rFonts w:cs="Times New Roman"/>
          <w:color w:val="000000" w:themeColor="text1"/>
        </w:rPr>
        <w:t xml:space="preserve">—namely, the SEC’s investor protection mandate, the EU’s </w:t>
      </w:r>
      <w:r w:rsidR="00875905">
        <w:rPr>
          <w:rFonts w:cs="Times New Roman"/>
          <w:color w:val="000000" w:themeColor="text1"/>
        </w:rPr>
        <w:t xml:space="preserve">supranational </w:t>
      </w:r>
      <w:r w:rsidR="0047310C" w:rsidRPr="00670BDE">
        <w:rPr>
          <w:rFonts w:cs="Times New Roman"/>
          <w:color w:val="000000" w:themeColor="text1"/>
        </w:rPr>
        <w:t>pursuit of broader sustainability goals, and the California legislature’s focus on state-specific environmental and economic vulnerabilities</w:t>
      </w:r>
      <w:r w:rsidR="00670BDE" w:rsidRPr="00B71A8C">
        <w:rPr>
          <w:rFonts w:cs="Times New Roman"/>
          <w:color w:val="000000" w:themeColor="text1"/>
        </w:rPr>
        <w:t xml:space="preserve">; </w:t>
      </w:r>
      <w:r w:rsidR="00A277AD" w:rsidRPr="00670BDE">
        <w:rPr>
          <w:rFonts w:cs="Times New Roman"/>
          <w:color w:val="000000" w:themeColor="text1"/>
        </w:rPr>
        <w:t xml:space="preserve">and </w:t>
      </w:r>
      <w:r w:rsidR="00F154E4">
        <w:rPr>
          <w:rFonts w:cs="Times New Roman"/>
          <w:color w:val="000000" w:themeColor="text1"/>
        </w:rPr>
        <w:t>2</w:t>
      </w:r>
      <w:r w:rsidR="00A277AD">
        <w:rPr>
          <w:rFonts w:cs="Times New Roman"/>
          <w:color w:val="000000" w:themeColor="text1"/>
        </w:rPr>
        <w:t xml:space="preserve">) the role of political economy factors—namely, economic exposure to fossil fuels, </w:t>
      </w:r>
      <w:r w:rsidR="00875905">
        <w:rPr>
          <w:rFonts w:cs="Times New Roman"/>
          <w:color w:val="000000" w:themeColor="text1"/>
        </w:rPr>
        <w:t>retirement systems’</w:t>
      </w:r>
      <w:r w:rsidR="00025CED">
        <w:rPr>
          <w:rFonts w:cs="Times New Roman"/>
          <w:color w:val="000000" w:themeColor="text1"/>
        </w:rPr>
        <w:t xml:space="preserve"> </w:t>
      </w:r>
      <w:r w:rsidR="00A277AD">
        <w:rPr>
          <w:rFonts w:cs="Times New Roman"/>
          <w:color w:val="000000" w:themeColor="text1"/>
        </w:rPr>
        <w:t>exposure to financial market</w:t>
      </w:r>
      <w:r w:rsidR="00670BDE">
        <w:rPr>
          <w:rFonts w:cs="Times New Roman"/>
          <w:color w:val="000000" w:themeColor="text1"/>
        </w:rPr>
        <w:t>s</w:t>
      </w:r>
      <w:r w:rsidR="00A277AD">
        <w:rPr>
          <w:rFonts w:cs="Times New Roman"/>
          <w:color w:val="000000" w:themeColor="text1"/>
        </w:rPr>
        <w:t>, and lobbying dynamics</w:t>
      </w:r>
      <w:r w:rsidR="00645DDB">
        <w:rPr>
          <w:rFonts w:cs="Times New Roman"/>
          <w:color w:val="000000" w:themeColor="text1"/>
        </w:rPr>
        <w:t xml:space="preserve">. </w:t>
      </w:r>
      <w:r w:rsidR="006242FB">
        <w:rPr>
          <w:rFonts w:cs="Times New Roman"/>
          <w:color w:val="000000" w:themeColor="text1"/>
        </w:rPr>
        <w:t>Third, it will consider the future of corporate governance and securities regulation across these jurisdictions</w:t>
      </w:r>
      <w:r w:rsidR="00645DDB">
        <w:rPr>
          <w:rFonts w:cs="Times New Roman"/>
          <w:color w:val="000000" w:themeColor="text1"/>
        </w:rPr>
        <w:t xml:space="preserve"> </w:t>
      </w:r>
      <w:r w:rsidR="006242FB">
        <w:rPr>
          <w:rFonts w:cs="Times New Roman"/>
          <w:color w:val="000000" w:themeColor="text1"/>
        </w:rPr>
        <w:t xml:space="preserve">offering concrete policy considerations. </w:t>
      </w:r>
      <w:r w:rsidR="00875905">
        <w:rPr>
          <w:rFonts w:cs="Times New Roman"/>
          <w:color w:val="000000" w:themeColor="text1"/>
        </w:rPr>
        <w:t xml:space="preserve">Through its cross-jurisdictional analysis this paper offers </w:t>
      </w:r>
      <w:r w:rsidR="006242FB">
        <w:rPr>
          <w:rFonts w:cs="Times New Roman"/>
          <w:color w:val="000000" w:themeColor="text1"/>
        </w:rPr>
        <w:t>more comprehensive explanation</w:t>
      </w:r>
      <w:r w:rsidR="00875905">
        <w:rPr>
          <w:rFonts w:cs="Times New Roman"/>
          <w:color w:val="000000" w:themeColor="text1"/>
        </w:rPr>
        <w:t>s behind the climate disclosure</w:t>
      </w:r>
      <w:r w:rsidR="006242FB">
        <w:rPr>
          <w:rFonts w:cs="Times New Roman"/>
          <w:color w:val="000000" w:themeColor="text1"/>
        </w:rPr>
        <w:t xml:space="preserve"> divergence observed </w:t>
      </w:r>
      <w:r w:rsidR="00875905">
        <w:rPr>
          <w:rFonts w:cs="Times New Roman"/>
          <w:color w:val="000000" w:themeColor="text1"/>
        </w:rPr>
        <w:t>across regulators and</w:t>
      </w:r>
      <w:r w:rsidR="006242FB">
        <w:rPr>
          <w:rFonts w:cs="Times New Roman"/>
          <w:color w:val="000000" w:themeColor="text1"/>
        </w:rPr>
        <w:t xml:space="preserve"> offers insights into the institutional and political drivers </w:t>
      </w:r>
      <w:r w:rsidR="00645DDB">
        <w:rPr>
          <w:rFonts w:cs="Times New Roman"/>
          <w:color w:val="000000" w:themeColor="text1"/>
        </w:rPr>
        <w:t>behind</w:t>
      </w:r>
      <w:r w:rsidR="006242FB">
        <w:rPr>
          <w:rFonts w:cs="Times New Roman"/>
          <w:color w:val="000000" w:themeColor="text1"/>
        </w:rPr>
        <w:t xml:space="preserve"> </w:t>
      </w:r>
      <w:r w:rsidR="00875905">
        <w:rPr>
          <w:rFonts w:cs="Times New Roman"/>
          <w:color w:val="000000" w:themeColor="text1"/>
        </w:rPr>
        <w:t xml:space="preserve">broader </w:t>
      </w:r>
      <w:r w:rsidR="006242FB">
        <w:rPr>
          <w:rFonts w:cs="Times New Roman"/>
          <w:color w:val="000000" w:themeColor="text1"/>
        </w:rPr>
        <w:t>corporate transparency. By highlighting these factors this paper offers insights into how global and subnational governance structures m</w:t>
      </w:r>
      <w:r w:rsidR="00670BDE">
        <w:rPr>
          <w:rFonts w:cs="Times New Roman"/>
          <w:color w:val="000000" w:themeColor="text1"/>
        </w:rPr>
        <w:t>e</w:t>
      </w:r>
      <w:r w:rsidR="006242FB">
        <w:rPr>
          <w:rFonts w:cs="Times New Roman"/>
          <w:color w:val="000000" w:themeColor="text1"/>
        </w:rPr>
        <w:t>diate corporate accountability demands</w:t>
      </w:r>
      <w:r w:rsidR="00875905">
        <w:rPr>
          <w:rFonts w:cs="Times New Roman"/>
          <w:color w:val="000000" w:themeColor="text1"/>
        </w:rPr>
        <w:t xml:space="preserve"> that can inform research </w:t>
      </w:r>
      <w:r w:rsidR="00645DDB">
        <w:rPr>
          <w:rFonts w:cs="Times New Roman"/>
          <w:color w:val="000000" w:themeColor="text1"/>
        </w:rPr>
        <w:t>and</w:t>
      </w:r>
      <w:r w:rsidR="006242FB">
        <w:rPr>
          <w:rFonts w:cs="Times New Roman"/>
          <w:color w:val="000000" w:themeColor="text1"/>
        </w:rPr>
        <w:t xml:space="preserve"> </w:t>
      </w:r>
      <w:r w:rsidR="00875905">
        <w:rPr>
          <w:rFonts w:cs="Times New Roman"/>
          <w:color w:val="000000" w:themeColor="text1"/>
        </w:rPr>
        <w:t xml:space="preserve">policymaking </w:t>
      </w:r>
      <w:r w:rsidR="00645DDB">
        <w:rPr>
          <w:rFonts w:cs="Times New Roman"/>
          <w:color w:val="000000" w:themeColor="text1"/>
        </w:rPr>
        <w:t>shaping</w:t>
      </w:r>
      <w:r w:rsidR="00875905">
        <w:rPr>
          <w:rFonts w:cs="Times New Roman"/>
          <w:color w:val="000000" w:themeColor="text1"/>
        </w:rPr>
        <w:t xml:space="preserve"> </w:t>
      </w:r>
      <w:r w:rsidR="006242FB">
        <w:rPr>
          <w:rFonts w:cs="Times New Roman"/>
          <w:color w:val="000000" w:themeColor="text1"/>
        </w:rPr>
        <w:t xml:space="preserve">the </w:t>
      </w:r>
      <w:r w:rsidR="00875905">
        <w:rPr>
          <w:rFonts w:cs="Times New Roman"/>
          <w:color w:val="000000" w:themeColor="text1"/>
        </w:rPr>
        <w:t xml:space="preserve">future </w:t>
      </w:r>
      <w:r w:rsidR="006242FB">
        <w:rPr>
          <w:rFonts w:cs="Times New Roman"/>
          <w:color w:val="000000" w:themeColor="text1"/>
        </w:rPr>
        <w:t>trajectory of ESG re</w:t>
      </w:r>
      <w:r w:rsidR="00E92C2A">
        <w:rPr>
          <w:rFonts w:cs="Times New Roman"/>
          <w:color w:val="000000" w:themeColor="text1"/>
        </w:rPr>
        <w:t>porting regulations</w:t>
      </w:r>
      <w:r w:rsidR="00645DDB">
        <w:rPr>
          <w:rFonts w:cs="Times New Roman"/>
          <w:color w:val="000000" w:themeColor="text1"/>
        </w:rPr>
        <w:t>.</w:t>
      </w:r>
      <w:bookmarkStart w:id="17" w:name="OLE_LINK18"/>
      <w:bookmarkStart w:id="18" w:name="OLE_LINK129"/>
    </w:p>
    <w:p w14:paraId="069E8AA7" w14:textId="753FF096" w:rsidR="00670BDE" w:rsidRDefault="00A70C84" w:rsidP="00F47800">
      <w:pPr>
        <w:pStyle w:val="Heading1"/>
      </w:pPr>
      <w:bookmarkStart w:id="19" w:name="OLE_LINK112"/>
      <w:bookmarkEnd w:id="17"/>
      <w:r w:rsidRPr="001110EE">
        <w:t xml:space="preserve">Regulatory </w:t>
      </w:r>
      <w:r w:rsidR="005231B4" w:rsidRPr="001110EE">
        <w:t>Divergence between the EU, U.S., &amp; California</w:t>
      </w:r>
      <w:r w:rsidRPr="001110EE">
        <w:t xml:space="preserve"> </w:t>
      </w:r>
    </w:p>
    <w:p w14:paraId="0BE8D018" w14:textId="67C002D0" w:rsidR="009F0792" w:rsidRPr="00121651" w:rsidRDefault="00121651" w:rsidP="00B71A8C">
      <w:pPr>
        <w:spacing w:line="480" w:lineRule="auto"/>
        <w:ind w:firstLine="720"/>
      </w:pPr>
      <w:r>
        <w:t xml:space="preserve">The divergence across reporting frameworks is exemplified through </w:t>
      </w:r>
      <w:r w:rsidR="00093286">
        <w:t xml:space="preserve">1) </w:t>
      </w:r>
      <w:r w:rsidR="0091025A">
        <w:t xml:space="preserve">the </w:t>
      </w:r>
      <w:r>
        <w:t>scope of ESG information</w:t>
      </w:r>
      <w:r w:rsidR="0091025A">
        <w:t xml:space="preserve"> required</w:t>
      </w:r>
      <w:r>
        <w:t xml:space="preserve"> </w:t>
      </w:r>
      <w:r w:rsidR="0091025A">
        <w:t xml:space="preserve">and the range of </w:t>
      </w:r>
      <w:r w:rsidR="0076596A">
        <w:t>companies covered</w:t>
      </w:r>
      <w:r w:rsidR="0091025A">
        <w:t>;</w:t>
      </w:r>
      <w:r>
        <w:t xml:space="preserve"> </w:t>
      </w:r>
      <w:r w:rsidR="0091025A">
        <w:t>and</w:t>
      </w:r>
      <w:r>
        <w:t xml:space="preserve"> </w:t>
      </w:r>
      <w:r w:rsidR="00093286">
        <w:t xml:space="preserve">2) </w:t>
      </w:r>
      <w:r>
        <w:t>the sta</w:t>
      </w:r>
      <w:r w:rsidR="0076596A">
        <w:t xml:space="preserve">ndards of materiality that herald the contours of these obligations. </w:t>
      </w:r>
    </w:p>
    <w:p w14:paraId="5029A470" w14:textId="77777777" w:rsidR="00C37BD3" w:rsidRPr="00196F93" w:rsidRDefault="00C37BD3" w:rsidP="00322BF1">
      <w:pPr>
        <w:pStyle w:val="Heading2"/>
      </w:pPr>
      <w:r w:rsidRPr="00196F93">
        <w:t>Scope of Sustainability Disclosures</w:t>
      </w:r>
    </w:p>
    <w:p w14:paraId="18E7F570" w14:textId="15C3B744" w:rsidR="00664B5B" w:rsidRPr="00945407" w:rsidRDefault="00A70C84" w:rsidP="00B71A8C">
      <w:pPr>
        <w:pStyle w:val="Heading3"/>
        <w:spacing w:before="0"/>
        <w:contextualSpacing/>
      </w:pPr>
      <w:bookmarkStart w:id="20" w:name="OLE_LINK95"/>
      <w:r w:rsidRPr="00945407">
        <w:rPr>
          <w:u w:val="single"/>
        </w:rPr>
        <w:t>EU</w:t>
      </w:r>
      <w:r w:rsidR="00011BDC" w:rsidRPr="00945407">
        <w:rPr>
          <w:u w:val="single"/>
        </w:rPr>
        <w:t xml:space="preserve"> CSRD</w:t>
      </w:r>
      <w:r w:rsidR="00C37BD3" w:rsidRPr="00945407">
        <w:t xml:space="preserve">: Comprehensive ESG Coverage </w:t>
      </w:r>
    </w:p>
    <w:p w14:paraId="1C627526" w14:textId="69E23B73" w:rsidR="00E50015" w:rsidRPr="00670BDE" w:rsidRDefault="00664B5B" w:rsidP="00B71A8C">
      <w:pPr>
        <w:spacing w:line="480" w:lineRule="auto"/>
        <w:ind w:firstLine="720"/>
        <w:contextualSpacing/>
        <w:rPr>
          <w:rFonts w:cs="Times New Roman"/>
          <w:color w:val="000000" w:themeColor="text1"/>
        </w:rPr>
      </w:pPr>
      <w:r w:rsidRPr="00196F93">
        <w:rPr>
          <w:rFonts w:cs="Times New Roman"/>
          <w:color w:val="000000" w:themeColor="text1"/>
        </w:rPr>
        <w:t>The European Commission</w:t>
      </w:r>
      <w:r w:rsidR="00945407">
        <w:rPr>
          <w:rFonts w:cs="Times New Roman"/>
          <w:color w:val="000000" w:themeColor="text1"/>
        </w:rPr>
        <w:t xml:space="preserve"> (EC)</w:t>
      </w:r>
      <w:r w:rsidRPr="00196F93">
        <w:rPr>
          <w:rFonts w:cs="Times New Roman"/>
          <w:color w:val="000000" w:themeColor="text1"/>
        </w:rPr>
        <w:t xml:space="preserve"> passed </w:t>
      </w:r>
      <w:r w:rsidR="007D6072">
        <w:rPr>
          <w:rFonts w:cs="Times New Roman"/>
          <w:color w:val="000000" w:themeColor="text1"/>
        </w:rPr>
        <w:t>t</w:t>
      </w:r>
      <w:r w:rsidRPr="00196F93">
        <w:rPr>
          <w:rFonts w:cs="Times New Roman"/>
          <w:color w:val="000000" w:themeColor="text1"/>
        </w:rPr>
        <w:t>he Corporate Sustainability Reporting Directive (CSRD) in 2022</w:t>
      </w:r>
      <w:r w:rsidR="00C90431">
        <w:rPr>
          <w:rFonts w:cs="Times New Roman"/>
          <w:color w:val="000000" w:themeColor="text1"/>
        </w:rPr>
        <w:t xml:space="preserve"> and the </w:t>
      </w:r>
      <w:r w:rsidR="00C90431" w:rsidRPr="00196F93">
        <w:rPr>
          <w:rFonts w:cs="Times New Roman"/>
          <w:color w:val="000000" w:themeColor="text1"/>
        </w:rPr>
        <w:t>Corporate Sustainability Due Diligence Directive </w:t>
      </w:r>
      <w:r w:rsidR="00463179">
        <w:rPr>
          <w:rFonts w:cs="Times New Roman"/>
          <w:color w:val="000000" w:themeColor="text1"/>
        </w:rPr>
        <w:t xml:space="preserve">(CSRDD or </w:t>
      </w:r>
      <w:r w:rsidR="00C90431" w:rsidRPr="00196F93">
        <w:rPr>
          <w:rFonts w:cs="Times New Roman"/>
          <w:color w:val="000000" w:themeColor="text1"/>
        </w:rPr>
        <w:t>CS3D) in 202</w:t>
      </w:r>
      <w:r w:rsidR="00463179">
        <w:rPr>
          <w:rFonts w:cs="Times New Roman"/>
          <w:color w:val="000000" w:themeColor="text1"/>
        </w:rPr>
        <w:t>4</w:t>
      </w:r>
      <w:r w:rsidR="0091025A">
        <w:rPr>
          <w:rFonts w:cs="Times New Roman"/>
          <w:color w:val="000000" w:themeColor="text1"/>
        </w:rPr>
        <w:t xml:space="preserve"> </w:t>
      </w:r>
      <w:r w:rsidRPr="00196F93">
        <w:rPr>
          <w:rFonts w:cs="Times New Roman"/>
          <w:color w:val="000000" w:themeColor="text1"/>
        </w:rPr>
        <w:t xml:space="preserve">requiring large companies to disclose </w:t>
      </w:r>
      <w:r w:rsidR="0091025A">
        <w:rPr>
          <w:rFonts w:cs="Times New Roman"/>
          <w:color w:val="000000" w:themeColor="text1"/>
        </w:rPr>
        <w:t>comprehensive</w:t>
      </w:r>
      <w:r w:rsidR="0091025A" w:rsidRPr="00196F93">
        <w:rPr>
          <w:rFonts w:cs="Times New Roman"/>
          <w:color w:val="000000" w:themeColor="text1"/>
        </w:rPr>
        <w:t xml:space="preserve"> </w:t>
      </w:r>
      <w:r w:rsidRPr="00196F93">
        <w:rPr>
          <w:rFonts w:cs="Times New Roman"/>
          <w:color w:val="000000" w:themeColor="text1"/>
        </w:rPr>
        <w:t>information about the impact of their business on the environment and society.</w:t>
      </w:r>
      <w:bookmarkStart w:id="21" w:name="_Ref191564610"/>
      <w:r w:rsidRPr="00196F93">
        <w:rPr>
          <w:rStyle w:val="FootnoteReference"/>
          <w:rFonts w:cs="Times New Roman"/>
          <w:color w:val="000000" w:themeColor="text1"/>
        </w:rPr>
        <w:footnoteReference w:id="11"/>
      </w:r>
      <w:bookmarkEnd w:id="21"/>
      <w:r w:rsidRPr="00196F93">
        <w:rPr>
          <w:rFonts w:cs="Times New Roman"/>
          <w:color w:val="000000" w:themeColor="text1"/>
        </w:rPr>
        <w:t xml:space="preserve"> </w:t>
      </w:r>
      <w:r w:rsidR="004F4761">
        <w:rPr>
          <w:rFonts w:cs="Times New Roman"/>
          <w:color w:val="000000" w:themeColor="text1"/>
        </w:rPr>
        <w:t>Companies are required</w:t>
      </w:r>
      <w:r w:rsidR="004F4761" w:rsidRPr="00196F93">
        <w:rPr>
          <w:rFonts w:cs="Times New Roman"/>
          <w:color w:val="000000" w:themeColor="text1"/>
        </w:rPr>
        <w:t xml:space="preserve"> to disclose detailed aggregate</w:t>
      </w:r>
      <w:r w:rsidR="00875905">
        <w:rPr>
          <w:rFonts w:cs="Times New Roman"/>
          <w:color w:val="000000" w:themeColor="text1"/>
        </w:rPr>
        <w:t>,</w:t>
      </w:r>
      <w:r w:rsidR="004F4761" w:rsidRPr="00196F93">
        <w:rPr>
          <w:rFonts w:cs="Times New Roman"/>
          <w:color w:val="000000" w:themeColor="text1"/>
        </w:rPr>
        <w:t xml:space="preserve"> </w:t>
      </w:r>
      <w:r w:rsidR="00670BDE">
        <w:rPr>
          <w:rFonts w:cs="Times New Roman"/>
          <w:color w:val="000000" w:themeColor="text1"/>
        </w:rPr>
        <w:t xml:space="preserve">and </w:t>
      </w:r>
      <w:r w:rsidR="004F4761" w:rsidRPr="00196F93">
        <w:rPr>
          <w:rFonts w:cs="Times New Roman"/>
          <w:color w:val="000000" w:themeColor="text1"/>
        </w:rPr>
        <w:t xml:space="preserve">S1, S2, </w:t>
      </w:r>
      <w:r w:rsidR="004F4761" w:rsidRPr="00670BDE">
        <w:rPr>
          <w:rFonts w:cs="Times New Roman"/>
          <w:color w:val="000000" w:themeColor="text1"/>
        </w:rPr>
        <w:t xml:space="preserve">and S3 emissions in line with the </w:t>
      </w:r>
      <w:r w:rsidR="000B102D" w:rsidRPr="00670BDE">
        <w:rPr>
          <w:rFonts w:cs="Times New Roman"/>
          <w:color w:val="000000" w:themeColor="text1"/>
        </w:rPr>
        <w:t>Greenhouse Gas (</w:t>
      </w:r>
      <w:r w:rsidR="004F4761" w:rsidRPr="00670BDE">
        <w:rPr>
          <w:rFonts w:cs="Times New Roman"/>
          <w:color w:val="000000" w:themeColor="text1"/>
        </w:rPr>
        <w:t>GHG</w:t>
      </w:r>
      <w:r w:rsidR="000B102D" w:rsidRPr="00670BDE">
        <w:rPr>
          <w:rFonts w:cs="Times New Roman"/>
          <w:color w:val="000000" w:themeColor="text1"/>
        </w:rPr>
        <w:t>)</w:t>
      </w:r>
      <w:r w:rsidR="004F4761" w:rsidRPr="00670BDE">
        <w:rPr>
          <w:rFonts w:cs="Times New Roman"/>
          <w:color w:val="000000" w:themeColor="text1"/>
        </w:rPr>
        <w:t xml:space="preserve"> Protocol.</w:t>
      </w:r>
      <w:r w:rsidR="004F4761" w:rsidRPr="00670BDE">
        <w:rPr>
          <w:rStyle w:val="FootnoteReference"/>
          <w:rFonts w:cs="Times New Roman"/>
          <w:color w:val="000000" w:themeColor="text1"/>
        </w:rPr>
        <w:footnoteReference w:id="12"/>
      </w:r>
      <w:r w:rsidR="004F4761" w:rsidRPr="00670BDE">
        <w:rPr>
          <w:rFonts w:cs="Times New Roman"/>
          <w:color w:val="000000" w:themeColor="text1"/>
        </w:rPr>
        <w:t xml:space="preserve"> </w:t>
      </w:r>
      <w:r w:rsidR="00875905">
        <w:rPr>
          <w:rFonts w:cs="Times New Roman"/>
          <w:color w:val="000000" w:themeColor="text1"/>
        </w:rPr>
        <w:t>In addition to extensive</w:t>
      </w:r>
      <w:r w:rsidR="00875905" w:rsidRPr="00440BE3">
        <w:rPr>
          <w:rFonts w:cs="Times New Roman"/>
          <w:color w:val="000000" w:themeColor="text1"/>
        </w:rPr>
        <w:t xml:space="preserve"> ESG, climate</w:t>
      </w:r>
      <w:r w:rsidR="00875905">
        <w:rPr>
          <w:rFonts w:cs="Times New Roman"/>
          <w:color w:val="000000" w:themeColor="text1"/>
        </w:rPr>
        <w:t>,</w:t>
      </w:r>
      <w:r w:rsidR="00875905" w:rsidRPr="00440BE3">
        <w:rPr>
          <w:rFonts w:cs="Times New Roman"/>
          <w:color w:val="000000" w:themeColor="text1"/>
        </w:rPr>
        <w:t xml:space="preserve"> and human rights due-diligence and </w:t>
      </w:r>
      <w:r w:rsidR="00875905" w:rsidRPr="00CA2A33">
        <w:rPr>
          <w:rFonts w:cs="Times New Roman"/>
          <w:color w:val="000000" w:themeColor="text1"/>
        </w:rPr>
        <w:t>disclosure</w:t>
      </w:r>
      <w:r w:rsidR="00875905" w:rsidRPr="00440BE3">
        <w:rPr>
          <w:rFonts w:cs="Times New Roman"/>
          <w:color w:val="000000" w:themeColor="text1"/>
        </w:rPr>
        <w:t xml:space="preserve"> </w:t>
      </w:r>
      <w:r w:rsidR="00875905">
        <w:rPr>
          <w:rFonts w:cs="Times New Roman"/>
          <w:color w:val="000000" w:themeColor="text1"/>
        </w:rPr>
        <w:t>mandates,</w:t>
      </w:r>
      <w:r w:rsidR="00875905" w:rsidRPr="00670BDE" w:rsidDel="004F4761">
        <w:rPr>
          <w:rFonts w:cs="Times New Roman"/>
          <w:color w:val="000000" w:themeColor="text1"/>
        </w:rPr>
        <w:t xml:space="preserve"> </w:t>
      </w:r>
      <w:r w:rsidR="00875905">
        <w:rPr>
          <w:rFonts w:cs="Times New Roman"/>
          <w:color w:val="000000" w:themeColor="text1"/>
        </w:rPr>
        <w:t xml:space="preserve">companies will also be required to </w:t>
      </w:r>
      <w:r w:rsidR="00C10B75" w:rsidRPr="00670BDE">
        <w:rPr>
          <w:rFonts w:cs="Times New Roman"/>
          <w:color w:val="000000" w:themeColor="text1"/>
        </w:rPr>
        <w:t>adopt transition plan</w:t>
      </w:r>
      <w:r w:rsidR="00670BDE">
        <w:rPr>
          <w:rFonts w:cs="Times New Roman"/>
          <w:color w:val="000000" w:themeColor="text1"/>
        </w:rPr>
        <w:t>s</w:t>
      </w:r>
      <w:r w:rsidR="00C10B75" w:rsidRPr="00670BDE">
        <w:rPr>
          <w:rFonts w:cs="Times New Roman"/>
          <w:color w:val="000000" w:themeColor="text1"/>
        </w:rPr>
        <w:t xml:space="preserve"> aligned with the Paris Agreement 2050 climate neutrality objective and intermediate targets under European Climate Law.</w:t>
      </w:r>
      <w:r w:rsidR="00BD4410" w:rsidRPr="00670BDE">
        <w:rPr>
          <w:rStyle w:val="FootnoteReference"/>
          <w:rFonts w:cs="Times New Roman"/>
          <w:color w:val="000000" w:themeColor="text1"/>
        </w:rPr>
        <w:footnoteReference w:id="13"/>
      </w:r>
      <w:r w:rsidR="00E50015" w:rsidRPr="00670BDE">
        <w:rPr>
          <w:rFonts w:cs="Times New Roman"/>
          <w:color w:val="000000" w:themeColor="text1"/>
        </w:rPr>
        <w:t xml:space="preserve"> </w:t>
      </w:r>
      <w:r w:rsidRPr="00670BDE">
        <w:rPr>
          <w:rFonts w:cs="Times New Roman"/>
          <w:color w:val="000000" w:themeColor="text1"/>
        </w:rPr>
        <w:t>In scope companies will need to meet CSRD and CS</w:t>
      </w:r>
      <w:r w:rsidR="00463179" w:rsidRPr="00670BDE">
        <w:rPr>
          <w:rFonts w:cs="Times New Roman"/>
          <w:color w:val="000000" w:themeColor="text1"/>
        </w:rPr>
        <w:t>D</w:t>
      </w:r>
      <w:r w:rsidRPr="00670BDE">
        <w:rPr>
          <w:rFonts w:cs="Times New Roman"/>
          <w:color w:val="000000" w:themeColor="text1"/>
        </w:rPr>
        <w:t>DD reporting requirements from 2025 and 2027 respectively.</w:t>
      </w:r>
      <w:r w:rsidR="00991B71" w:rsidRPr="00670BDE">
        <w:rPr>
          <w:rStyle w:val="FootnoteReference"/>
          <w:rFonts w:cs="Times New Roman"/>
          <w:color w:val="000000" w:themeColor="text1"/>
        </w:rPr>
        <w:footnoteReference w:id="14"/>
      </w:r>
    </w:p>
    <w:p w14:paraId="19C1C878" w14:textId="3DD19145" w:rsidR="00DE6BD6" w:rsidRDefault="00E50015" w:rsidP="00B71A8C">
      <w:pPr>
        <w:spacing w:line="480" w:lineRule="auto"/>
        <w:ind w:firstLine="720"/>
        <w:contextualSpacing/>
        <w:rPr>
          <w:rFonts w:cs="Times New Roman"/>
          <w:color w:val="000000" w:themeColor="text1"/>
        </w:rPr>
      </w:pPr>
      <w:r w:rsidRPr="00196F93">
        <w:rPr>
          <w:rFonts w:cs="Times New Roman"/>
          <w:color w:val="000000" w:themeColor="text1"/>
        </w:rPr>
        <w:t xml:space="preserve">The CSRD applies to </w:t>
      </w:r>
      <w:r w:rsidR="00A25F83">
        <w:rPr>
          <w:rFonts w:cs="Times New Roman"/>
          <w:color w:val="000000" w:themeColor="text1"/>
        </w:rPr>
        <w:t xml:space="preserve">the broadest array of </w:t>
      </w:r>
      <w:r w:rsidRPr="00196F93">
        <w:rPr>
          <w:rFonts w:cs="Times New Roman"/>
          <w:color w:val="000000" w:themeColor="text1"/>
        </w:rPr>
        <w:t>both public and private entitie</w:t>
      </w:r>
      <w:r w:rsidR="00463179">
        <w:rPr>
          <w:rFonts w:cs="Times New Roman"/>
          <w:color w:val="000000" w:themeColor="text1"/>
        </w:rPr>
        <w:t>s</w:t>
      </w:r>
      <w:r w:rsidR="00A25F83">
        <w:rPr>
          <w:rFonts w:cs="Times New Roman"/>
          <w:color w:val="000000" w:themeColor="text1"/>
        </w:rPr>
        <w:t xml:space="preserve"> </w:t>
      </w:r>
      <w:r w:rsidRPr="00196F93">
        <w:rPr>
          <w:rFonts w:cs="Times New Roman"/>
          <w:color w:val="000000" w:themeColor="text1"/>
        </w:rPr>
        <w:t xml:space="preserve">(over 50,000 companies), and </w:t>
      </w:r>
      <w:r w:rsidR="00A25F83">
        <w:rPr>
          <w:rFonts w:cs="Times New Roman"/>
          <w:color w:val="000000" w:themeColor="text1"/>
        </w:rPr>
        <w:t xml:space="preserve">contains the </w:t>
      </w:r>
      <w:r w:rsidRPr="00196F93">
        <w:rPr>
          <w:rFonts w:cs="Times New Roman"/>
          <w:color w:val="000000" w:themeColor="text1"/>
        </w:rPr>
        <w:t>broade</w:t>
      </w:r>
      <w:r w:rsidR="00A25F83">
        <w:rPr>
          <w:rFonts w:cs="Times New Roman"/>
          <w:color w:val="000000" w:themeColor="text1"/>
        </w:rPr>
        <w:t>st</w:t>
      </w:r>
      <w:r w:rsidRPr="00196F93">
        <w:rPr>
          <w:rFonts w:cs="Times New Roman"/>
          <w:color w:val="000000" w:themeColor="text1"/>
        </w:rPr>
        <w:t xml:space="preserve"> scope requiring ESG and social impact disclosures in addition to </w:t>
      </w:r>
      <w:r w:rsidR="000B102D">
        <w:rPr>
          <w:rFonts w:cs="Times New Roman"/>
          <w:color w:val="000000" w:themeColor="text1"/>
        </w:rPr>
        <w:t xml:space="preserve">S1-3 </w:t>
      </w:r>
      <w:r w:rsidR="00A25F83">
        <w:rPr>
          <w:rFonts w:cs="Times New Roman"/>
          <w:color w:val="000000" w:themeColor="text1"/>
        </w:rPr>
        <w:t>emissions</w:t>
      </w:r>
      <w:r w:rsidRPr="00196F93">
        <w:rPr>
          <w:rFonts w:cs="Times New Roman"/>
          <w:color w:val="000000" w:themeColor="text1"/>
        </w:rPr>
        <w:t>.</w:t>
      </w:r>
      <w:r w:rsidR="001947F7">
        <w:rPr>
          <w:rStyle w:val="FootnoteReference"/>
          <w:rFonts w:cs="Times New Roman"/>
          <w:color w:val="000000" w:themeColor="text1"/>
        </w:rPr>
        <w:footnoteReference w:id="15"/>
      </w:r>
      <w:r w:rsidRPr="00196F93">
        <w:rPr>
          <w:rFonts w:cs="Times New Roman"/>
          <w:color w:val="000000" w:themeColor="text1"/>
        </w:rPr>
        <w:t xml:space="preserve"> </w:t>
      </w:r>
      <w:r w:rsidR="00620B70">
        <w:rPr>
          <w:rFonts w:cs="Times New Roman"/>
          <w:color w:val="000000" w:themeColor="text1"/>
        </w:rPr>
        <w:t>T</w:t>
      </w:r>
      <w:r w:rsidRPr="00196F93">
        <w:rPr>
          <w:rFonts w:cs="Times New Roman"/>
          <w:color w:val="000000" w:themeColor="text1"/>
        </w:rPr>
        <w:t>he CSRD applies to EU-listed SMEs, Public Interest Entities (PIE) with more than 500 employees, and large companies that meet two or more of three criteria: a) total balance sheet of more than €20 million, b) net turnover of more than €40 million, c) more than 250 employees on average during the financial year.</w:t>
      </w:r>
      <w:r w:rsidRPr="00196F93">
        <w:rPr>
          <w:rStyle w:val="FootnoteReference"/>
          <w:rFonts w:cs="Times New Roman"/>
          <w:color w:val="000000" w:themeColor="text1"/>
        </w:rPr>
        <w:footnoteReference w:id="16"/>
      </w:r>
      <w:r w:rsidRPr="00196F93">
        <w:rPr>
          <w:rFonts w:cs="Times New Roman"/>
          <w:color w:val="000000" w:themeColor="text1"/>
        </w:rPr>
        <w:t xml:space="preserve"> </w:t>
      </w:r>
      <w:r w:rsidR="00875905">
        <w:rPr>
          <w:rFonts w:cs="Times New Roman"/>
          <w:color w:val="000000" w:themeColor="text1"/>
        </w:rPr>
        <w:t xml:space="preserve">Moreover, it </w:t>
      </w:r>
      <w:r w:rsidRPr="00196F93">
        <w:rPr>
          <w:rFonts w:cs="Times New Roman"/>
          <w:color w:val="000000" w:themeColor="text1"/>
        </w:rPr>
        <w:t>will require disclosure from “non-EU parents of groups that generate more than €150 million in consolidated annual revenue</w:t>
      </w:r>
      <w:r w:rsidR="00875905">
        <w:rPr>
          <w:rFonts w:cs="Times New Roman"/>
          <w:color w:val="000000" w:themeColor="text1"/>
        </w:rPr>
        <w:t>”</w:t>
      </w:r>
      <w:r w:rsidRPr="00196F93">
        <w:rPr>
          <w:rFonts w:cs="Times New Roman"/>
          <w:color w:val="000000" w:themeColor="text1"/>
        </w:rPr>
        <w:t xml:space="preserve"> in the </w:t>
      </w:r>
      <w:r w:rsidR="00875905">
        <w:rPr>
          <w:rFonts w:cs="Times New Roman"/>
          <w:color w:val="000000" w:themeColor="text1"/>
        </w:rPr>
        <w:t>EU.</w:t>
      </w:r>
      <w:bookmarkStart w:id="26" w:name="_Ref191564648"/>
      <w:r w:rsidRPr="00196F93">
        <w:rPr>
          <w:rStyle w:val="FootnoteReference"/>
          <w:rFonts w:cs="Times New Roman"/>
          <w:color w:val="000000" w:themeColor="text1"/>
        </w:rPr>
        <w:footnoteReference w:id="17"/>
      </w:r>
      <w:bookmarkEnd w:id="26"/>
    </w:p>
    <w:p w14:paraId="3B4D2DEA" w14:textId="1B4BA879" w:rsidR="00664B5B" w:rsidRPr="00B71A8C" w:rsidRDefault="004F3F80" w:rsidP="00B71A8C">
      <w:pPr>
        <w:spacing w:line="480" w:lineRule="auto"/>
        <w:ind w:firstLine="720"/>
        <w:contextualSpacing/>
        <w:rPr>
          <w:rFonts w:cs="Times New Roman"/>
          <w:color w:val="000000" w:themeColor="text1"/>
          <w:u w:val="single"/>
        </w:rPr>
      </w:pPr>
      <w:r w:rsidRPr="00196F93">
        <w:rPr>
          <w:rFonts w:cs="Times New Roman"/>
          <w:color w:val="000000" w:themeColor="text1"/>
        </w:rPr>
        <w:t xml:space="preserve">Unlike the SEC </w:t>
      </w:r>
      <w:r w:rsidR="00875905">
        <w:rPr>
          <w:rFonts w:cs="Times New Roman"/>
          <w:color w:val="000000" w:themeColor="text1"/>
        </w:rPr>
        <w:t xml:space="preserve">Climate </w:t>
      </w:r>
      <w:r w:rsidRPr="00196F93">
        <w:rPr>
          <w:rFonts w:cs="Times New Roman"/>
          <w:color w:val="000000" w:themeColor="text1"/>
        </w:rPr>
        <w:t xml:space="preserve">Rule and </w:t>
      </w:r>
      <w:r w:rsidR="00875905">
        <w:rPr>
          <w:rFonts w:cs="Times New Roman"/>
          <w:color w:val="000000" w:themeColor="text1"/>
        </w:rPr>
        <w:t>CA Climate</w:t>
      </w:r>
      <w:r w:rsidR="00875905" w:rsidRPr="00196F93">
        <w:rPr>
          <w:rFonts w:cs="Times New Roman"/>
          <w:color w:val="000000" w:themeColor="text1"/>
        </w:rPr>
        <w:t xml:space="preserve"> </w:t>
      </w:r>
      <w:r w:rsidRPr="00196F93">
        <w:rPr>
          <w:rFonts w:cs="Times New Roman"/>
          <w:color w:val="000000" w:themeColor="text1"/>
        </w:rPr>
        <w:t>law</w:t>
      </w:r>
      <w:r w:rsidR="00875905">
        <w:rPr>
          <w:rFonts w:cs="Times New Roman"/>
          <w:color w:val="000000" w:themeColor="text1"/>
        </w:rPr>
        <w:t>s</w:t>
      </w:r>
      <w:r w:rsidRPr="00196F93">
        <w:rPr>
          <w:rFonts w:cs="Times New Roman"/>
          <w:color w:val="000000" w:themeColor="text1"/>
        </w:rPr>
        <w:t xml:space="preserve">, the </w:t>
      </w:r>
      <w:r w:rsidR="00875905">
        <w:rPr>
          <w:rFonts w:cs="Times New Roman"/>
          <w:color w:val="000000" w:themeColor="text1"/>
        </w:rPr>
        <w:t>EU directives</w:t>
      </w:r>
      <w:r w:rsidRPr="00196F93">
        <w:rPr>
          <w:rFonts w:cs="Times New Roman"/>
          <w:color w:val="000000" w:themeColor="text1"/>
        </w:rPr>
        <w:t xml:space="preserve"> do not provide a safe harbor </w:t>
      </w:r>
      <w:r w:rsidR="00875905">
        <w:rPr>
          <w:rFonts w:cs="Times New Roman"/>
          <w:color w:val="000000" w:themeColor="text1"/>
        </w:rPr>
        <w:t>from</w:t>
      </w:r>
      <w:r w:rsidR="00875905" w:rsidRPr="00196F93">
        <w:rPr>
          <w:rFonts w:cs="Times New Roman"/>
          <w:color w:val="000000" w:themeColor="text1"/>
        </w:rPr>
        <w:t xml:space="preserve"> </w:t>
      </w:r>
      <w:r w:rsidRPr="00196F93">
        <w:rPr>
          <w:rFonts w:cs="Times New Roman"/>
          <w:color w:val="000000" w:themeColor="text1"/>
        </w:rPr>
        <w:t xml:space="preserve">liability </w:t>
      </w:r>
      <w:r w:rsidR="00875905">
        <w:rPr>
          <w:rFonts w:cs="Times New Roman"/>
          <w:color w:val="000000" w:themeColor="text1"/>
        </w:rPr>
        <w:t>for</w:t>
      </w:r>
      <w:r w:rsidR="00875905" w:rsidRPr="00196F93">
        <w:rPr>
          <w:rFonts w:cs="Times New Roman"/>
          <w:color w:val="000000" w:themeColor="text1"/>
        </w:rPr>
        <w:t xml:space="preserve"> </w:t>
      </w:r>
      <w:r w:rsidRPr="00196F93">
        <w:rPr>
          <w:rFonts w:cs="Times New Roman"/>
          <w:color w:val="000000" w:themeColor="text1"/>
        </w:rPr>
        <w:t xml:space="preserve">making inaccurate </w:t>
      </w:r>
      <w:r w:rsidR="00875905">
        <w:rPr>
          <w:rFonts w:cs="Times New Roman"/>
          <w:color w:val="000000" w:themeColor="text1"/>
        </w:rPr>
        <w:t xml:space="preserve">emissions </w:t>
      </w:r>
      <w:r w:rsidRPr="00196F93">
        <w:rPr>
          <w:rFonts w:cs="Times New Roman"/>
          <w:color w:val="000000" w:themeColor="text1"/>
        </w:rPr>
        <w:t>disclosures.</w:t>
      </w:r>
      <w:r w:rsidR="001947F7">
        <w:rPr>
          <w:rStyle w:val="FootnoteReference"/>
          <w:rFonts w:cs="Times New Roman"/>
          <w:color w:val="000000" w:themeColor="text1"/>
        </w:rPr>
        <w:footnoteReference w:id="18"/>
      </w:r>
      <w:r w:rsidRPr="00196F93">
        <w:rPr>
          <w:rFonts w:cs="Times New Roman"/>
          <w:color w:val="000000" w:themeColor="text1"/>
        </w:rPr>
        <w:t xml:space="preserve"> However, given </w:t>
      </w:r>
      <w:r w:rsidR="00875905">
        <w:rPr>
          <w:rFonts w:cs="Times New Roman"/>
          <w:color w:val="000000" w:themeColor="text1"/>
        </w:rPr>
        <w:t xml:space="preserve">generally </w:t>
      </w:r>
      <w:r w:rsidRPr="00196F93">
        <w:rPr>
          <w:rFonts w:cs="Times New Roman"/>
          <w:color w:val="000000" w:themeColor="text1"/>
        </w:rPr>
        <w:t xml:space="preserve">lower securities litigation risks in the EU, </w:t>
      </w:r>
      <w:r w:rsidR="00194C79" w:rsidRPr="00196F93">
        <w:rPr>
          <w:rFonts w:cs="Times New Roman"/>
          <w:color w:val="000000" w:themeColor="text1"/>
        </w:rPr>
        <w:t>it is unclear if this omission is significant for litigation risks.</w:t>
      </w:r>
      <w:r w:rsidR="001947F7">
        <w:rPr>
          <w:rStyle w:val="FootnoteReference"/>
          <w:rFonts w:cs="Times New Roman"/>
          <w:color w:val="000000" w:themeColor="text1"/>
        </w:rPr>
        <w:footnoteReference w:id="19"/>
      </w:r>
    </w:p>
    <w:p w14:paraId="111436DF" w14:textId="77777777" w:rsidR="00215695" w:rsidRPr="00215695" w:rsidRDefault="00215695" w:rsidP="00B71A8C">
      <w:pPr>
        <w:spacing w:line="480" w:lineRule="auto"/>
        <w:ind w:firstLine="720"/>
        <w:contextualSpacing/>
        <w:rPr>
          <w:rFonts w:cs="Times New Roman"/>
          <w:color w:val="000000" w:themeColor="text1"/>
          <w:sz w:val="2"/>
          <w:szCs w:val="2"/>
        </w:rPr>
      </w:pPr>
    </w:p>
    <w:p w14:paraId="535BEF88" w14:textId="67093CEC" w:rsidR="00C37BD3" w:rsidRPr="001110EE" w:rsidRDefault="00C37BD3" w:rsidP="00B71A8C">
      <w:pPr>
        <w:pStyle w:val="Heading3"/>
        <w:spacing w:before="0"/>
        <w:contextualSpacing/>
      </w:pPr>
      <w:r w:rsidRPr="00B71A8C">
        <w:rPr>
          <w:u w:val="single"/>
        </w:rPr>
        <w:t>U.S. SEC</w:t>
      </w:r>
      <w:r w:rsidRPr="001110EE">
        <w:t xml:space="preserve">: Limited </w:t>
      </w:r>
      <w:r w:rsidR="004F3F80" w:rsidRPr="001110EE">
        <w:t xml:space="preserve">to Financially </w:t>
      </w:r>
      <w:r w:rsidR="00397836" w:rsidRPr="001110EE">
        <w:t xml:space="preserve">Material </w:t>
      </w:r>
      <w:r w:rsidR="004F3F80" w:rsidRPr="001110EE">
        <w:t xml:space="preserve">Climate, </w:t>
      </w:r>
      <w:r w:rsidR="00397836" w:rsidRPr="001110EE">
        <w:t>S1 &amp; S2</w:t>
      </w:r>
      <w:r w:rsidR="004F3F80" w:rsidRPr="001110EE">
        <w:t xml:space="preserve"> Disclosures</w:t>
      </w:r>
    </w:p>
    <w:p w14:paraId="6D26C286" w14:textId="501FB9E3" w:rsidR="004F3F80" w:rsidRPr="00B71A8C" w:rsidRDefault="00664B5B" w:rsidP="00B71A8C">
      <w:pPr>
        <w:spacing w:line="480" w:lineRule="auto"/>
        <w:ind w:firstLine="720"/>
        <w:contextualSpacing/>
        <w:rPr>
          <w:rFonts w:cs="Times New Roman"/>
          <w:color w:val="FF0000"/>
        </w:rPr>
      </w:pPr>
      <w:r w:rsidRPr="00196F93">
        <w:rPr>
          <w:rFonts w:cs="Times New Roman"/>
          <w:color w:val="000000" w:themeColor="text1"/>
        </w:rPr>
        <w:t xml:space="preserve">In March of 2024 </w:t>
      </w:r>
      <w:r w:rsidR="00025CED">
        <w:rPr>
          <w:rFonts w:cs="Times New Roman"/>
          <w:color w:val="000000" w:themeColor="text1"/>
        </w:rPr>
        <w:t xml:space="preserve">the </w:t>
      </w:r>
      <w:r w:rsidRPr="00196F93">
        <w:rPr>
          <w:rFonts w:cs="Times New Roman"/>
          <w:color w:val="000000" w:themeColor="text1"/>
        </w:rPr>
        <w:t xml:space="preserve">Securities and Exchange Commission (SEC) released its final rules on </w:t>
      </w:r>
      <w:bookmarkStart w:id="27" w:name="OLE_LINK32"/>
      <w:r w:rsidRPr="00196F93">
        <w:rPr>
          <w:rFonts w:cs="Times New Roman"/>
          <w:color w:val="000000" w:themeColor="text1"/>
        </w:rPr>
        <w:t xml:space="preserve">“The Enhancement and </w:t>
      </w:r>
      <w:r w:rsidRPr="0004276A">
        <w:rPr>
          <w:rFonts w:cs="Times New Roman"/>
          <w:color w:val="000000" w:themeColor="text1"/>
        </w:rPr>
        <w:t>Standardization of Climate Risk Disclosure” (</w:t>
      </w:r>
      <w:r w:rsidR="00C32E4E" w:rsidRPr="0004276A">
        <w:rPr>
          <w:rFonts w:cs="Times New Roman"/>
          <w:color w:val="000000" w:themeColor="text1"/>
        </w:rPr>
        <w:t xml:space="preserve">SEC </w:t>
      </w:r>
      <w:r w:rsidRPr="0004276A">
        <w:rPr>
          <w:rFonts w:cs="Times New Roman"/>
          <w:color w:val="000000" w:themeColor="text1"/>
        </w:rPr>
        <w:t>Climate Rule).</w:t>
      </w:r>
      <w:bookmarkStart w:id="28" w:name="_Ref191564360"/>
      <w:bookmarkEnd w:id="27"/>
      <w:r w:rsidR="001947F7" w:rsidRPr="0004276A">
        <w:rPr>
          <w:rStyle w:val="FootnoteReference"/>
          <w:rFonts w:cs="Times New Roman"/>
          <w:color w:val="000000" w:themeColor="text1"/>
        </w:rPr>
        <w:footnoteReference w:id="20"/>
      </w:r>
      <w:bookmarkEnd w:id="28"/>
      <w:r w:rsidRPr="0004276A">
        <w:rPr>
          <w:rFonts w:cs="Times New Roman"/>
          <w:color w:val="000000" w:themeColor="text1"/>
        </w:rPr>
        <w:t xml:space="preserve"> The </w:t>
      </w:r>
      <w:r w:rsidR="00025CED" w:rsidRPr="0004276A">
        <w:rPr>
          <w:rFonts w:cs="Times New Roman"/>
          <w:color w:val="000000" w:themeColor="text1"/>
        </w:rPr>
        <w:t>SEC Climate Rule</w:t>
      </w:r>
      <w:r w:rsidRPr="0004276A">
        <w:rPr>
          <w:rFonts w:cs="Times New Roman"/>
          <w:color w:val="000000" w:themeColor="text1"/>
        </w:rPr>
        <w:t xml:space="preserve"> is the first federal sustainability disclosure requirement in the U.S. </w:t>
      </w:r>
      <w:r w:rsidR="00481D48" w:rsidRPr="0004276A">
        <w:rPr>
          <w:rFonts w:cs="Times New Roman"/>
          <w:color w:val="000000" w:themeColor="text1"/>
        </w:rPr>
        <w:t>that would require S1 and S2 GHG emissions</w:t>
      </w:r>
      <w:r w:rsidR="00A25F83" w:rsidRPr="0004276A">
        <w:rPr>
          <w:rFonts w:cs="Times New Roman"/>
          <w:color w:val="000000" w:themeColor="text1"/>
        </w:rPr>
        <w:t xml:space="preserve"> disclosures in addition to </w:t>
      </w:r>
      <w:r w:rsidRPr="0004276A">
        <w:rPr>
          <w:rFonts w:cs="Times New Roman"/>
          <w:color w:val="000000" w:themeColor="text1"/>
        </w:rPr>
        <w:t>“severe weather-related financial statement</w:t>
      </w:r>
      <w:r w:rsidR="00481D48" w:rsidRPr="0004276A">
        <w:rPr>
          <w:rFonts w:cs="Times New Roman"/>
          <w:color w:val="000000" w:themeColor="text1"/>
        </w:rPr>
        <w:t xml:space="preserve">… and </w:t>
      </w:r>
      <w:r w:rsidRPr="0004276A">
        <w:rPr>
          <w:rFonts w:cs="Times New Roman"/>
          <w:color w:val="000000" w:themeColor="text1"/>
        </w:rPr>
        <w:t>climate-related governance, risks and targets</w:t>
      </w:r>
      <w:r w:rsidR="00A25F83" w:rsidRPr="0004276A">
        <w:rPr>
          <w:rFonts w:cs="Times New Roman"/>
          <w:color w:val="000000" w:themeColor="text1"/>
        </w:rPr>
        <w:t>”</w:t>
      </w:r>
      <w:r w:rsidR="00753A8D" w:rsidRPr="0004276A">
        <w:rPr>
          <w:rFonts w:cs="Times New Roman"/>
          <w:color w:val="000000" w:themeColor="text1"/>
        </w:rPr>
        <w:t>—</w:t>
      </w:r>
      <w:r w:rsidRPr="0004276A">
        <w:rPr>
          <w:rFonts w:cs="Times New Roman"/>
          <w:color w:val="000000" w:themeColor="text1"/>
        </w:rPr>
        <w:t>to the extent any of th</w:t>
      </w:r>
      <w:r w:rsidR="00481D48" w:rsidRPr="0004276A">
        <w:rPr>
          <w:rFonts w:cs="Times New Roman"/>
          <w:color w:val="000000" w:themeColor="text1"/>
        </w:rPr>
        <w:t>is</w:t>
      </w:r>
      <w:r w:rsidRPr="0004276A">
        <w:rPr>
          <w:rFonts w:cs="Times New Roman"/>
          <w:color w:val="000000" w:themeColor="text1"/>
        </w:rPr>
        <w:t xml:space="preserve"> information is </w:t>
      </w:r>
      <w:r w:rsidR="00481D48" w:rsidRPr="0004276A">
        <w:rPr>
          <w:rFonts w:cs="Times New Roman"/>
          <w:color w:val="000000" w:themeColor="text1"/>
        </w:rPr>
        <w:t xml:space="preserve">financially </w:t>
      </w:r>
      <w:r w:rsidRPr="0004276A">
        <w:rPr>
          <w:rFonts w:cs="Times New Roman"/>
          <w:color w:val="000000" w:themeColor="text1"/>
        </w:rPr>
        <w:t>material for covered</w:t>
      </w:r>
      <w:r w:rsidR="00481D48" w:rsidRPr="0004276A">
        <w:rPr>
          <w:rFonts w:cs="Times New Roman"/>
          <w:color w:val="000000" w:themeColor="text1"/>
        </w:rPr>
        <w:t xml:space="preserve"> public</w:t>
      </w:r>
      <w:r w:rsidRPr="0004276A">
        <w:rPr>
          <w:rFonts w:cs="Times New Roman"/>
          <w:color w:val="000000" w:themeColor="text1"/>
        </w:rPr>
        <w:t xml:space="preserve"> </w:t>
      </w:r>
      <w:r w:rsidR="003B0AF0">
        <w:rPr>
          <w:rFonts w:cs="Times New Roman"/>
          <w:color w:val="000000" w:themeColor="text1"/>
        </w:rPr>
        <w:t>entities</w:t>
      </w:r>
      <w:r w:rsidRPr="0004276A">
        <w:rPr>
          <w:rFonts w:cs="Times New Roman"/>
          <w:color w:val="000000" w:themeColor="text1"/>
        </w:rPr>
        <w:t>.</w:t>
      </w:r>
      <w:r w:rsidRPr="0004276A">
        <w:rPr>
          <w:rStyle w:val="FootnoteReference"/>
          <w:rFonts w:cs="Times New Roman"/>
          <w:color w:val="000000" w:themeColor="text1"/>
        </w:rPr>
        <w:footnoteReference w:id="21"/>
      </w:r>
      <w:r w:rsidRPr="0004276A">
        <w:rPr>
          <w:rFonts w:cs="Times New Roman"/>
          <w:color w:val="000000" w:themeColor="text1"/>
        </w:rPr>
        <w:t xml:space="preserve"> </w:t>
      </w:r>
      <w:r w:rsidR="00620B70" w:rsidRPr="0004276A">
        <w:rPr>
          <w:rFonts w:cs="Times New Roman"/>
          <w:color w:val="000000" w:themeColor="text1"/>
        </w:rPr>
        <w:t>I</w:t>
      </w:r>
      <w:r w:rsidR="00481D48" w:rsidRPr="0004276A">
        <w:rPr>
          <w:rFonts w:cs="Times New Roman"/>
          <w:color w:val="000000" w:themeColor="text1"/>
        </w:rPr>
        <w:t xml:space="preserve">n contrast to the proposed rule, California, and the </w:t>
      </w:r>
      <w:r w:rsidR="008A2A84" w:rsidRPr="0004276A">
        <w:rPr>
          <w:rFonts w:cs="Times New Roman"/>
          <w:color w:val="000000" w:themeColor="text1"/>
        </w:rPr>
        <w:t>EU</w:t>
      </w:r>
      <w:r w:rsidR="00620B70" w:rsidRPr="0004276A">
        <w:rPr>
          <w:rFonts w:cs="Times New Roman"/>
          <w:color w:val="000000" w:themeColor="text1"/>
        </w:rPr>
        <w:t xml:space="preserve">, </w:t>
      </w:r>
      <w:r w:rsidR="00C32E4E" w:rsidRPr="0004276A">
        <w:rPr>
          <w:rFonts w:cs="Times New Roman"/>
          <w:color w:val="000000" w:themeColor="text1"/>
        </w:rPr>
        <w:t xml:space="preserve">there </w:t>
      </w:r>
      <w:r w:rsidR="00753A8D" w:rsidRPr="0004276A">
        <w:rPr>
          <w:rFonts w:cs="Times New Roman"/>
          <w:color w:val="000000" w:themeColor="text1"/>
        </w:rPr>
        <w:t xml:space="preserve">are </w:t>
      </w:r>
      <w:r w:rsidR="00C32E4E" w:rsidRPr="0004276A">
        <w:rPr>
          <w:rFonts w:cs="Times New Roman"/>
          <w:color w:val="000000" w:themeColor="text1"/>
        </w:rPr>
        <w:t xml:space="preserve">no </w:t>
      </w:r>
      <w:r w:rsidR="00620B70" w:rsidRPr="0004276A">
        <w:rPr>
          <w:rFonts w:cs="Times New Roman"/>
          <w:color w:val="000000" w:themeColor="text1"/>
        </w:rPr>
        <w:t xml:space="preserve">disclosure requirements for </w:t>
      </w:r>
      <w:r w:rsidR="00C32E4E" w:rsidRPr="0004276A">
        <w:rPr>
          <w:rFonts w:cs="Times New Roman"/>
          <w:color w:val="000000" w:themeColor="text1"/>
        </w:rPr>
        <w:t>S3 (value chain) emissions.</w:t>
      </w:r>
      <w:r w:rsidR="001947F7" w:rsidRPr="0004276A">
        <w:rPr>
          <w:rStyle w:val="FootnoteReference"/>
          <w:rFonts w:cs="Times New Roman"/>
          <w:color w:val="000000" w:themeColor="text1"/>
        </w:rPr>
        <w:footnoteReference w:id="22"/>
      </w:r>
      <w:r w:rsidR="00481D48" w:rsidRPr="0004276A">
        <w:rPr>
          <w:rFonts w:cs="Times New Roman"/>
          <w:color w:val="000000" w:themeColor="text1"/>
        </w:rPr>
        <w:t xml:space="preserve"> </w:t>
      </w:r>
      <w:r w:rsidR="00091ACE" w:rsidRPr="0004276A">
        <w:rPr>
          <w:rFonts w:cs="Times New Roman"/>
          <w:color w:val="000000" w:themeColor="text1"/>
        </w:rPr>
        <w:t xml:space="preserve">The </w:t>
      </w:r>
      <w:r w:rsidR="003B0AF0">
        <w:rPr>
          <w:rFonts w:cs="Times New Roman"/>
          <w:color w:val="000000" w:themeColor="text1"/>
        </w:rPr>
        <w:t xml:space="preserve">rule </w:t>
      </w:r>
      <w:r w:rsidR="006748C7">
        <w:rPr>
          <w:rFonts w:cs="Times New Roman"/>
          <w:color w:val="000000" w:themeColor="text1"/>
        </w:rPr>
        <w:t xml:space="preserve">comparatively has the </w:t>
      </w:r>
      <w:r w:rsidR="00091ACE" w:rsidRPr="0004276A">
        <w:rPr>
          <w:rFonts w:cs="Times New Roman"/>
          <w:color w:val="000000" w:themeColor="text1"/>
        </w:rPr>
        <w:t xml:space="preserve">narrowest </w:t>
      </w:r>
      <w:r w:rsidR="00091ACE">
        <w:rPr>
          <w:rFonts w:cs="Times New Roman"/>
          <w:color w:val="000000" w:themeColor="text1"/>
        </w:rPr>
        <w:t xml:space="preserve">reach in application to </w:t>
      </w:r>
      <w:r w:rsidR="006748C7">
        <w:rPr>
          <w:rFonts w:cs="Times New Roman"/>
          <w:color w:val="000000" w:themeColor="text1"/>
        </w:rPr>
        <w:t xml:space="preserve">only a </w:t>
      </w:r>
      <w:r w:rsidR="00091ACE">
        <w:rPr>
          <w:rFonts w:cs="Times New Roman"/>
          <w:color w:val="000000" w:themeColor="text1"/>
        </w:rPr>
        <w:t>subset of large, publicly listed companies—</w:t>
      </w:r>
      <w:r w:rsidR="00091ACE" w:rsidRPr="00196F93">
        <w:rPr>
          <w:rFonts w:cs="Times New Roman"/>
          <w:color w:val="000000" w:themeColor="text1"/>
        </w:rPr>
        <w:t>accelerated filers (“AFs”) or large accelerated filers (“LAFs”)</w:t>
      </w:r>
      <w:r w:rsidR="00091ACE">
        <w:rPr>
          <w:rFonts w:cs="Times New Roman"/>
          <w:color w:val="000000" w:themeColor="text1"/>
        </w:rPr>
        <w:t>—and additional</w:t>
      </w:r>
      <w:r w:rsidR="00C32E4E" w:rsidRPr="00196F93">
        <w:rPr>
          <w:rFonts w:cs="Times New Roman"/>
          <w:color w:val="000000" w:themeColor="text1"/>
        </w:rPr>
        <w:t xml:space="preserve"> exemptions for smaller reporting companie</w:t>
      </w:r>
      <w:r w:rsidR="00091ACE">
        <w:rPr>
          <w:rFonts w:cs="Times New Roman"/>
          <w:color w:val="000000" w:themeColor="text1"/>
        </w:rPr>
        <w:t>s</w:t>
      </w:r>
      <w:r w:rsidR="006748C7">
        <w:rPr>
          <w:rFonts w:cs="Times New Roman"/>
          <w:color w:val="000000" w:themeColor="text1"/>
        </w:rPr>
        <w:t xml:space="preserve">; however, there </w:t>
      </w:r>
      <w:r w:rsidR="00C32E4E" w:rsidRPr="00196F93">
        <w:rPr>
          <w:rFonts w:cs="Times New Roman"/>
          <w:color w:val="000000" w:themeColor="text1"/>
        </w:rPr>
        <w:t xml:space="preserve">is no application to private </w:t>
      </w:r>
      <w:r w:rsidR="00091ACE">
        <w:rPr>
          <w:rFonts w:cs="Times New Roman"/>
          <w:color w:val="000000" w:themeColor="text1"/>
        </w:rPr>
        <w:t>companies,</w:t>
      </w:r>
      <w:r w:rsidR="00091ACE" w:rsidRPr="00196F93">
        <w:rPr>
          <w:rFonts w:cs="Times New Roman"/>
          <w:color w:val="000000" w:themeColor="text1"/>
        </w:rPr>
        <w:t xml:space="preserve"> </w:t>
      </w:r>
      <w:r w:rsidR="00C32E4E" w:rsidRPr="00196F93">
        <w:rPr>
          <w:rFonts w:cs="Times New Roman"/>
          <w:color w:val="000000" w:themeColor="text1"/>
        </w:rPr>
        <w:t xml:space="preserve">or even smaller </w:t>
      </w:r>
      <w:r w:rsidR="00091ACE">
        <w:rPr>
          <w:rFonts w:cs="Times New Roman"/>
          <w:color w:val="000000" w:themeColor="text1"/>
        </w:rPr>
        <w:t xml:space="preserve">publicly </w:t>
      </w:r>
      <w:r w:rsidR="00C32E4E" w:rsidRPr="00196F93">
        <w:rPr>
          <w:rFonts w:cs="Times New Roman"/>
          <w:color w:val="000000" w:themeColor="text1"/>
        </w:rPr>
        <w:t xml:space="preserve">listed companies like </w:t>
      </w:r>
      <w:r w:rsidR="00091ACE">
        <w:rPr>
          <w:rFonts w:cs="Times New Roman"/>
          <w:color w:val="000000" w:themeColor="text1"/>
        </w:rPr>
        <w:t xml:space="preserve">the </w:t>
      </w:r>
      <w:r w:rsidR="00C32E4E" w:rsidRPr="00196F93">
        <w:rPr>
          <w:rFonts w:cs="Times New Roman"/>
          <w:color w:val="000000" w:themeColor="text1"/>
        </w:rPr>
        <w:t>California and EU approach.</w:t>
      </w:r>
      <w:r w:rsidR="006748C7" w:rsidRPr="00196F93">
        <w:rPr>
          <w:rStyle w:val="FootnoteReference"/>
          <w:rFonts w:cs="Times New Roman"/>
          <w:color w:val="000000" w:themeColor="text1"/>
        </w:rPr>
        <w:footnoteReference w:id="23"/>
      </w:r>
    </w:p>
    <w:p w14:paraId="697E1873" w14:textId="6EE92213" w:rsidR="00736A8C" w:rsidRDefault="004F3F80" w:rsidP="00B71A8C">
      <w:pPr>
        <w:spacing w:line="480" w:lineRule="auto"/>
        <w:ind w:firstLine="720"/>
        <w:contextualSpacing/>
        <w:rPr>
          <w:rFonts w:cs="Times New Roman"/>
          <w:color w:val="000000" w:themeColor="text1"/>
        </w:rPr>
      </w:pPr>
      <w:r w:rsidRPr="00196F93">
        <w:rPr>
          <w:rFonts w:cs="Times New Roman"/>
          <w:color w:val="000000" w:themeColor="text1"/>
        </w:rPr>
        <w:t>The “safe harbor for forward-looking statements under the Private Securities Litigation Reform Act (</w:t>
      </w:r>
      <w:r w:rsidR="001947F7">
        <w:rPr>
          <w:rFonts w:cs="Times New Roman"/>
          <w:color w:val="000000" w:themeColor="text1"/>
        </w:rPr>
        <w:t>‘</w:t>
      </w:r>
      <w:r w:rsidRPr="00196F93">
        <w:rPr>
          <w:rFonts w:cs="Times New Roman"/>
          <w:color w:val="000000" w:themeColor="text1"/>
        </w:rPr>
        <w:t>PSLRA</w:t>
      </w:r>
      <w:r w:rsidR="001947F7">
        <w:rPr>
          <w:rFonts w:cs="Times New Roman"/>
          <w:color w:val="000000" w:themeColor="text1"/>
        </w:rPr>
        <w:t>’</w:t>
      </w:r>
      <w:r w:rsidRPr="00196F93">
        <w:rPr>
          <w:rFonts w:cs="Times New Roman"/>
          <w:color w:val="000000" w:themeColor="text1"/>
        </w:rPr>
        <w:t>) is explicitly extended to cover disclosure of targets and goals, transition plans, scenario analysis and internal carbon pricing</w:t>
      </w:r>
      <w:r w:rsidR="001947F7">
        <w:rPr>
          <w:rFonts w:cs="Times New Roman"/>
          <w:color w:val="000000" w:themeColor="text1"/>
        </w:rPr>
        <w:t>.</w:t>
      </w:r>
      <w:r w:rsidRPr="00196F93">
        <w:rPr>
          <w:rFonts w:cs="Times New Roman"/>
          <w:color w:val="000000" w:themeColor="text1"/>
        </w:rPr>
        <w:t>”</w:t>
      </w:r>
      <w:r w:rsidRPr="00196F93">
        <w:rPr>
          <w:rStyle w:val="FootnoteReference"/>
          <w:rFonts w:cs="Times New Roman"/>
          <w:color w:val="000000" w:themeColor="text1"/>
        </w:rPr>
        <w:footnoteReference w:id="24"/>
      </w:r>
      <w:r w:rsidR="00C72B75">
        <w:rPr>
          <w:rFonts w:cs="Times New Roman"/>
          <w:color w:val="000000" w:themeColor="text1"/>
        </w:rPr>
        <w:t xml:space="preserve"> </w:t>
      </w:r>
      <w:r w:rsidRPr="006D282B">
        <w:rPr>
          <w:rFonts w:cs="Times New Roman"/>
          <w:color w:val="000000" w:themeColor="text1"/>
        </w:rPr>
        <w:t xml:space="preserve">There is also a dedicated safe harbor for </w:t>
      </w:r>
      <w:r w:rsidR="007E59A7">
        <w:rPr>
          <w:rFonts w:cs="Times New Roman"/>
          <w:color w:val="000000" w:themeColor="text1"/>
        </w:rPr>
        <w:t>emissions</w:t>
      </w:r>
      <w:r w:rsidRPr="006D282B">
        <w:rPr>
          <w:rFonts w:cs="Times New Roman"/>
          <w:color w:val="000000" w:themeColor="text1"/>
        </w:rPr>
        <w:t xml:space="preserve"> disclosures,</w:t>
      </w:r>
      <w:r w:rsidR="004F4761">
        <w:rPr>
          <w:rFonts w:cs="Times New Roman"/>
          <w:color w:val="000000" w:themeColor="text1"/>
        </w:rPr>
        <w:t xml:space="preserve"> </w:t>
      </w:r>
      <w:r w:rsidRPr="006D282B">
        <w:rPr>
          <w:rFonts w:cs="Times New Roman"/>
          <w:color w:val="000000" w:themeColor="text1"/>
        </w:rPr>
        <w:t>unless made “without a reasonable basis” or disclosed other than in “good faith”</w:t>
      </w:r>
      <w:r w:rsidR="004F4761">
        <w:rPr>
          <w:rFonts w:cs="Times New Roman"/>
          <w:color w:val="000000" w:themeColor="text1"/>
        </w:rPr>
        <w:t>—unlike the EU.</w:t>
      </w:r>
      <w:r w:rsidR="001947F7" w:rsidRPr="00B71A8C">
        <w:rPr>
          <w:rStyle w:val="FootnoteReference"/>
          <w:rFonts w:cs="Times New Roman"/>
          <w:color w:val="000000" w:themeColor="text1"/>
        </w:rPr>
        <w:footnoteReference w:id="25"/>
      </w:r>
      <w:r w:rsidRPr="006D282B">
        <w:rPr>
          <w:rFonts w:cs="Times New Roman"/>
          <w:color w:val="000000" w:themeColor="text1"/>
        </w:rPr>
        <w:t xml:space="preserve"> This has the function of insulating “companies from liability arising out of figures they have received from third parties, which they may have otherwise had to go into great lengths to confirm</w:t>
      </w:r>
      <w:r w:rsidR="001947F7" w:rsidRPr="00B71A8C">
        <w:rPr>
          <w:rFonts w:cs="Times New Roman"/>
          <w:color w:val="000000" w:themeColor="text1"/>
        </w:rPr>
        <w:t>,</w:t>
      </w:r>
      <w:r w:rsidRPr="006D282B">
        <w:rPr>
          <w:rFonts w:cs="Times New Roman"/>
          <w:color w:val="000000" w:themeColor="text1"/>
        </w:rPr>
        <w:t xml:space="preserve">” companies are only required to “make </w:t>
      </w:r>
      <w:r w:rsidR="00753A8D" w:rsidRPr="00B71A8C">
        <w:rPr>
          <w:rFonts w:cs="Times New Roman"/>
          <w:color w:val="000000" w:themeColor="text1"/>
        </w:rPr>
        <w:t>‘</w:t>
      </w:r>
      <w:r w:rsidRPr="006D282B">
        <w:rPr>
          <w:rFonts w:cs="Times New Roman"/>
          <w:color w:val="000000" w:themeColor="text1"/>
        </w:rPr>
        <w:t>reasonable</w:t>
      </w:r>
      <w:r w:rsidR="00753A8D" w:rsidRPr="00B71A8C">
        <w:rPr>
          <w:rFonts w:cs="Times New Roman"/>
          <w:color w:val="000000" w:themeColor="text1"/>
        </w:rPr>
        <w:t>’</w:t>
      </w:r>
      <w:r w:rsidRPr="006D282B">
        <w:rPr>
          <w:rFonts w:cs="Times New Roman"/>
          <w:color w:val="000000" w:themeColor="text1"/>
        </w:rPr>
        <w:t xml:space="preserve"> inquiries about the reliability of the data provided to them</w:t>
      </w:r>
      <w:r w:rsidR="007E59A7">
        <w:rPr>
          <w:rFonts w:cs="Times New Roman"/>
          <w:color w:val="000000" w:themeColor="text1"/>
        </w:rPr>
        <w:t>.</w:t>
      </w:r>
      <w:r w:rsidRPr="006D282B">
        <w:rPr>
          <w:rFonts w:cs="Times New Roman"/>
          <w:color w:val="000000" w:themeColor="text1"/>
        </w:rPr>
        <w:t>”</w:t>
      </w:r>
      <w:bookmarkStart w:id="29" w:name="OLE_LINK47"/>
      <w:r w:rsidRPr="006D282B">
        <w:rPr>
          <w:rStyle w:val="FootnoteReference"/>
          <w:rFonts w:cs="Times New Roman"/>
          <w:color w:val="000000" w:themeColor="text1"/>
        </w:rPr>
        <w:footnoteReference w:id="26"/>
      </w:r>
      <w:bookmarkEnd w:id="29"/>
      <w:r w:rsidRPr="006D282B">
        <w:rPr>
          <w:rFonts w:cs="Times New Roman"/>
          <w:color w:val="000000" w:themeColor="text1"/>
        </w:rPr>
        <w:t xml:space="preserve"> </w:t>
      </w:r>
    </w:p>
    <w:p w14:paraId="4B7C2CB0" w14:textId="77777777" w:rsidR="00215695" w:rsidRPr="00215695" w:rsidRDefault="00215695" w:rsidP="00B71A8C">
      <w:pPr>
        <w:spacing w:line="480" w:lineRule="auto"/>
        <w:ind w:firstLine="720"/>
        <w:contextualSpacing/>
        <w:rPr>
          <w:rFonts w:cs="Times New Roman"/>
          <w:color w:val="000000" w:themeColor="text1"/>
          <w:sz w:val="2"/>
          <w:szCs w:val="2"/>
        </w:rPr>
      </w:pPr>
    </w:p>
    <w:p w14:paraId="6D1BD48F" w14:textId="605A33F9" w:rsidR="00C37BD3" w:rsidRPr="00196F93" w:rsidRDefault="00C37BD3" w:rsidP="00B71A8C">
      <w:pPr>
        <w:pStyle w:val="Heading3"/>
        <w:spacing w:before="0"/>
        <w:contextualSpacing/>
      </w:pPr>
      <w:r w:rsidRPr="00B71A8C">
        <w:rPr>
          <w:u w:val="single"/>
        </w:rPr>
        <w:t>California</w:t>
      </w:r>
      <w:r w:rsidRPr="00196F93">
        <w:t xml:space="preserve">: </w:t>
      </w:r>
      <w:r w:rsidR="009D5FA7">
        <w:t xml:space="preserve">State-wide </w:t>
      </w:r>
      <w:r w:rsidR="00397836" w:rsidRPr="00196F93">
        <w:t xml:space="preserve">Sustainable Transition </w:t>
      </w:r>
      <w:r w:rsidRPr="00196F93">
        <w:t>Model?</w:t>
      </w:r>
    </w:p>
    <w:p w14:paraId="3D6EE0D5" w14:textId="7F7ECC21" w:rsidR="00664B5B" w:rsidRPr="00196F93" w:rsidRDefault="00664B5B" w:rsidP="00B71A8C">
      <w:pPr>
        <w:spacing w:line="480" w:lineRule="auto"/>
        <w:ind w:firstLine="720"/>
        <w:contextualSpacing/>
        <w:rPr>
          <w:rFonts w:cs="Times New Roman"/>
          <w:color w:val="000000" w:themeColor="text1"/>
        </w:rPr>
      </w:pPr>
      <w:r w:rsidRPr="00196F93">
        <w:rPr>
          <w:rFonts w:cs="Times New Roman"/>
          <w:color w:val="000000" w:themeColor="text1"/>
        </w:rPr>
        <w:t xml:space="preserve">In October of 2023 </w:t>
      </w:r>
      <w:r w:rsidR="00091ACE">
        <w:rPr>
          <w:rFonts w:cs="Times New Roman"/>
          <w:color w:val="000000" w:themeColor="text1"/>
        </w:rPr>
        <w:t xml:space="preserve">the </w:t>
      </w:r>
      <w:r w:rsidRPr="00196F93">
        <w:rPr>
          <w:rFonts w:cs="Times New Roman"/>
          <w:color w:val="000000" w:themeColor="text1"/>
        </w:rPr>
        <w:t>California</w:t>
      </w:r>
      <w:r w:rsidR="00091ACE">
        <w:rPr>
          <w:rFonts w:cs="Times New Roman"/>
          <w:color w:val="000000" w:themeColor="text1"/>
        </w:rPr>
        <w:t xml:space="preserve"> legislature</w:t>
      </w:r>
      <w:r w:rsidRPr="00196F93">
        <w:rPr>
          <w:rFonts w:cs="Times New Roman"/>
          <w:color w:val="000000" w:themeColor="text1"/>
        </w:rPr>
        <w:t xml:space="preserve"> passed three </w:t>
      </w:r>
      <w:r w:rsidRPr="00091ACE">
        <w:rPr>
          <w:rFonts w:cs="Times New Roman"/>
          <w:color w:val="000000" w:themeColor="text1"/>
        </w:rPr>
        <w:t>climate disclosure bills</w:t>
      </w:r>
      <w:r w:rsidR="0062788D">
        <w:rPr>
          <w:rFonts w:cs="Times New Roman"/>
          <w:color w:val="000000" w:themeColor="text1"/>
        </w:rPr>
        <w:t xml:space="preserve"> </w:t>
      </w:r>
      <w:r w:rsidRPr="00091ACE">
        <w:rPr>
          <w:rFonts w:cs="Times New Roman"/>
          <w:color w:val="000000" w:themeColor="text1"/>
        </w:rPr>
        <w:t>imposing reporting requirements on all businesses with operations in the state above a threshold</w:t>
      </w:r>
      <w:bookmarkStart w:id="30" w:name="OLE_LINK184"/>
      <w:r w:rsidRPr="00091ACE">
        <w:rPr>
          <w:rFonts w:cs="Times New Roman"/>
          <w:color w:val="000000" w:themeColor="text1"/>
        </w:rPr>
        <w:t>.</w:t>
      </w:r>
      <w:bookmarkStart w:id="31" w:name="_Ref191564385"/>
      <w:r w:rsidR="006D282B" w:rsidRPr="00091ACE">
        <w:rPr>
          <w:rStyle w:val="FootnoteReference"/>
          <w:rFonts w:cs="Times New Roman"/>
          <w:color w:val="000000" w:themeColor="text1"/>
        </w:rPr>
        <w:footnoteReference w:id="27"/>
      </w:r>
      <w:bookmarkEnd w:id="31"/>
      <w:r w:rsidR="00583C06" w:rsidRPr="00091ACE">
        <w:rPr>
          <w:rFonts w:cs="Times New Roman"/>
          <w:color w:val="000000" w:themeColor="text1"/>
        </w:rPr>
        <w:t xml:space="preserve"> </w:t>
      </w:r>
      <w:bookmarkEnd w:id="30"/>
      <w:r w:rsidR="00583C06" w:rsidRPr="00091ACE">
        <w:rPr>
          <w:rFonts w:cs="Times New Roman"/>
          <w:color w:val="000000" w:themeColor="text1"/>
        </w:rPr>
        <w:t xml:space="preserve">Covered </w:t>
      </w:r>
      <w:r w:rsidR="0062788D">
        <w:rPr>
          <w:rFonts w:cs="Times New Roman"/>
          <w:color w:val="000000" w:themeColor="text1"/>
        </w:rPr>
        <w:t>entities</w:t>
      </w:r>
      <w:r w:rsidR="00583C06" w:rsidRPr="00091ACE">
        <w:rPr>
          <w:rFonts w:cs="Times New Roman"/>
          <w:color w:val="000000" w:themeColor="text1"/>
        </w:rPr>
        <w:t xml:space="preserve"> will be required to report S1, S2, and S3</w:t>
      </w:r>
      <w:r w:rsidR="00583C06">
        <w:rPr>
          <w:rFonts w:cs="Times New Roman"/>
          <w:color w:val="000000" w:themeColor="text1"/>
        </w:rPr>
        <w:t xml:space="preserve"> emissions</w:t>
      </w:r>
      <w:r w:rsidR="00091ACE">
        <w:rPr>
          <w:rFonts w:cs="Times New Roman"/>
          <w:color w:val="000000" w:themeColor="text1"/>
        </w:rPr>
        <w:t xml:space="preserve"> </w:t>
      </w:r>
      <w:r w:rsidR="00091ACE" w:rsidRPr="00196F93">
        <w:rPr>
          <w:rFonts w:cs="Times New Roman"/>
          <w:color w:val="000000" w:themeColor="text1"/>
        </w:rPr>
        <w:t>in accordance with the GHG Protocol rules</w:t>
      </w:r>
      <w:r w:rsidR="0062788D">
        <w:rPr>
          <w:rFonts w:cs="Times New Roman"/>
          <w:color w:val="000000" w:themeColor="text1"/>
        </w:rPr>
        <w:t>—</w:t>
      </w:r>
      <w:r w:rsidR="00091ACE" w:rsidRPr="00196F93">
        <w:rPr>
          <w:rFonts w:cs="Times New Roman"/>
          <w:color w:val="000000" w:themeColor="text1"/>
        </w:rPr>
        <w:t>in line with the EU.</w:t>
      </w:r>
      <w:r w:rsidR="00091ACE" w:rsidRPr="00091ACE">
        <w:rPr>
          <w:rStyle w:val="FootnoteReference"/>
          <w:rFonts w:cs="Times New Roman"/>
          <w:color w:val="000000" w:themeColor="text1"/>
        </w:rPr>
        <w:footnoteReference w:id="28"/>
      </w:r>
      <w:r w:rsidR="00091ACE" w:rsidRPr="00091ACE">
        <w:rPr>
          <w:rFonts w:cs="Times New Roman"/>
          <w:color w:val="000000" w:themeColor="text1"/>
        </w:rPr>
        <w:t xml:space="preserve"> </w:t>
      </w:r>
      <w:r w:rsidR="00040505" w:rsidRPr="00196F93">
        <w:rPr>
          <w:rFonts w:cs="Times New Roman"/>
          <w:color w:val="000000" w:themeColor="text1"/>
        </w:rPr>
        <w:t xml:space="preserve">The </w:t>
      </w:r>
      <w:r w:rsidRPr="00196F93">
        <w:rPr>
          <w:rFonts w:cs="Times New Roman"/>
          <w:color w:val="000000" w:themeColor="text1"/>
        </w:rPr>
        <w:t xml:space="preserve">stated </w:t>
      </w:r>
      <w:r w:rsidR="00091ACE" w:rsidRPr="00196F93">
        <w:rPr>
          <w:rFonts w:cs="Times New Roman"/>
          <w:color w:val="000000" w:themeColor="text1"/>
        </w:rPr>
        <w:t xml:space="preserve">purpose </w:t>
      </w:r>
      <w:r w:rsidR="00091ACE">
        <w:rPr>
          <w:rFonts w:cs="Times New Roman"/>
          <w:color w:val="000000" w:themeColor="text1"/>
        </w:rPr>
        <w:t xml:space="preserve">of the laws is </w:t>
      </w:r>
      <w:r w:rsidR="00091ACE" w:rsidRPr="00196F93">
        <w:rPr>
          <w:rFonts w:cs="Times New Roman"/>
          <w:color w:val="000000" w:themeColor="text1"/>
        </w:rPr>
        <w:t>“to increase transparency and corporate accountability in an effort to move California towards a net-zero carbon economy</w:t>
      </w:r>
      <w:r w:rsidR="00091ACE">
        <w:rPr>
          <w:rFonts w:cs="Times New Roman"/>
          <w:color w:val="000000" w:themeColor="text1"/>
        </w:rPr>
        <w:t xml:space="preserve">”, and </w:t>
      </w:r>
      <w:r w:rsidR="00040505" w:rsidRPr="00196F93">
        <w:rPr>
          <w:rFonts w:cs="Times New Roman"/>
          <w:color w:val="000000" w:themeColor="text1"/>
        </w:rPr>
        <w:t>“</w:t>
      </w:r>
      <w:r w:rsidRPr="00196F93">
        <w:rPr>
          <w:rFonts w:cs="Times New Roman"/>
          <w:color w:val="000000" w:themeColor="text1"/>
        </w:rPr>
        <w:t>to address the impact of climate change on California</w:t>
      </w:r>
      <w:r w:rsidR="006D282B">
        <w:rPr>
          <w:rFonts w:cs="Times New Roman"/>
          <w:color w:val="000000" w:themeColor="text1"/>
        </w:rPr>
        <w:t>’</w:t>
      </w:r>
      <w:r w:rsidRPr="00196F93">
        <w:rPr>
          <w:rFonts w:cs="Times New Roman"/>
          <w:color w:val="000000" w:themeColor="text1"/>
        </w:rPr>
        <w:t>s residents and economy, as the state already faces devastating wildfires, rising sea levels, droughts, and other extreme-impacting events</w:t>
      </w:r>
      <w:r w:rsidR="00091ACE">
        <w:rPr>
          <w:rFonts w:cs="Times New Roman"/>
          <w:color w:val="000000" w:themeColor="text1"/>
        </w:rPr>
        <w:t>.</w:t>
      </w:r>
      <w:r w:rsidR="00040505" w:rsidRPr="00196F93">
        <w:rPr>
          <w:rFonts w:cs="Times New Roman"/>
          <w:color w:val="000000" w:themeColor="text1"/>
        </w:rPr>
        <w:t>”</w:t>
      </w:r>
      <w:bookmarkStart w:id="33" w:name="OLE_LINK48"/>
      <w:r w:rsidRPr="00196F93">
        <w:rPr>
          <w:rStyle w:val="FootnoteReference"/>
          <w:rFonts w:cs="Times New Roman"/>
          <w:color w:val="000000" w:themeColor="text1"/>
        </w:rPr>
        <w:footnoteReference w:id="29"/>
      </w:r>
      <w:bookmarkEnd w:id="33"/>
    </w:p>
    <w:p w14:paraId="68732A16" w14:textId="08305EFC" w:rsidR="004F3F80" w:rsidRPr="00196F93" w:rsidRDefault="00583C06" w:rsidP="00B71A8C">
      <w:pPr>
        <w:spacing w:line="480" w:lineRule="auto"/>
        <w:ind w:firstLine="720"/>
        <w:contextualSpacing/>
        <w:rPr>
          <w:rFonts w:cs="Times New Roman"/>
          <w:color w:val="000000" w:themeColor="text1"/>
        </w:rPr>
      </w:pPr>
      <w:r w:rsidRPr="00196F93">
        <w:rPr>
          <w:rFonts w:cs="Times New Roman"/>
          <w:color w:val="000000" w:themeColor="text1"/>
        </w:rPr>
        <w:t>The disclosure requirements include AB 1305 (net-zero, carbon neutrality, emissions reduction claims</w:t>
      </w:r>
      <w:r w:rsidR="00091ACE">
        <w:rPr>
          <w:rFonts w:cs="Times New Roman"/>
          <w:color w:val="000000" w:themeColor="text1"/>
        </w:rPr>
        <w:t>,</w:t>
      </w:r>
      <w:r w:rsidRPr="00196F93">
        <w:rPr>
          <w:rFonts w:cs="Times New Roman"/>
          <w:color w:val="000000" w:themeColor="text1"/>
        </w:rPr>
        <w:t xml:space="preserve"> and use of carbon offsets); SB 253 (</w:t>
      </w:r>
      <w:r w:rsidR="00091ACE">
        <w:rPr>
          <w:rFonts w:cs="Times New Roman"/>
          <w:color w:val="000000" w:themeColor="text1"/>
        </w:rPr>
        <w:t>GHG emissions</w:t>
      </w:r>
      <w:r w:rsidRPr="00196F93">
        <w:rPr>
          <w:rFonts w:cs="Times New Roman"/>
          <w:color w:val="000000" w:themeColor="text1"/>
        </w:rPr>
        <w:t>); and SB 261, (biennial reports disclos</w:t>
      </w:r>
      <w:r w:rsidR="00091ACE">
        <w:rPr>
          <w:rFonts w:cs="Times New Roman"/>
          <w:color w:val="000000" w:themeColor="text1"/>
        </w:rPr>
        <w:t>ing</w:t>
      </w:r>
      <w:r w:rsidRPr="00196F93">
        <w:rPr>
          <w:rFonts w:cs="Times New Roman"/>
          <w:color w:val="000000" w:themeColor="text1"/>
        </w:rPr>
        <w:t xml:space="preserve"> climate-related financial risks and mitigation measures).</w:t>
      </w:r>
      <w:bookmarkStart w:id="34" w:name="_Ref191564456"/>
      <w:r w:rsidRPr="00196F93">
        <w:rPr>
          <w:rStyle w:val="FootnoteReference"/>
          <w:rFonts w:cs="Times New Roman"/>
          <w:color w:val="000000" w:themeColor="text1"/>
        </w:rPr>
        <w:footnoteReference w:id="30"/>
      </w:r>
      <w:bookmarkEnd w:id="34"/>
      <w:r w:rsidRPr="00196F93">
        <w:rPr>
          <w:rFonts w:cs="Times New Roman"/>
          <w:color w:val="000000" w:themeColor="text1"/>
        </w:rPr>
        <w:t xml:space="preserve"> </w:t>
      </w:r>
      <w:r w:rsidR="00664B5B" w:rsidRPr="00196F93">
        <w:rPr>
          <w:rFonts w:cs="Times New Roman"/>
          <w:color w:val="000000" w:themeColor="text1"/>
        </w:rPr>
        <w:t>SB 253</w:t>
      </w:r>
      <w:r w:rsidR="0062788D">
        <w:rPr>
          <w:rFonts w:cs="Times New Roman"/>
          <w:color w:val="000000" w:themeColor="text1"/>
        </w:rPr>
        <w:t xml:space="preserve"> </w:t>
      </w:r>
      <w:r w:rsidR="00664B5B" w:rsidRPr="00196F93">
        <w:rPr>
          <w:rFonts w:cs="Times New Roman"/>
          <w:color w:val="000000" w:themeColor="text1"/>
        </w:rPr>
        <w:t xml:space="preserve">will require an estimated 5,300 public and private companies </w:t>
      </w:r>
      <w:r>
        <w:rPr>
          <w:rFonts w:cs="Times New Roman"/>
          <w:color w:val="000000" w:themeColor="text1"/>
        </w:rPr>
        <w:t xml:space="preserve">to </w:t>
      </w:r>
      <w:r w:rsidRPr="00196F93">
        <w:rPr>
          <w:rFonts w:cs="Times New Roman"/>
          <w:color w:val="000000" w:themeColor="text1"/>
        </w:rPr>
        <w:t>report S1 and S2 emissions from 2026, and S3 emissions from 2027—</w:t>
      </w:r>
      <w:r w:rsidR="004B4BB7">
        <w:rPr>
          <w:rFonts w:cs="Times New Roman"/>
          <w:color w:val="000000" w:themeColor="text1"/>
        </w:rPr>
        <w:t>if operating</w:t>
      </w:r>
      <w:r w:rsidRPr="00196F93">
        <w:rPr>
          <w:rFonts w:cs="Times New Roman"/>
          <w:color w:val="000000" w:themeColor="text1"/>
        </w:rPr>
        <w:t xml:space="preserve"> California and </w:t>
      </w:r>
      <w:r w:rsidR="00091ACE">
        <w:rPr>
          <w:rFonts w:cs="Times New Roman"/>
          <w:color w:val="000000" w:themeColor="text1"/>
        </w:rPr>
        <w:t>generat</w:t>
      </w:r>
      <w:r w:rsidR="004B4BB7">
        <w:rPr>
          <w:rFonts w:cs="Times New Roman"/>
          <w:color w:val="000000" w:themeColor="text1"/>
        </w:rPr>
        <w:t>ing</w:t>
      </w:r>
      <w:r w:rsidRPr="00196F93">
        <w:rPr>
          <w:rFonts w:cs="Times New Roman"/>
          <w:color w:val="000000" w:themeColor="text1"/>
        </w:rPr>
        <w:t xml:space="preserve"> $1 billion in total annual </w:t>
      </w:r>
      <w:r w:rsidR="00091ACE">
        <w:rPr>
          <w:rFonts w:cs="Times New Roman"/>
          <w:color w:val="000000" w:themeColor="text1"/>
        </w:rPr>
        <w:t>revenue</w:t>
      </w:r>
      <w:r w:rsidRPr="00196F93">
        <w:rPr>
          <w:rFonts w:cs="Times New Roman"/>
          <w:color w:val="000000" w:themeColor="text1"/>
        </w:rPr>
        <w:t>.</w:t>
      </w:r>
      <w:r w:rsidRPr="00196F93">
        <w:rPr>
          <w:rStyle w:val="FootnoteReference"/>
          <w:rFonts w:cs="Times New Roman"/>
          <w:color w:val="000000" w:themeColor="text1"/>
        </w:rPr>
        <w:footnoteReference w:id="31"/>
      </w:r>
      <w:r w:rsidR="000167A9">
        <w:rPr>
          <w:rFonts w:cs="Times New Roman"/>
          <w:color w:val="000000" w:themeColor="text1"/>
        </w:rPr>
        <w:t xml:space="preserve"> </w:t>
      </w:r>
      <w:r w:rsidR="00664B5B" w:rsidRPr="00196F93">
        <w:rPr>
          <w:rFonts w:cs="Times New Roman"/>
          <w:color w:val="000000" w:themeColor="text1"/>
        </w:rPr>
        <w:t>SB 261</w:t>
      </w:r>
      <w:r w:rsidR="00091ACE">
        <w:rPr>
          <w:rFonts w:cs="Times New Roman"/>
          <w:color w:val="000000" w:themeColor="text1"/>
        </w:rPr>
        <w:t xml:space="preserve"> </w:t>
      </w:r>
      <w:r w:rsidR="00664B5B" w:rsidRPr="00196F93">
        <w:rPr>
          <w:rFonts w:cs="Times New Roman"/>
          <w:color w:val="000000" w:themeColor="text1"/>
        </w:rPr>
        <w:t xml:space="preserve">will require an estimated 10,000 public and private companies </w:t>
      </w:r>
      <w:r w:rsidR="00040505" w:rsidRPr="00196F93">
        <w:rPr>
          <w:rFonts w:cs="Times New Roman"/>
          <w:color w:val="000000" w:themeColor="text1"/>
        </w:rPr>
        <w:t xml:space="preserve">to report climate-related financial risks from 2026—provided they operate </w:t>
      </w:r>
      <w:r w:rsidR="00664B5B" w:rsidRPr="00196F93">
        <w:rPr>
          <w:rFonts w:cs="Times New Roman"/>
          <w:color w:val="000000" w:themeColor="text1"/>
        </w:rPr>
        <w:t xml:space="preserve">in California and </w:t>
      </w:r>
      <w:r w:rsidR="00091ACE">
        <w:rPr>
          <w:rFonts w:cs="Times New Roman"/>
          <w:color w:val="000000" w:themeColor="text1"/>
        </w:rPr>
        <w:t>generate</w:t>
      </w:r>
      <w:r w:rsidR="00091ACE" w:rsidRPr="00196F93">
        <w:rPr>
          <w:rFonts w:cs="Times New Roman"/>
          <w:color w:val="000000" w:themeColor="text1"/>
        </w:rPr>
        <w:t xml:space="preserve"> </w:t>
      </w:r>
      <w:r w:rsidR="00664B5B" w:rsidRPr="00196F93">
        <w:rPr>
          <w:rFonts w:cs="Times New Roman"/>
          <w:color w:val="000000" w:themeColor="text1"/>
        </w:rPr>
        <w:t>$500 million in annual revenue</w:t>
      </w:r>
      <w:r w:rsidR="00040505" w:rsidRPr="00196F93">
        <w:rPr>
          <w:rFonts w:cs="Times New Roman"/>
          <w:color w:val="000000" w:themeColor="text1"/>
        </w:rPr>
        <w:t>.</w:t>
      </w:r>
      <w:r w:rsidR="00664B5B" w:rsidRPr="00196F93">
        <w:rPr>
          <w:rStyle w:val="FootnoteReference"/>
          <w:rFonts w:cs="Times New Roman"/>
          <w:color w:val="000000" w:themeColor="text1"/>
        </w:rPr>
        <w:footnoteReference w:id="32"/>
      </w:r>
      <w:r w:rsidR="00664B5B" w:rsidRPr="00196F93">
        <w:rPr>
          <w:rFonts w:cs="Times New Roman"/>
          <w:color w:val="000000" w:themeColor="text1"/>
        </w:rPr>
        <w:t xml:space="preserve"> </w:t>
      </w:r>
    </w:p>
    <w:p w14:paraId="331AD099" w14:textId="3E3FDDBC" w:rsidR="0004276A" w:rsidRDefault="00091ACE" w:rsidP="00B71A8C">
      <w:pPr>
        <w:spacing w:line="480" w:lineRule="auto"/>
        <w:ind w:firstLine="720"/>
        <w:contextualSpacing/>
        <w:rPr>
          <w:rFonts w:cs="Times New Roman"/>
          <w:color w:val="000000" w:themeColor="text1"/>
        </w:rPr>
      </w:pPr>
      <w:r>
        <w:rPr>
          <w:rFonts w:cs="Times New Roman"/>
          <w:color w:val="000000" w:themeColor="text1"/>
        </w:rPr>
        <w:t>SB 253</w:t>
      </w:r>
      <w:r w:rsidR="004F3F80" w:rsidRPr="00196F93">
        <w:rPr>
          <w:rFonts w:cs="Times New Roman"/>
          <w:color w:val="000000" w:themeColor="text1"/>
        </w:rPr>
        <w:t xml:space="preserve"> </w:t>
      </w:r>
      <w:r w:rsidR="0062788D">
        <w:rPr>
          <w:rFonts w:cs="Times New Roman"/>
          <w:color w:val="000000" w:themeColor="text1"/>
        </w:rPr>
        <w:t>provides for</w:t>
      </w:r>
      <w:r>
        <w:rPr>
          <w:rFonts w:cs="Times New Roman"/>
          <w:color w:val="000000" w:themeColor="text1"/>
        </w:rPr>
        <w:t xml:space="preserve"> </w:t>
      </w:r>
      <w:r w:rsidR="004F3F80" w:rsidRPr="00196F93">
        <w:rPr>
          <w:rFonts w:cs="Times New Roman"/>
          <w:color w:val="000000" w:themeColor="text1"/>
        </w:rPr>
        <w:t xml:space="preserve">penalties up to $500,000 for late or noncompliant reporting, </w:t>
      </w:r>
      <w:r>
        <w:rPr>
          <w:rFonts w:cs="Times New Roman"/>
          <w:color w:val="000000" w:themeColor="text1"/>
        </w:rPr>
        <w:t xml:space="preserve">however, </w:t>
      </w:r>
      <w:r w:rsidR="00583C06">
        <w:rPr>
          <w:rFonts w:cs="Times New Roman"/>
          <w:color w:val="000000" w:themeColor="text1"/>
        </w:rPr>
        <w:t xml:space="preserve">somewhat </w:t>
      </w:r>
      <w:r>
        <w:rPr>
          <w:rFonts w:cs="Times New Roman"/>
          <w:color w:val="000000" w:themeColor="text1"/>
        </w:rPr>
        <w:t>akin to</w:t>
      </w:r>
      <w:r w:rsidR="00583C06">
        <w:rPr>
          <w:rFonts w:cs="Times New Roman"/>
          <w:color w:val="000000" w:themeColor="text1"/>
        </w:rPr>
        <w:t xml:space="preserve"> the SEC, also</w:t>
      </w:r>
      <w:r w:rsidR="004F3F80" w:rsidRPr="00196F93">
        <w:rPr>
          <w:rFonts w:cs="Times New Roman"/>
          <w:color w:val="000000" w:themeColor="text1"/>
        </w:rPr>
        <w:t xml:space="preserve"> “adopts a safe harbor for </w:t>
      </w:r>
      <w:r w:rsidR="004B4BB7">
        <w:rPr>
          <w:rFonts w:cs="Times New Roman"/>
          <w:color w:val="000000" w:themeColor="text1"/>
        </w:rPr>
        <w:t>[S3]</w:t>
      </w:r>
      <w:r w:rsidR="004F3F80" w:rsidRPr="00196F93">
        <w:rPr>
          <w:rFonts w:cs="Times New Roman"/>
          <w:color w:val="000000" w:themeColor="text1"/>
        </w:rPr>
        <w:t xml:space="preserve"> such that (i) penalties will not apply to any misstatements regarding </w:t>
      </w:r>
      <w:r w:rsidR="004B4BB7">
        <w:rPr>
          <w:rFonts w:cs="Times New Roman"/>
          <w:color w:val="000000" w:themeColor="text1"/>
        </w:rPr>
        <w:t>[S3]</w:t>
      </w:r>
      <w:r w:rsidR="004F3F80" w:rsidRPr="00196F93">
        <w:rPr>
          <w:rFonts w:cs="Times New Roman"/>
          <w:color w:val="000000" w:themeColor="text1"/>
        </w:rPr>
        <w:t xml:space="preserve"> emissions that were </w:t>
      </w:r>
      <w:r w:rsidR="00753A8D">
        <w:rPr>
          <w:rFonts w:cs="Times New Roman"/>
          <w:color w:val="000000" w:themeColor="text1"/>
        </w:rPr>
        <w:t>‘</w:t>
      </w:r>
      <w:r w:rsidR="004F3F80" w:rsidRPr="00196F93">
        <w:rPr>
          <w:rFonts w:cs="Times New Roman"/>
          <w:color w:val="000000" w:themeColor="text1"/>
        </w:rPr>
        <w:t>made with a reasonable basis and disclosed in good faith</w:t>
      </w:r>
      <w:r w:rsidR="00753A8D">
        <w:rPr>
          <w:rFonts w:cs="Times New Roman"/>
          <w:color w:val="000000" w:themeColor="text1"/>
        </w:rPr>
        <w:t>’,</w:t>
      </w:r>
      <w:r w:rsidR="004F3F80" w:rsidRPr="00196F93">
        <w:rPr>
          <w:rFonts w:cs="Times New Roman"/>
          <w:color w:val="000000" w:themeColor="text1"/>
        </w:rPr>
        <w:t xml:space="preserve">  and (ii) until 2030, penalties will only be assessed on </w:t>
      </w:r>
      <w:r w:rsidR="00E93ABC">
        <w:rPr>
          <w:rFonts w:cs="Times New Roman"/>
          <w:color w:val="000000" w:themeColor="text1"/>
        </w:rPr>
        <w:t>[S3]</w:t>
      </w:r>
      <w:r w:rsidR="004F3F80" w:rsidRPr="00196F93">
        <w:rPr>
          <w:rFonts w:cs="Times New Roman"/>
          <w:color w:val="000000" w:themeColor="text1"/>
        </w:rPr>
        <w:t xml:space="preserve"> reporting for non-filing.”</w:t>
      </w:r>
      <w:r w:rsidR="00753A8D" w:rsidRPr="00196F93">
        <w:rPr>
          <w:rStyle w:val="FootnoteReference"/>
          <w:rFonts w:cs="Times New Roman"/>
          <w:color w:val="000000" w:themeColor="text1"/>
        </w:rPr>
        <w:footnoteReference w:id="33"/>
      </w:r>
      <w:r w:rsidR="004F3F80" w:rsidRPr="00196F93">
        <w:rPr>
          <w:rFonts w:cs="Times New Roman"/>
          <w:color w:val="000000" w:themeColor="text1"/>
        </w:rPr>
        <w:t xml:space="preserve"> Companies will</w:t>
      </w:r>
      <w:r w:rsidR="00E93ABC">
        <w:rPr>
          <w:rFonts w:cs="Times New Roman"/>
          <w:color w:val="000000" w:themeColor="text1"/>
        </w:rPr>
        <w:t xml:space="preserve"> thus</w:t>
      </w:r>
      <w:r w:rsidR="004F3F80" w:rsidRPr="00196F93">
        <w:rPr>
          <w:rFonts w:cs="Times New Roman"/>
          <w:color w:val="000000" w:themeColor="text1"/>
        </w:rPr>
        <w:t xml:space="preserve"> be “more protected from liability, at least until 2030, than those disclosing under the SEC climate rules” and will be punished only if they do not disclose </w:t>
      </w:r>
      <w:r w:rsidR="00E93ABC">
        <w:rPr>
          <w:rFonts w:cs="Times New Roman"/>
          <w:color w:val="000000" w:themeColor="text1"/>
        </w:rPr>
        <w:t>[S3]</w:t>
      </w:r>
      <w:r w:rsidR="004F3F80" w:rsidRPr="00196F93">
        <w:rPr>
          <w:rFonts w:cs="Times New Roman"/>
          <w:color w:val="000000" w:themeColor="text1"/>
        </w:rPr>
        <w:t xml:space="preserve"> at al</w:t>
      </w:r>
      <w:r w:rsidR="004B4BB7">
        <w:rPr>
          <w:rFonts w:cs="Times New Roman"/>
          <w:color w:val="000000" w:themeColor="text1"/>
        </w:rPr>
        <w:t>l,” while companies</w:t>
      </w:r>
      <w:r w:rsidR="004F3F80" w:rsidRPr="00196F93">
        <w:rPr>
          <w:rFonts w:cs="Times New Roman"/>
          <w:color w:val="000000" w:themeColor="text1"/>
        </w:rPr>
        <w:t xml:space="preserve"> </w:t>
      </w:r>
      <w:r w:rsidR="004B4BB7">
        <w:rPr>
          <w:rFonts w:cs="Times New Roman"/>
          <w:color w:val="000000" w:themeColor="text1"/>
        </w:rPr>
        <w:t>“</w:t>
      </w:r>
      <w:r w:rsidR="004F3F80" w:rsidRPr="00196F93">
        <w:rPr>
          <w:rFonts w:cs="Times New Roman"/>
          <w:color w:val="000000" w:themeColor="text1"/>
        </w:rPr>
        <w:t>are only exempt from liability under the SEC's safe harbor provisions if they show to be acting in good faith or on a reasonable basis</w:t>
      </w:r>
      <w:r w:rsidR="000167A9">
        <w:rPr>
          <w:rFonts w:cs="Times New Roman"/>
          <w:color w:val="000000" w:themeColor="text1"/>
        </w:rPr>
        <w:t>.</w:t>
      </w:r>
      <w:r w:rsidR="004F3F80" w:rsidRPr="00196F93">
        <w:rPr>
          <w:rFonts w:cs="Times New Roman"/>
          <w:color w:val="000000" w:themeColor="text1"/>
        </w:rPr>
        <w:t>”</w:t>
      </w:r>
      <w:r w:rsidR="004F3F80" w:rsidRPr="00196F93">
        <w:rPr>
          <w:rStyle w:val="FootnoteReference"/>
          <w:rFonts w:cs="Times New Roman"/>
          <w:color w:val="000000" w:themeColor="text1"/>
        </w:rPr>
        <w:footnoteReference w:id="34"/>
      </w:r>
      <w:r w:rsidR="004F3F80" w:rsidRPr="00196F93">
        <w:rPr>
          <w:rFonts w:cs="Times New Roman"/>
          <w:color w:val="000000" w:themeColor="text1"/>
        </w:rPr>
        <w:t xml:space="preserve"> The C</w:t>
      </w:r>
      <w:r w:rsidR="00A025E3">
        <w:rPr>
          <w:rFonts w:cs="Times New Roman"/>
          <w:color w:val="000000" w:themeColor="text1"/>
        </w:rPr>
        <w:t>A Climate Laws</w:t>
      </w:r>
      <w:r w:rsidR="004F3F80" w:rsidRPr="00196F93">
        <w:rPr>
          <w:rFonts w:cs="Times New Roman"/>
          <w:color w:val="000000" w:themeColor="text1"/>
        </w:rPr>
        <w:t xml:space="preserve"> thus </w:t>
      </w:r>
      <w:r w:rsidR="008A2A84" w:rsidRPr="00196F93">
        <w:rPr>
          <w:rFonts w:cs="Times New Roman"/>
          <w:color w:val="000000" w:themeColor="text1"/>
        </w:rPr>
        <w:t>prioritize</w:t>
      </w:r>
      <w:r w:rsidR="004B4BB7">
        <w:rPr>
          <w:rFonts w:cs="Times New Roman"/>
          <w:color w:val="000000" w:themeColor="text1"/>
        </w:rPr>
        <w:t>s</w:t>
      </w:r>
      <w:r w:rsidR="008A2A84" w:rsidRPr="00196F93">
        <w:rPr>
          <w:rFonts w:cs="Times New Roman"/>
          <w:color w:val="000000" w:themeColor="text1"/>
        </w:rPr>
        <w:t xml:space="preserve"> </w:t>
      </w:r>
      <w:r>
        <w:rPr>
          <w:rFonts w:cs="Times New Roman"/>
          <w:color w:val="000000" w:themeColor="text1"/>
        </w:rPr>
        <w:t xml:space="preserve">climate transparency </w:t>
      </w:r>
      <w:r w:rsidR="009365B4" w:rsidRPr="00196F93">
        <w:rPr>
          <w:rFonts w:cs="Times New Roman"/>
          <w:color w:val="000000" w:themeColor="text1"/>
        </w:rPr>
        <w:t>requirin</w:t>
      </w:r>
      <w:r w:rsidR="004B4BB7">
        <w:rPr>
          <w:rFonts w:cs="Times New Roman"/>
          <w:color w:val="000000" w:themeColor="text1"/>
        </w:rPr>
        <w:t>g</w:t>
      </w:r>
      <w:r w:rsidR="00E93ABC" w:rsidRPr="00196F93">
        <w:rPr>
          <w:rFonts w:cs="Times New Roman"/>
          <w:color w:val="000000" w:themeColor="text1"/>
        </w:rPr>
        <w:t xml:space="preserve"> </w:t>
      </w:r>
      <w:r w:rsidR="008A2A84" w:rsidRPr="00196F93">
        <w:rPr>
          <w:rFonts w:cs="Times New Roman"/>
          <w:color w:val="000000" w:themeColor="text1"/>
        </w:rPr>
        <w:t xml:space="preserve">reasonable attempts to </w:t>
      </w:r>
      <w:r w:rsidR="004B4BB7">
        <w:rPr>
          <w:rFonts w:cs="Times New Roman"/>
          <w:color w:val="000000" w:themeColor="text1"/>
        </w:rPr>
        <w:t>begin</w:t>
      </w:r>
      <w:r w:rsidR="004B4BB7" w:rsidRPr="00196F93">
        <w:rPr>
          <w:rFonts w:cs="Times New Roman"/>
          <w:color w:val="000000" w:themeColor="text1"/>
        </w:rPr>
        <w:t xml:space="preserve"> </w:t>
      </w:r>
      <w:r w:rsidR="008A2A84" w:rsidRPr="00196F93">
        <w:rPr>
          <w:rFonts w:cs="Times New Roman"/>
          <w:color w:val="000000" w:themeColor="text1"/>
        </w:rPr>
        <w:t>tracking and disclosing S3 emissions</w:t>
      </w:r>
      <w:r>
        <w:rPr>
          <w:rFonts w:cs="Times New Roman"/>
          <w:color w:val="000000" w:themeColor="text1"/>
        </w:rPr>
        <w:t>.</w:t>
      </w:r>
      <w:r w:rsidR="008A2A84" w:rsidRPr="00196F93">
        <w:rPr>
          <w:rFonts w:cs="Times New Roman"/>
          <w:color w:val="000000" w:themeColor="text1"/>
        </w:rPr>
        <w:t xml:space="preserve"> </w:t>
      </w:r>
    </w:p>
    <w:p w14:paraId="034A2BC7" w14:textId="491380B6" w:rsidR="00481D48" w:rsidRPr="00B71A8C" w:rsidRDefault="0004276A" w:rsidP="00B71A8C">
      <w:pPr>
        <w:spacing w:line="360" w:lineRule="auto"/>
        <w:contextualSpacing/>
        <w:rPr>
          <w:rFonts w:cs="Times New Roman"/>
          <w:color w:val="000000" w:themeColor="text1"/>
        </w:rPr>
      </w:pPr>
      <w:r>
        <w:rPr>
          <w:color w:val="000000" w:themeColor="text1"/>
        </w:rPr>
        <w:t xml:space="preserve">  </w:t>
      </w:r>
      <w:r w:rsidR="00481D48" w:rsidRPr="00B71A8C">
        <w:rPr>
          <w:color w:val="000000" w:themeColor="text1"/>
        </w:rPr>
        <w:t xml:space="preserve">Figure 1: </w:t>
      </w:r>
      <w:r w:rsidR="00481D48" w:rsidRPr="00B71A8C">
        <w:rPr>
          <w:i/>
          <w:iCs/>
          <w:color w:val="000000" w:themeColor="text1"/>
        </w:rPr>
        <w:t>Comparative Features of SEC, California, and EU Sustainability Reporting Frameworks</w:t>
      </w:r>
      <w:r w:rsidR="00481D48" w:rsidRPr="00B71A8C">
        <w:rPr>
          <w:color w:val="000000" w:themeColor="text1"/>
        </w:rPr>
        <w:t xml:space="preserve"> </w:t>
      </w:r>
    </w:p>
    <w:tbl>
      <w:tblPr>
        <w:tblStyle w:val="TableGrid"/>
        <w:tblW w:w="1095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95"/>
        <w:gridCol w:w="2892"/>
        <w:gridCol w:w="3540"/>
        <w:gridCol w:w="3232"/>
      </w:tblGrid>
      <w:tr w:rsidR="00481D48" w14:paraId="1BE0CBCD" w14:textId="77777777" w:rsidTr="00B71A8C">
        <w:trPr>
          <w:trHeight w:val="329"/>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00000" w:themeFill="text1"/>
            <w:vAlign w:val="center"/>
            <w:hideMark/>
          </w:tcPr>
          <w:p w14:paraId="4F7E23B8" w14:textId="77777777" w:rsidR="00481D48" w:rsidRPr="00A0694B" w:rsidRDefault="00481D48" w:rsidP="00B71A8C">
            <w:pPr>
              <w:ind w:left="0"/>
              <w:contextualSpacing/>
              <w:rPr>
                <w:rFonts w:cs="Times New Roman"/>
                <w:b/>
                <w:bCs/>
                <w:color w:val="FFFFFF" w:themeColor="background1"/>
                <w:sz w:val="18"/>
                <w:szCs w:val="18"/>
                <w:u w:val="single"/>
              </w:rPr>
            </w:pPr>
            <w:r w:rsidRPr="00A0694B">
              <w:rPr>
                <w:rFonts w:cs="Times New Roman"/>
                <w:color w:val="FFFFFF" w:themeColor="background1"/>
                <w:sz w:val="18"/>
                <w:szCs w:val="18"/>
              </w:rPr>
              <w:t>Feature</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00000" w:themeFill="text1"/>
            <w:vAlign w:val="center"/>
            <w:hideMark/>
          </w:tcPr>
          <w:p w14:paraId="352D2D0D" w14:textId="77777777" w:rsidR="00481D48" w:rsidRPr="00A0694B" w:rsidRDefault="00481D48" w:rsidP="00B71A8C">
            <w:pPr>
              <w:ind w:left="0"/>
              <w:contextualSpacing/>
              <w:jc w:val="center"/>
              <w:rPr>
                <w:rFonts w:cs="Times New Roman"/>
                <w:b/>
                <w:bCs/>
                <w:color w:val="FFFFFF" w:themeColor="background1"/>
                <w:sz w:val="18"/>
                <w:szCs w:val="18"/>
              </w:rPr>
            </w:pPr>
            <w:r w:rsidRPr="00A0694B">
              <w:rPr>
                <w:rFonts w:cs="Times New Roman"/>
                <w:b/>
                <w:bCs/>
                <w:color w:val="FFFFFF" w:themeColor="background1"/>
                <w:sz w:val="18"/>
                <w:szCs w:val="18"/>
              </w:rPr>
              <w:t>US SEC</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00000" w:themeFill="text1"/>
            <w:vAlign w:val="center"/>
            <w:hideMark/>
          </w:tcPr>
          <w:p w14:paraId="21262916" w14:textId="77777777" w:rsidR="00481D48" w:rsidRPr="00A0694B" w:rsidRDefault="00481D48" w:rsidP="00B71A8C">
            <w:pPr>
              <w:ind w:left="0"/>
              <w:contextualSpacing/>
              <w:jc w:val="center"/>
              <w:rPr>
                <w:rFonts w:cs="Times New Roman"/>
                <w:b/>
                <w:bCs/>
                <w:color w:val="FFFFFF" w:themeColor="background1"/>
                <w:sz w:val="18"/>
                <w:szCs w:val="18"/>
              </w:rPr>
            </w:pPr>
            <w:r w:rsidRPr="00A0694B">
              <w:rPr>
                <w:rFonts w:cs="Times New Roman"/>
                <w:b/>
                <w:bCs/>
                <w:color w:val="FFFFFF" w:themeColor="background1"/>
                <w:sz w:val="18"/>
                <w:szCs w:val="18"/>
              </w:rPr>
              <w:t>California</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000000" w:themeFill="text1"/>
            <w:vAlign w:val="center"/>
            <w:hideMark/>
          </w:tcPr>
          <w:p w14:paraId="5002F0E8" w14:textId="77777777" w:rsidR="00481D48" w:rsidRPr="00A0694B" w:rsidRDefault="00481D48" w:rsidP="00B71A8C">
            <w:pPr>
              <w:ind w:left="0"/>
              <w:contextualSpacing/>
              <w:jc w:val="center"/>
              <w:rPr>
                <w:rFonts w:cs="Times New Roman"/>
                <w:b/>
                <w:bCs/>
                <w:color w:val="FFFFFF" w:themeColor="background1"/>
                <w:sz w:val="18"/>
                <w:szCs w:val="18"/>
              </w:rPr>
            </w:pPr>
            <w:r w:rsidRPr="00A0694B">
              <w:rPr>
                <w:rFonts w:cs="Times New Roman"/>
                <w:b/>
                <w:bCs/>
                <w:color w:val="FFFFFF" w:themeColor="background1"/>
                <w:sz w:val="18"/>
                <w:szCs w:val="18"/>
              </w:rPr>
              <w:t>EU CSRD/CS3D</w:t>
            </w:r>
          </w:p>
        </w:tc>
      </w:tr>
      <w:tr w:rsidR="00481D48" w14:paraId="1ADDBA44" w14:textId="77777777" w:rsidTr="00B71A8C">
        <w:trPr>
          <w:trHeight w:val="454"/>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19F730F2" w14:textId="51A5DFB3" w:rsidR="00481D48" w:rsidRPr="00A0694B" w:rsidRDefault="00481D48" w:rsidP="00B71A8C">
            <w:pPr>
              <w:ind w:left="0"/>
              <w:contextualSpacing/>
              <w:rPr>
                <w:rFonts w:cs="Times New Roman"/>
                <w:b/>
                <w:bCs/>
                <w:color w:val="000000" w:themeColor="text1"/>
                <w:sz w:val="18"/>
                <w:szCs w:val="18"/>
              </w:rPr>
            </w:pPr>
            <w:r w:rsidRPr="00A0694B">
              <w:rPr>
                <w:rStyle w:val="ng-star-inserted1"/>
                <w:rFonts w:cs="Times New Roman"/>
                <w:b/>
                <w:bCs/>
                <w:color w:val="000000" w:themeColor="text1"/>
                <w:sz w:val="18"/>
                <w:szCs w:val="18"/>
              </w:rPr>
              <w:t>Scope of Authority</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B1D739B" w14:textId="7777777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Federal</w:t>
            </w:r>
          </w:p>
          <w:p w14:paraId="73E8C3EB" w14:textId="77777777" w:rsidR="00481D48" w:rsidRPr="00B71A8C" w:rsidRDefault="00481D48" w:rsidP="00B71A8C">
            <w:pPr>
              <w:ind w:left="0"/>
              <w:contextualSpacing/>
              <w:jc w:val="center"/>
              <w:rPr>
                <w:sz w:val="16"/>
                <w:szCs w:val="16"/>
              </w:rPr>
            </w:pPr>
            <w:r w:rsidRPr="00B71A8C">
              <w:rPr>
                <w:rStyle w:val="ng-star-inserted1"/>
                <w:rFonts w:cs="Times New Roman"/>
                <w:color w:val="000000" w:themeColor="text1"/>
                <w:sz w:val="16"/>
                <w:szCs w:val="16"/>
              </w:rPr>
              <w:t>(US securities markets)</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3B0FA91" w14:textId="7777777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State</w:t>
            </w:r>
          </w:p>
          <w:p w14:paraId="7789719A" w14:textId="77777777" w:rsidR="00481D48" w:rsidRPr="00B71A8C" w:rsidRDefault="00481D48" w:rsidP="00B71A8C">
            <w:pPr>
              <w:ind w:left="0"/>
              <w:contextualSpacing/>
              <w:jc w:val="center"/>
              <w:rPr>
                <w:sz w:val="16"/>
                <w:szCs w:val="16"/>
              </w:rPr>
            </w:pPr>
            <w:r w:rsidRPr="00B71A8C">
              <w:rPr>
                <w:rStyle w:val="ng-star-inserted1"/>
                <w:rFonts w:cs="Times New Roman"/>
                <w:color w:val="000000" w:themeColor="text1"/>
                <w:sz w:val="16"/>
                <w:szCs w:val="16"/>
              </w:rPr>
              <w:t>(California)</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ED8147B" w14:textId="7777777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Supranational</w:t>
            </w:r>
          </w:p>
          <w:p w14:paraId="7296B654" w14:textId="77777777" w:rsidR="00481D48" w:rsidRPr="00B71A8C" w:rsidRDefault="00481D48" w:rsidP="00B71A8C">
            <w:pPr>
              <w:ind w:left="0"/>
              <w:contextualSpacing/>
              <w:jc w:val="center"/>
              <w:rPr>
                <w:sz w:val="16"/>
                <w:szCs w:val="16"/>
              </w:rPr>
            </w:pPr>
            <w:r w:rsidRPr="00B71A8C">
              <w:rPr>
                <w:rStyle w:val="ng-star-inserted1"/>
                <w:rFonts w:cs="Times New Roman"/>
                <w:color w:val="000000" w:themeColor="text1"/>
                <w:sz w:val="16"/>
                <w:szCs w:val="16"/>
              </w:rPr>
              <w:t>(EU member states)</w:t>
            </w:r>
          </w:p>
        </w:tc>
      </w:tr>
      <w:tr w:rsidR="00481D48" w14:paraId="5541347B" w14:textId="77777777" w:rsidTr="00B71A8C">
        <w:trPr>
          <w:trHeight w:val="598"/>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4E4CFC8D" w14:textId="77777777" w:rsidR="00481D48" w:rsidRPr="00A0694B" w:rsidRDefault="00481D48" w:rsidP="00B71A8C">
            <w:pPr>
              <w:ind w:left="0"/>
              <w:contextualSpacing/>
              <w:rPr>
                <w:rFonts w:cs="Times New Roman"/>
                <w:b/>
                <w:bCs/>
                <w:color w:val="000000" w:themeColor="text1"/>
                <w:sz w:val="18"/>
                <w:szCs w:val="18"/>
              </w:rPr>
            </w:pPr>
            <w:r w:rsidRPr="00A0694B">
              <w:rPr>
                <w:rFonts w:cs="Times New Roman"/>
                <w:b/>
                <w:bCs/>
                <w:color w:val="000000" w:themeColor="text1"/>
                <w:sz w:val="18"/>
                <w:szCs w:val="18"/>
              </w:rPr>
              <w:t>Materiality</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A8184F6"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Single</w:t>
            </w:r>
          </w:p>
          <w:p w14:paraId="55D6C61B"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(Financial)</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B7AD380"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 xml:space="preserve">No Materiality requirement - </w:t>
            </w:r>
            <w:r w:rsidRPr="00B71A8C">
              <w:rPr>
                <w:rFonts w:cs="Times New Roman"/>
                <w:i/>
                <w:iCs/>
                <w:color w:val="000000" w:themeColor="text1"/>
                <w:sz w:val="16"/>
                <w:szCs w:val="16"/>
              </w:rPr>
              <w:t>SB</w:t>
            </w:r>
            <w:r w:rsidRPr="00B71A8C">
              <w:rPr>
                <w:rFonts w:cs="Times New Roman"/>
                <w:color w:val="000000" w:themeColor="text1"/>
                <w:sz w:val="16"/>
                <w:szCs w:val="16"/>
              </w:rPr>
              <w:t xml:space="preserve"> </w:t>
            </w:r>
            <w:r w:rsidRPr="00B71A8C">
              <w:rPr>
                <w:rFonts w:cs="Times New Roman"/>
                <w:i/>
                <w:iCs/>
                <w:color w:val="000000" w:themeColor="text1"/>
                <w:sz w:val="16"/>
                <w:szCs w:val="16"/>
              </w:rPr>
              <w:t>253</w:t>
            </w:r>
          </w:p>
          <w:p w14:paraId="2210993D" w14:textId="77777777" w:rsidR="00481D48" w:rsidRPr="00B71A8C" w:rsidRDefault="00481D48" w:rsidP="00B71A8C">
            <w:pPr>
              <w:ind w:left="0" w:hanging="360"/>
              <w:contextualSpacing/>
              <w:jc w:val="center"/>
              <w:rPr>
                <w:rFonts w:cs="Times New Roman"/>
                <w:color w:val="000000" w:themeColor="text1"/>
                <w:sz w:val="16"/>
                <w:szCs w:val="16"/>
              </w:rPr>
            </w:pPr>
            <w:r w:rsidRPr="00B71A8C">
              <w:rPr>
                <w:rFonts w:cs="Times New Roman"/>
                <w:color w:val="000000" w:themeColor="text1"/>
                <w:sz w:val="16"/>
                <w:szCs w:val="16"/>
              </w:rPr>
              <w:t xml:space="preserve">Financial - </w:t>
            </w:r>
            <w:r w:rsidRPr="00B71A8C">
              <w:rPr>
                <w:rFonts w:cs="Times New Roman"/>
                <w:i/>
                <w:iCs/>
                <w:color w:val="000000" w:themeColor="text1"/>
                <w:sz w:val="16"/>
                <w:szCs w:val="16"/>
              </w:rPr>
              <w:t>SB</w:t>
            </w:r>
            <w:r w:rsidRPr="00B71A8C">
              <w:rPr>
                <w:rFonts w:cs="Times New Roman"/>
                <w:color w:val="000000" w:themeColor="text1"/>
                <w:sz w:val="16"/>
                <w:szCs w:val="16"/>
              </w:rPr>
              <w:t xml:space="preserve"> </w:t>
            </w:r>
            <w:r w:rsidRPr="00B71A8C">
              <w:rPr>
                <w:rFonts w:cs="Times New Roman"/>
                <w:i/>
                <w:iCs/>
                <w:color w:val="000000" w:themeColor="text1"/>
                <w:sz w:val="16"/>
                <w:szCs w:val="16"/>
              </w:rPr>
              <w:t>261</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1D3746D"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Double Materiality</w:t>
            </w:r>
          </w:p>
          <w:p w14:paraId="58266D70"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(Financial and Impact)</w:t>
            </w:r>
          </w:p>
        </w:tc>
      </w:tr>
      <w:tr w:rsidR="00481D48" w14:paraId="34332BA2" w14:textId="77777777" w:rsidTr="00B71A8C">
        <w:trPr>
          <w:trHeight w:val="661"/>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7DDD1325" w14:textId="5A2C9CA0" w:rsidR="00481D48" w:rsidRPr="00B71A8C" w:rsidRDefault="00481D48" w:rsidP="00B71A8C">
            <w:pPr>
              <w:ind w:left="0"/>
              <w:contextualSpacing/>
              <w:rPr>
                <w:rStyle w:val="ng-star-inserted1"/>
                <w:rFonts w:cs="Times New Roman"/>
                <w:b/>
                <w:bCs/>
                <w:color w:val="000000" w:themeColor="text1"/>
                <w:sz w:val="18"/>
                <w:szCs w:val="18"/>
              </w:rPr>
            </w:pPr>
            <w:r w:rsidRPr="00A0694B">
              <w:rPr>
                <w:rFonts w:cs="Times New Roman"/>
                <w:b/>
                <w:bCs/>
                <w:color w:val="000000" w:themeColor="text1"/>
                <w:sz w:val="18"/>
                <w:szCs w:val="18"/>
              </w:rPr>
              <w:t>Targets</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5346A2E" w14:textId="77777777" w:rsidR="00481D48" w:rsidRDefault="00481D48" w:rsidP="00322BF1">
            <w:pPr>
              <w:ind w:left="0"/>
              <w:contextualSpacing/>
              <w:jc w:val="center"/>
              <w:rPr>
                <w:rFonts w:cs="Times New Roman"/>
                <w:color w:val="000000" w:themeColor="text1"/>
                <w:sz w:val="16"/>
                <w:szCs w:val="16"/>
              </w:rPr>
            </w:pPr>
            <w:r w:rsidRPr="00B71A8C">
              <w:rPr>
                <w:rFonts w:cs="Times New Roman"/>
                <w:color w:val="000000" w:themeColor="text1"/>
                <w:sz w:val="16"/>
                <w:szCs w:val="16"/>
              </w:rPr>
              <w:t>S1 &amp; S2</w:t>
            </w:r>
          </w:p>
          <w:p w14:paraId="411C0BF6" w14:textId="77777777" w:rsidR="00EB4CB1" w:rsidRPr="00B71A8C" w:rsidRDefault="00EB4CB1" w:rsidP="00B71A8C">
            <w:pPr>
              <w:ind w:left="0"/>
              <w:contextualSpacing/>
              <w:jc w:val="center"/>
              <w:rPr>
                <w:sz w:val="4"/>
                <w:szCs w:val="4"/>
              </w:rPr>
            </w:pPr>
          </w:p>
          <w:p w14:paraId="66DA243A" w14:textId="7BF7D3D0" w:rsidR="00481D48" w:rsidRPr="00B71A8C" w:rsidRDefault="00481D48" w:rsidP="00B71A8C">
            <w:pPr>
              <w:ind w:left="0"/>
              <w:contextualSpacing/>
              <w:jc w:val="center"/>
              <w:rPr>
                <w:rStyle w:val="ng-star-inserted1"/>
                <w:sz w:val="16"/>
                <w:szCs w:val="16"/>
              </w:rPr>
            </w:pPr>
            <w:r w:rsidRPr="00B71A8C">
              <w:rPr>
                <w:rFonts w:cs="Times New Roman"/>
                <w:color w:val="000000" w:themeColor="text1"/>
                <w:sz w:val="16"/>
                <w:szCs w:val="16"/>
              </w:rPr>
              <w:t>Material Climate targets/goals</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9ACA3C7" w14:textId="77777777" w:rsidR="00481D48" w:rsidRDefault="00481D48" w:rsidP="00322BF1">
            <w:pPr>
              <w:ind w:left="0"/>
              <w:contextualSpacing/>
              <w:jc w:val="center"/>
              <w:rPr>
                <w:rFonts w:cs="Times New Roman"/>
                <w:color w:val="000000" w:themeColor="text1"/>
                <w:sz w:val="16"/>
                <w:szCs w:val="16"/>
              </w:rPr>
            </w:pPr>
            <w:r w:rsidRPr="00B71A8C">
              <w:rPr>
                <w:rFonts w:cs="Times New Roman"/>
                <w:color w:val="000000" w:themeColor="text1"/>
                <w:sz w:val="16"/>
                <w:szCs w:val="16"/>
              </w:rPr>
              <w:t>S1, S2, S3</w:t>
            </w:r>
          </w:p>
          <w:p w14:paraId="24E0BAF1" w14:textId="77777777" w:rsidR="00EB4CB1" w:rsidRPr="00B71A8C" w:rsidRDefault="00EB4CB1" w:rsidP="00B71A8C">
            <w:pPr>
              <w:ind w:left="0"/>
              <w:contextualSpacing/>
              <w:jc w:val="center"/>
              <w:rPr>
                <w:sz w:val="4"/>
                <w:szCs w:val="4"/>
              </w:rPr>
            </w:pPr>
          </w:p>
          <w:p w14:paraId="4C6739B5" w14:textId="5486CC76" w:rsidR="00481D48" w:rsidRPr="00B71A8C" w:rsidRDefault="00481D48" w:rsidP="00B71A8C">
            <w:pPr>
              <w:ind w:left="0" w:hanging="360"/>
              <w:contextualSpacing/>
              <w:jc w:val="center"/>
              <w:rPr>
                <w:rStyle w:val="ng-star-inserted1"/>
                <w:rFonts w:cs="Times New Roman"/>
                <w:color w:val="000000" w:themeColor="text1"/>
                <w:sz w:val="16"/>
                <w:szCs w:val="16"/>
              </w:rPr>
            </w:pPr>
            <w:r w:rsidRPr="00B71A8C">
              <w:rPr>
                <w:rFonts w:cs="Times New Roman"/>
                <w:color w:val="000000" w:themeColor="text1"/>
                <w:sz w:val="16"/>
                <w:szCs w:val="16"/>
              </w:rPr>
              <w:t>Green Marketing</w:t>
            </w:r>
            <w:r w:rsidR="00564C4B" w:rsidRPr="00B71A8C">
              <w:rPr>
                <w:rFonts w:cs="Times New Roman"/>
                <w:color w:val="000000" w:themeColor="text1"/>
                <w:sz w:val="16"/>
                <w:szCs w:val="16"/>
              </w:rPr>
              <w:t xml:space="preserve"> </w:t>
            </w:r>
            <w:r w:rsidRPr="00B71A8C">
              <w:rPr>
                <w:rFonts w:cs="Times New Roman"/>
                <w:color w:val="000000" w:themeColor="text1"/>
                <w:sz w:val="16"/>
                <w:szCs w:val="16"/>
              </w:rPr>
              <w:t>+ S/HR</w:t>
            </w:r>
            <w:r w:rsidR="00564C4B" w:rsidRPr="00B71A8C">
              <w:rPr>
                <w:rFonts w:cs="Times New Roman"/>
                <w:color w:val="000000" w:themeColor="text1"/>
                <w:sz w:val="16"/>
                <w:szCs w:val="16"/>
              </w:rPr>
              <w:t xml:space="preserve"> Supply Chain </w:t>
            </w:r>
            <w:r w:rsidRPr="00B71A8C">
              <w:rPr>
                <w:rFonts w:cs="Times New Roman"/>
                <w:color w:val="000000" w:themeColor="text1"/>
                <w:sz w:val="16"/>
                <w:szCs w:val="16"/>
              </w:rPr>
              <w:t>DD</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2F1DBB55" w14:textId="3D5D7586" w:rsidR="00481D48" w:rsidRDefault="00481D48" w:rsidP="00322BF1">
            <w:pPr>
              <w:ind w:left="0"/>
              <w:contextualSpacing/>
              <w:jc w:val="center"/>
              <w:rPr>
                <w:rFonts w:cs="Times New Roman"/>
                <w:color w:val="000000" w:themeColor="text1"/>
                <w:sz w:val="16"/>
                <w:szCs w:val="16"/>
              </w:rPr>
            </w:pPr>
            <w:r w:rsidRPr="00B71A8C">
              <w:rPr>
                <w:rFonts w:cs="Times New Roman"/>
                <w:color w:val="000000" w:themeColor="text1"/>
                <w:sz w:val="16"/>
                <w:szCs w:val="16"/>
              </w:rPr>
              <w:t>S1,</w:t>
            </w:r>
            <w:r w:rsidR="00AF2D6F">
              <w:rPr>
                <w:rFonts w:cs="Times New Roman"/>
                <w:color w:val="000000" w:themeColor="text1"/>
                <w:sz w:val="16"/>
                <w:szCs w:val="16"/>
              </w:rPr>
              <w:t xml:space="preserve"> </w:t>
            </w:r>
            <w:r w:rsidRPr="00B71A8C">
              <w:rPr>
                <w:rFonts w:cs="Times New Roman"/>
                <w:color w:val="000000" w:themeColor="text1"/>
                <w:sz w:val="16"/>
                <w:szCs w:val="16"/>
              </w:rPr>
              <w:t>S2, &amp; S3</w:t>
            </w:r>
          </w:p>
          <w:p w14:paraId="5C2BF809" w14:textId="77777777" w:rsidR="00EB4CB1" w:rsidRPr="00B71A8C" w:rsidRDefault="00EB4CB1" w:rsidP="00B71A8C">
            <w:pPr>
              <w:ind w:left="0"/>
              <w:contextualSpacing/>
              <w:jc w:val="center"/>
              <w:rPr>
                <w:sz w:val="4"/>
                <w:szCs w:val="4"/>
              </w:rPr>
            </w:pPr>
          </w:p>
          <w:p w14:paraId="22A878E8" w14:textId="0FE0F81B" w:rsidR="00481D48" w:rsidRPr="00B71A8C" w:rsidRDefault="00481D48" w:rsidP="00B71A8C">
            <w:pPr>
              <w:ind w:left="0" w:hanging="360"/>
              <w:contextualSpacing/>
              <w:jc w:val="center"/>
              <w:rPr>
                <w:rStyle w:val="ng-star-inserted1"/>
                <w:rFonts w:cs="Times New Roman"/>
                <w:color w:val="000000" w:themeColor="text1"/>
                <w:sz w:val="16"/>
                <w:szCs w:val="16"/>
              </w:rPr>
            </w:pPr>
            <w:r w:rsidRPr="00B71A8C">
              <w:rPr>
                <w:rFonts w:cs="Times New Roman"/>
                <w:color w:val="000000" w:themeColor="text1"/>
                <w:sz w:val="16"/>
                <w:szCs w:val="16"/>
              </w:rPr>
              <w:t xml:space="preserve">+ </w:t>
            </w:r>
            <w:r w:rsidR="00EB4CB1">
              <w:rPr>
                <w:rFonts w:cs="Times New Roman"/>
                <w:color w:val="000000" w:themeColor="text1"/>
                <w:sz w:val="16"/>
                <w:szCs w:val="16"/>
              </w:rPr>
              <w:t xml:space="preserve">ESG + </w:t>
            </w:r>
            <w:r w:rsidR="00564C4B" w:rsidRPr="00B71A8C">
              <w:rPr>
                <w:rFonts w:cs="Times New Roman"/>
                <w:color w:val="000000" w:themeColor="text1"/>
                <w:sz w:val="16"/>
                <w:szCs w:val="16"/>
              </w:rPr>
              <w:t>S/</w:t>
            </w:r>
            <w:r w:rsidRPr="00B71A8C">
              <w:rPr>
                <w:rFonts w:cs="Times New Roman"/>
                <w:color w:val="000000" w:themeColor="text1"/>
                <w:sz w:val="16"/>
                <w:szCs w:val="16"/>
              </w:rPr>
              <w:t>HR Supply Chain DD</w:t>
            </w:r>
          </w:p>
        </w:tc>
      </w:tr>
      <w:tr w:rsidR="00481D48" w14:paraId="36E34A3A" w14:textId="77777777" w:rsidTr="00B71A8C">
        <w:trPr>
          <w:trHeight w:val="544"/>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2A1DA70A" w14:textId="77777777" w:rsidR="00481D48" w:rsidRPr="00A0694B" w:rsidRDefault="00481D48" w:rsidP="00B71A8C">
            <w:pPr>
              <w:ind w:left="0" w:hanging="360"/>
              <w:contextualSpacing/>
              <w:jc w:val="right"/>
              <w:rPr>
                <w:b/>
                <w:bCs/>
                <w:sz w:val="18"/>
                <w:szCs w:val="18"/>
              </w:rPr>
            </w:pPr>
            <w:r w:rsidRPr="00A0694B">
              <w:rPr>
                <w:rStyle w:val="ng-star-inserted1"/>
                <w:rFonts w:cs="Times New Roman"/>
                <w:b/>
                <w:bCs/>
                <w:color w:val="000000" w:themeColor="text1"/>
                <w:sz w:val="18"/>
                <w:szCs w:val="18"/>
              </w:rPr>
              <w:t>Primary Focus</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E9E0585" w14:textId="7777777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Investor protection</w:t>
            </w:r>
          </w:p>
          <w:p w14:paraId="1F46A5D2" w14:textId="77777777" w:rsidR="00481D48" w:rsidRPr="00B71A8C" w:rsidRDefault="00481D48" w:rsidP="00B71A8C">
            <w:pPr>
              <w:ind w:left="0"/>
              <w:contextualSpacing/>
              <w:jc w:val="center"/>
              <w:rPr>
                <w:sz w:val="16"/>
                <w:szCs w:val="16"/>
              </w:rPr>
            </w:pPr>
            <w:r w:rsidRPr="00B71A8C">
              <w:rPr>
                <w:rStyle w:val="ng-star-inserted1"/>
                <w:rFonts w:cs="Times New Roman"/>
                <w:color w:val="000000" w:themeColor="text1"/>
                <w:sz w:val="16"/>
                <w:szCs w:val="16"/>
              </w:rPr>
              <w:t>Financial materiality</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4542F58" w14:textId="17B63A1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 xml:space="preserve">Environmental outcomes </w:t>
            </w:r>
            <w:r w:rsidR="00564C4B" w:rsidRPr="00B71A8C">
              <w:rPr>
                <w:rStyle w:val="ng-star-inserted1"/>
                <w:rFonts w:cs="Times New Roman"/>
                <w:color w:val="000000" w:themeColor="text1"/>
                <w:sz w:val="16"/>
                <w:szCs w:val="16"/>
              </w:rPr>
              <w:t>(</w:t>
            </w:r>
            <w:r w:rsidRPr="00B71A8C">
              <w:rPr>
                <w:rStyle w:val="ng-star-inserted1"/>
                <w:rFonts w:cs="Times New Roman"/>
                <w:color w:val="000000" w:themeColor="text1"/>
                <w:sz w:val="16"/>
                <w:szCs w:val="16"/>
              </w:rPr>
              <w:t>NZ</w:t>
            </w:r>
            <w:r w:rsidR="00564C4B" w:rsidRPr="00B71A8C">
              <w:rPr>
                <w:rStyle w:val="ng-star-inserted1"/>
                <w:rFonts w:cs="Times New Roman"/>
                <w:color w:val="000000" w:themeColor="text1"/>
                <w:sz w:val="16"/>
                <w:szCs w:val="16"/>
              </w:rPr>
              <w:t>)</w:t>
            </w:r>
          </w:p>
          <w:p w14:paraId="5CA93CCD" w14:textId="77777777" w:rsidR="00481D48" w:rsidRPr="00B71A8C" w:rsidRDefault="00481D48" w:rsidP="00B71A8C">
            <w:pPr>
              <w:ind w:left="0" w:hanging="360"/>
              <w:contextualSpacing/>
              <w:jc w:val="center"/>
              <w:rPr>
                <w:sz w:val="16"/>
                <w:szCs w:val="16"/>
              </w:rPr>
            </w:pPr>
            <w:r w:rsidRPr="00B71A8C">
              <w:rPr>
                <w:rStyle w:val="ng-star-inserted1"/>
                <w:rFonts w:cs="Times New Roman"/>
                <w:color w:val="000000" w:themeColor="text1"/>
                <w:sz w:val="16"/>
                <w:szCs w:val="16"/>
              </w:rPr>
              <w:t>Financial risk</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38E6BA6" w14:textId="77777777" w:rsidR="00481D48" w:rsidRPr="00B71A8C" w:rsidRDefault="00481D48" w:rsidP="00B71A8C">
            <w:pPr>
              <w:ind w:left="0"/>
              <w:contextualSpacing/>
              <w:jc w:val="center"/>
              <w:rPr>
                <w:rStyle w:val="ng-star-inserted1"/>
                <w:sz w:val="16"/>
                <w:szCs w:val="16"/>
              </w:rPr>
            </w:pPr>
            <w:r w:rsidRPr="00B71A8C">
              <w:rPr>
                <w:rStyle w:val="ng-star-inserted1"/>
                <w:rFonts w:cs="Times New Roman"/>
                <w:color w:val="000000" w:themeColor="text1"/>
                <w:sz w:val="16"/>
                <w:szCs w:val="16"/>
              </w:rPr>
              <w:t>Sustainable economy</w:t>
            </w:r>
          </w:p>
          <w:p w14:paraId="69C49DB6" w14:textId="08B7847D" w:rsidR="00481D48" w:rsidRPr="00B71A8C" w:rsidRDefault="00481D48" w:rsidP="00B71A8C">
            <w:pPr>
              <w:ind w:left="0"/>
              <w:contextualSpacing/>
              <w:jc w:val="center"/>
              <w:rPr>
                <w:sz w:val="16"/>
                <w:szCs w:val="16"/>
              </w:rPr>
            </w:pPr>
            <w:r w:rsidRPr="00B71A8C">
              <w:rPr>
                <w:rStyle w:val="ng-star-inserted1"/>
                <w:rFonts w:cs="Times New Roman"/>
                <w:color w:val="000000" w:themeColor="text1"/>
                <w:sz w:val="16"/>
                <w:szCs w:val="16"/>
              </w:rPr>
              <w:t xml:space="preserve">Double </w:t>
            </w:r>
            <w:r w:rsidR="0027451E" w:rsidRPr="00B71A8C">
              <w:rPr>
                <w:rStyle w:val="ng-star-inserted1"/>
                <w:rFonts w:cs="Times New Roman"/>
                <w:color w:val="000000" w:themeColor="text1"/>
                <w:sz w:val="16"/>
                <w:szCs w:val="16"/>
              </w:rPr>
              <w:t>m</w:t>
            </w:r>
            <w:r w:rsidRPr="00B71A8C">
              <w:rPr>
                <w:rStyle w:val="ng-star-inserted1"/>
                <w:rFonts w:cs="Times New Roman"/>
                <w:color w:val="000000" w:themeColor="text1"/>
                <w:sz w:val="16"/>
                <w:szCs w:val="16"/>
              </w:rPr>
              <w:t>ateriality</w:t>
            </w:r>
          </w:p>
        </w:tc>
      </w:tr>
      <w:tr w:rsidR="00481D48" w14:paraId="46C1CCBE" w14:textId="77777777" w:rsidTr="00B71A8C">
        <w:trPr>
          <w:trHeight w:val="616"/>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3D573DB1" w14:textId="21985C9B" w:rsidR="00481D48" w:rsidRPr="00A0694B" w:rsidRDefault="00481D48" w:rsidP="00B71A8C">
            <w:pPr>
              <w:ind w:left="0"/>
              <w:contextualSpacing/>
              <w:rPr>
                <w:rFonts w:cs="Times New Roman"/>
                <w:b/>
                <w:bCs/>
                <w:color w:val="000000" w:themeColor="text1"/>
                <w:sz w:val="18"/>
                <w:szCs w:val="18"/>
              </w:rPr>
            </w:pPr>
            <w:r w:rsidRPr="00A0694B">
              <w:rPr>
                <w:rFonts w:cs="Times New Roman"/>
                <w:b/>
                <w:bCs/>
                <w:color w:val="000000" w:themeColor="text1"/>
                <w:sz w:val="18"/>
                <w:szCs w:val="18"/>
              </w:rPr>
              <w:t>Covered</w:t>
            </w:r>
            <w:r w:rsidR="00AF2D6F">
              <w:rPr>
                <w:rFonts w:cs="Times New Roman"/>
                <w:b/>
                <w:bCs/>
                <w:color w:val="000000" w:themeColor="text1"/>
                <w:sz w:val="18"/>
                <w:szCs w:val="18"/>
              </w:rPr>
              <w:t xml:space="preserve"> Entities</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6E68A6A" w14:textId="69AC6404" w:rsidR="00481D48" w:rsidRDefault="00564C4B" w:rsidP="00322BF1">
            <w:pPr>
              <w:ind w:left="0"/>
              <w:contextualSpacing/>
              <w:jc w:val="center"/>
              <w:rPr>
                <w:rFonts w:cs="Times New Roman"/>
                <w:color w:val="000000" w:themeColor="text1"/>
                <w:sz w:val="16"/>
                <w:szCs w:val="16"/>
              </w:rPr>
            </w:pPr>
            <w:r w:rsidRPr="00B71A8C">
              <w:rPr>
                <w:rFonts w:cs="Times New Roman"/>
                <w:color w:val="000000" w:themeColor="text1"/>
                <w:sz w:val="16"/>
                <w:szCs w:val="16"/>
              </w:rPr>
              <w:t xml:space="preserve">Large </w:t>
            </w:r>
            <w:r w:rsidR="00481D48" w:rsidRPr="00B71A8C">
              <w:rPr>
                <w:rFonts w:cs="Times New Roman"/>
                <w:color w:val="000000" w:themeColor="text1"/>
                <w:sz w:val="16"/>
                <w:szCs w:val="16"/>
              </w:rPr>
              <w:t>Publicly Listed Companies</w:t>
            </w:r>
          </w:p>
          <w:p w14:paraId="51F473C1" w14:textId="77777777" w:rsidR="00EB4CB1" w:rsidRPr="00B71A8C" w:rsidRDefault="00EB4CB1" w:rsidP="00B71A8C">
            <w:pPr>
              <w:ind w:left="0"/>
              <w:contextualSpacing/>
              <w:jc w:val="center"/>
              <w:rPr>
                <w:rFonts w:cs="Times New Roman"/>
                <w:color w:val="000000" w:themeColor="text1"/>
                <w:sz w:val="4"/>
                <w:szCs w:val="4"/>
              </w:rPr>
            </w:pPr>
          </w:p>
          <w:p w14:paraId="6558D98D" w14:textId="40156948" w:rsidR="00481D48" w:rsidRPr="00B71A8C" w:rsidRDefault="00564C4B" w:rsidP="00B71A8C">
            <w:pPr>
              <w:ind w:left="0"/>
              <w:contextualSpacing/>
              <w:jc w:val="center"/>
              <w:rPr>
                <w:rFonts w:cs="Times New Roman"/>
                <w:i/>
                <w:iCs/>
                <w:color w:val="000000" w:themeColor="text1"/>
                <w:sz w:val="16"/>
                <w:szCs w:val="16"/>
              </w:rPr>
            </w:pPr>
            <w:r w:rsidRPr="00B71A8C">
              <w:rPr>
                <w:rFonts w:cs="Times New Roman"/>
                <w:i/>
                <w:iCs/>
                <w:color w:val="000000" w:themeColor="text1"/>
                <w:sz w:val="15"/>
                <w:szCs w:val="15"/>
              </w:rPr>
              <w:t>(</w:t>
            </w:r>
            <w:r w:rsidR="00481D48" w:rsidRPr="00B71A8C">
              <w:rPr>
                <w:rFonts w:cs="Times New Roman"/>
                <w:i/>
                <w:iCs/>
                <w:color w:val="000000" w:themeColor="text1"/>
                <w:sz w:val="15"/>
                <w:szCs w:val="15"/>
              </w:rPr>
              <w:t>subject to Exchange Act reporting</w:t>
            </w:r>
            <w:r w:rsidRPr="00B71A8C">
              <w:rPr>
                <w:rFonts w:cs="Times New Roman"/>
                <w:i/>
                <w:iCs/>
                <w:color w:val="000000" w:themeColor="text1"/>
                <w:sz w:val="15"/>
                <w:szCs w:val="15"/>
              </w:rPr>
              <w:t>)</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C9ED649"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Public + Private</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3A6F53A0" w14:textId="77777777" w:rsidR="00564C4B"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Public + Private</w:t>
            </w:r>
            <w:r w:rsidR="00564C4B" w:rsidRPr="00B71A8C">
              <w:rPr>
                <w:rFonts w:cs="Times New Roman"/>
                <w:color w:val="000000" w:themeColor="text1"/>
                <w:sz w:val="16"/>
                <w:szCs w:val="16"/>
              </w:rPr>
              <w:t xml:space="preserve"> </w:t>
            </w:r>
          </w:p>
          <w:p w14:paraId="5AE60E5C" w14:textId="427C6D06"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 listed non-EU companies</w:t>
            </w:r>
          </w:p>
        </w:tc>
      </w:tr>
      <w:tr w:rsidR="00481D48" w14:paraId="19279FB6" w14:textId="77777777" w:rsidTr="00B71A8C">
        <w:trPr>
          <w:trHeight w:val="607"/>
          <w:jc w:val="center"/>
        </w:trPr>
        <w:tc>
          <w:tcPr>
            <w:tcW w:w="12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hideMark/>
          </w:tcPr>
          <w:p w14:paraId="13D86F64" w14:textId="77777777" w:rsidR="00481D48" w:rsidRPr="00A0694B" w:rsidRDefault="00481D48" w:rsidP="00B71A8C">
            <w:pPr>
              <w:ind w:left="0"/>
              <w:contextualSpacing/>
              <w:rPr>
                <w:rFonts w:cs="Times New Roman"/>
                <w:b/>
                <w:bCs/>
                <w:color w:val="000000" w:themeColor="text1"/>
                <w:sz w:val="18"/>
                <w:szCs w:val="18"/>
              </w:rPr>
            </w:pPr>
            <w:r w:rsidRPr="00A0694B">
              <w:rPr>
                <w:rFonts w:cs="Times New Roman"/>
                <w:b/>
                <w:bCs/>
                <w:color w:val="000000" w:themeColor="text1"/>
                <w:sz w:val="18"/>
                <w:szCs w:val="18"/>
              </w:rPr>
              <w:t>Safe Harbor</w:t>
            </w:r>
          </w:p>
        </w:tc>
        <w:tc>
          <w:tcPr>
            <w:tcW w:w="28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136050D" w14:textId="77777777"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Safe harbor for forward looking statements (not from state law)</w:t>
            </w:r>
          </w:p>
        </w:tc>
        <w:tc>
          <w:tcPr>
            <w:tcW w:w="3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06CA6A1" w14:textId="1AECC722" w:rsidR="00481D48" w:rsidRPr="00B71A8C" w:rsidRDefault="00481D48" w:rsidP="00B71A8C">
            <w:pPr>
              <w:ind w:left="0"/>
              <w:contextualSpacing/>
              <w:jc w:val="center"/>
              <w:rPr>
                <w:rFonts w:cs="Times New Roman"/>
                <w:color w:val="000000" w:themeColor="text1"/>
                <w:sz w:val="16"/>
                <w:szCs w:val="16"/>
              </w:rPr>
            </w:pPr>
            <w:r w:rsidRPr="00B71A8C">
              <w:rPr>
                <w:rFonts w:cs="Times New Roman"/>
                <w:color w:val="000000" w:themeColor="text1"/>
                <w:sz w:val="16"/>
                <w:szCs w:val="16"/>
              </w:rPr>
              <w:t>NO S3 liability until 2030</w:t>
            </w:r>
            <w:r w:rsidR="004B4BB7" w:rsidRPr="00B71A8C">
              <w:rPr>
                <w:rFonts w:cs="Times New Roman"/>
                <w:color w:val="000000" w:themeColor="text1"/>
                <w:sz w:val="16"/>
                <w:szCs w:val="16"/>
              </w:rPr>
              <w:t xml:space="preserve"> </w:t>
            </w:r>
            <w:r w:rsidRPr="00B71A8C">
              <w:rPr>
                <w:rFonts w:cs="Times New Roman"/>
                <w:color w:val="000000" w:themeColor="text1"/>
                <w:sz w:val="16"/>
                <w:szCs w:val="16"/>
              </w:rPr>
              <w:t>+ if good faith reasonable disclosure effort</w:t>
            </w:r>
          </w:p>
        </w:tc>
        <w:tc>
          <w:tcPr>
            <w:tcW w:w="32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2A70B50" w14:textId="729A3122" w:rsidR="00564C4B" w:rsidRDefault="00481D48" w:rsidP="00EB4CB1">
            <w:pPr>
              <w:ind w:left="0"/>
              <w:contextualSpacing/>
              <w:jc w:val="center"/>
              <w:rPr>
                <w:rFonts w:cs="Times New Roman"/>
                <w:color w:val="000000" w:themeColor="text1"/>
                <w:sz w:val="16"/>
                <w:szCs w:val="16"/>
              </w:rPr>
            </w:pPr>
            <w:r w:rsidRPr="00B71A8C">
              <w:rPr>
                <w:rFonts w:cs="Times New Roman"/>
                <w:color w:val="000000" w:themeColor="text1"/>
                <w:sz w:val="16"/>
                <w:szCs w:val="16"/>
              </w:rPr>
              <w:t>No</w:t>
            </w:r>
            <w:r w:rsidR="00564C4B" w:rsidRPr="00B71A8C">
              <w:rPr>
                <w:rFonts w:cs="Times New Roman"/>
                <w:color w:val="000000" w:themeColor="text1"/>
                <w:sz w:val="16"/>
                <w:szCs w:val="16"/>
              </w:rPr>
              <w:t xml:space="preserve">ne </w:t>
            </w:r>
          </w:p>
          <w:p w14:paraId="07FC1466" w14:textId="77777777" w:rsidR="00EB4CB1" w:rsidRPr="00B71A8C" w:rsidRDefault="00EB4CB1" w:rsidP="00B71A8C">
            <w:pPr>
              <w:ind w:left="0"/>
              <w:contextualSpacing/>
              <w:jc w:val="center"/>
              <w:rPr>
                <w:rFonts w:cs="Times New Roman"/>
                <w:color w:val="000000" w:themeColor="text1"/>
                <w:sz w:val="4"/>
                <w:szCs w:val="4"/>
              </w:rPr>
            </w:pPr>
          </w:p>
          <w:p w14:paraId="23413F57" w14:textId="373BD596" w:rsidR="00481D48" w:rsidRPr="00B71A8C" w:rsidRDefault="00564C4B" w:rsidP="00B71A8C">
            <w:pPr>
              <w:ind w:left="0"/>
              <w:contextualSpacing/>
              <w:jc w:val="center"/>
              <w:rPr>
                <w:rFonts w:cs="Times New Roman"/>
                <w:i/>
                <w:iCs/>
                <w:color w:val="000000" w:themeColor="text1"/>
                <w:sz w:val="16"/>
                <w:szCs w:val="16"/>
              </w:rPr>
            </w:pPr>
            <w:r w:rsidRPr="00B71A8C">
              <w:rPr>
                <w:rFonts w:cs="Times New Roman"/>
                <w:i/>
                <w:iCs/>
                <w:color w:val="000000" w:themeColor="text1"/>
                <w:sz w:val="15"/>
                <w:szCs w:val="15"/>
              </w:rPr>
              <w:t>*(but lower litigation risk in general)</w:t>
            </w:r>
          </w:p>
        </w:tc>
      </w:tr>
    </w:tbl>
    <w:p w14:paraId="2ABFE238" w14:textId="77777777" w:rsidR="00481D48" w:rsidRPr="00B71A8C" w:rsidRDefault="00481D48" w:rsidP="00B71A8C">
      <w:pPr>
        <w:spacing w:line="480" w:lineRule="auto"/>
        <w:ind w:left="0"/>
        <w:contextualSpacing/>
        <w:rPr>
          <w:rFonts w:cs="Times New Roman"/>
          <w:color w:val="000000" w:themeColor="text1"/>
          <w:sz w:val="10"/>
          <w:szCs w:val="10"/>
        </w:rPr>
      </w:pPr>
    </w:p>
    <w:bookmarkEnd w:id="20"/>
    <w:p w14:paraId="71340190" w14:textId="679CA9C0" w:rsidR="00C37BD3" w:rsidRPr="001110EE" w:rsidRDefault="00C37BD3" w:rsidP="00322BF1">
      <w:pPr>
        <w:pStyle w:val="Heading2"/>
      </w:pPr>
      <w:r w:rsidRPr="001110EE">
        <w:t>Materiality Standards and Corporate Impact</w:t>
      </w:r>
    </w:p>
    <w:p w14:paraId="1C0FEB78" w14:textId="3017EA25" w:rsidR="009365B4" w:rsidRDefault="009365B4" w:rsidP="00B71A8C">
      <w:pPr>
        <w:spacing w:line="480" w:lineRule="auto"/>
        <w:ind w:firstLine="720"/>
        <w:contextualSpacing/>
        <w:rPr>
          <w:rFonts w:cs="Times New Roman"/>
          <w:color w:val="000000" w:themeColor="text1"/>
        </w:rPr>
      </w:pPr>
      <w:r w:rsidRPr="00196F93">
        <w:rPr>
          <w:rFonts w:cs="Times New Roman"/>
          <w:color w:val="000000" w:themeColor="text1"/>
        </w:rPr>
        <w:t>The various regulatory approaches employ diffe</w:t>
      </w:r>
      <w:r w:rsidR="00091ACE">
        <w:rPr>
          <w:rFonts w:cs="Times New Roman"/>
          <w:color w:val="000000" w:themeColor="text1"/>
        </w:rPr>
        <w:t>ring</w:t>
      </w:r>
      <w:r w:rsidRPr="00196F93">
        <w:rPr>
          <w:rFonts w:cs="Times New Roman"/>
          <w:color w:val="000000" w:themeColor="text1"/>
        </w:rPr>
        <w:t xml:space="preserve"> standards of “materiality” to </w:t>
      </w:r>
      <w:r w:rsidR="00091ACE">
        <w:rPr>
          <w:rFonts w:cs="Times New Roman"/>
          <w:color w:val="000000" w:themeColor="text1"/>
        </w:rPr>
        <w:t xml:space="preserve">define </w:t>
      </w:r>
      <w:r w:rsidRPr="00196F93">
        <w:rPr>
          <w:rFonts w:cs="Times New Roman"/>
          <w:color w:val="000000" w:themeColor="text1"/>
        </w:rPr>
        <w:t xml:space="preserve">the scope of information companies are required to disclose. Differences between the </w:t>
      </w:r>
      <w:r w:rsidR="00091ACE" w:rsidRPr="00196F93">
        <w:rPr>
          <w:rFonts w:cs="Times New Roman"/>
          <w:color w:val="000000" w:themeColor="text1"/>
        </w:rPr>
        <w:t>EU’s double materiality</w:t>
      </w:r>
      <w:r w:rsidR="00091ACE">
        <w:rPr>
          <w:rFonts w:cs="Times New Roman"/>
          <w:color w:val="000000" w:themeColor="text1"/>
        </w:rPr>
        <w:t xml:space="preserve">, </w:t>
      </w:r>
      <w:r w:rsidRPr="00196F93">
        <w:rPr>
          <w:rFonts w:cs="Times New Roman"/>
          <w:color w:val="000000" w:themeColor="text1"/>
        </w:rPr>
        <w:t xml:space="preserve">SEC’s financial materiality, </w:t>
      </w:r>
      <w:r w:rsidR="00091ACE">
        <w:rPr>
          <w:rFonts w:cs="Times New Roman"/>
          <w:color w:val="000000" w:themeColor="text1"/>
        </w:rPr>
        <w:t xml:space="preserve">and </w:t>
      </w:r>
      <w:r w:rsidRPr="00196F93">
        <w:rPr>
          <w:rFonts w:cs="Times New Roman"/>
          <w:color w:val="000000" w:themeColor="text1"/>
        </w:rPr>
        <w:t>California’s no materiality</w:t>
      </w:r>
      <w:r w:rsidR="00091ACE">
        <w:rPr>
          <w:rFonts w:cs="Times New Roman"/>
          <w:color w:val="000000" w:themeColor="text1"/>
        </w:rPr>
        <w:t xml:space="preserve"> </w:t>
      </w:r>
      <w:r w:rsidRPr="00196F93">
        <w:rPr>
          <w:rFonts w:cs="Times New Roman"/>
          <w:color w:val="000000" w:themeColor="text1"/>
        </w:rPr>
        <w:t xml:space="preserve">approaches fundamentally </w:t>
      </w:r>
      <w:proofErr w:type="gramStart"/>
      <w:r w:rsidRPr="00196F93">
        <w:rPr>
          <w:rFonts w:cs="Times New Roman"/>
          <w:color w:val="000000" w:themeColor="text1"/>
        </w:rPr>
        <w:t>shapes</w:t>
      </w:r>
      <w:proofErr w:type="gramEnd"/>
      <w:r w:rsidRPr="00196F93">
        <w:rPr>
          <w:rFonts w:cs="Times New Roman"/>
          <w:color w:val="000000" w:themeColor="text1"/>
        </w:rPr>
        <w:t xml:space="preserve"> the reach and extent of </w:t>
      </w:r>
      <w:r w:rsidR="00091ACE">
        <w:rPr>
          <w:rFonts w:cs="Times New Roman"/>
          <w:color w:val="000000" w:themeColor="text1"/>
        </w:rPr>
        <w:t>disclosure</w:t>
      </w:r>
      <w:r w:rsidR="00091ACE" w:rsidRPr="00196F93">
        <w:rPr>
          <w:rFonts w:cs="Times New Roman"/>
          <w:color w:val="000000" w:themeColor="text1"/>
        </w:rPr>
        <w:t xml:space="preserve"> </w:t>
      </w:r>
      <w:proofErr w:type="gramStart"/>
      <w:r w:rsidRPr="00196F93">
        <w:rPr>
          <w:rFonts w:cs="Times New Roman"/>
          <w:color w:val="000000" w:themeColor="text1"/>
        </w:rPr>
        <w:t>requirements</w:t>
      </w:r>
      <w:r w:rsidR="00091ACE">
        <w:rPr>
          <w:rFonts w:cs="Times New Roman"/>
          <w:color w:val="000000" w:themeColor="text1"/>
        </w:rPr>
        <w:t>,</w:t>
      </w:r>
      <w:r w:rsidRPr="00196F93">
        <w:rPr>
          <w:rFonts w:cs="Times New Roman"/>
          <w:color w:val="000000" w:themeColor="text1"/>
        </w:rPr>
        <w:t xml:space="preserve"> and</w:t>
      </w:r>
      <w:proofErr w:type="gramEnd"/>
      <w:r w:rsidRPr="00196F93">
        <w:rPr>
          <w:rFonts w:cs="Times New Roman"/>
          <w:color w:val="000000" w:themeColor="text1"/>
        </w:rPr>
        <w:t xml:space="preserve"> may </w:t>
      </w:r>
      <w:r w:rsidR="00091ACE">
        <w:rPr>
          <w:rFonts w:cs="Times New Roman"/>
          <w:color w:val="000000" w:themeColor="text1"/>
        </w:rPr>
        <w:t xml:space="preserve">contribute to </w:t>
      </w:r>
      <w:r w:rsidRPr="00196F93">
        <w:rPr>
          <w:rFonts w:cs="Times New Roman"/>
          <w:color w:val="000000" w:themeColor="text1"/>
        </w:rPr>
        <w:t xml:space="preserve">lasting </w:t>
      </w:r>
      <w:r w:rsidR="00091ACE">
        <w:rPr>
          <w:rFonts w:cs="Times New Roman"/>
          <w:color w:val="000000" w:themeColor="text1"/>
        </w:rPr>
        <w:t>divergence.</w:t>
      </w:r>
      <w:r w:rsidRPr="00196F93">
        <w:rPr>
          <w:rFonts w:cs="Times New Roman"/>
          <w:color w:val="000000" w:themeColor="text1"/>
        </w:rPr>
        <w:t xml:space="preserve"> </w:t>
      </w:r>
    </w:p>
    <w:p w14:paraId="43AF0CC2" w14:textId="77777777" w:rsidR="00215695" w:rsidRPr="00215695" w:rsidRDefault="00215695" w:rsidP="00B71A8C">
      <w:pPr>
        <w:spacing w:line="480" w:lineRule="auto"/>
        <w:contextualSpacing/>
        <w:rPr>
          <w:rFonts w:cs="Times New Roman"/>
          <w:color w:val="000000" w:themeColor="text1"/>
          <w:sz w:val="2"/>
          <w:szCs w:val="2"/>
        </w:rPr>
      </w:pPr>
    </w:p>
    <w:p w14:paraId="1C3AF271" w14:textId="08569B4C" w:rsidR="00826842" w:rsidRPr="00196F93" w:rsidRDefault="00826842" w:rsidP="00C807C8">
      <w:pPr>
        <w:pStyle w:val="Heading3"/>
        <w:numPr>
          <w:ilvl w:val="0"/>
          <w:numId w:val="4"/>
        </w:numPr>
        <w:spacing w:before="0"/>
        <w:contextualSpacing/>
      </w:pPr>
      <w:r w:rsidRPr="00B71A8C">
        <w:rPr>
          <w:u w:val="single"/>
        </w:rPr>
        <w:t>EU CSRD</w:t>
      </w:r>
      <w:r w:rsidRPr="00196F93">
        <w:t xml:space="preserve">: Double Materiality </w:t>
      </w:r>
    </w:p>
    <w:p w14:paraId="5A258E49" w14:textId="7D03EC6B" w:rsidR="00664B5B" w:rsidRPr="00196F93" w:rsidRDefault="00664B5B" w:rsidP="00B71A8C">
      <w:pPr>
        <w:spacing w:line="480" w:lineRule="auto"/>
        <w:ind w:firstLine="720"/>
        <w:contextualSpacing/>
        <w:rPr>
          <w:rFonts w:cs="Times New Roman"/>
          <w:color w:val="000000" w:themeColor="text1"/>
        </w:rPr>
      </w:pPr>
      <w:r w:rsidRPr="00196F93">
        <w:rPr>
          <w:rFonts w:cs="Times New Roman"/>
          <w:color w:val="000000" w:themeColor="text1"/>
        </w:rPr>
        <w:t xml:space="preserve">The </w:t>
      </w:r>
      <w:r w:rsidR="00933FA9">
        <w:rPr>
          <w:rFonts w:cs="Times New Roman"/>
          <w:color w:val="000000" w:themeColor="text1"/>
        </w:rPr>
        <w:t>CSRD</w:t>
      </w:r>
      <w:r w:rsidR="00933FA9" w:rsidRPr="00196F93">
        <w:rPr>
          <w:rFonts w:cs="Times New Roman"/>
          <w:color w:val="000000" w:themeColor="text1"/>
        </w:rPr>
        <w:t xml:space="preserve"> </w:t>
      </w:r>
      <w:r w:rsidRPr="00196F93">
        <w:rPr>
          <w:rFonts w:cs="Times New Roman"/>
          <w:color w:val="000000" w:themeColor="text1"/>
        </w:rPr>
        <w:t xml:space="preserve">adopts a “double materiality” requirement on companies to report both </w:t>
      </w:r>
      <w:r w:rsidR="005A7F63">
        <w:rPr>
          <w:rFonts w:cs="Times New Roman"/>
          <w:color w:val="000000" w:themeColor="text1"/>
        </w:rPr>
        <w:t xml:space="preserve">1) </w:t>
      </w:r>
      <w:r w:rsidR="00BE6915" w:rsidRPr="00196F93">
        <w:rPr>
          <w:rFonts w:cs="Times New Roman"/>
          <w:color w:val="000000" w:themeColor="text1"/>
        </w:rPr>
        <w:t xml:space="preserve">how </w:t>
      </w:r>
      <w:r w:rsidR="007E2A07" w:rsidRPr="00196F93">
        <w:rPr>
          <w:rFonts w:cs="Times New Roman"/>
          <w:color w:val="000000" w:themeColor="text1"/>
        </w:rPr>
        <w:t>climate, emissions, and ESG issues</w:t>
      </w:r>
      <w:r w:rsidR="00BE6915" w:rsidRPr="00196F93">
        <w:rPr>
          <w:rFonts w:cs="Times New Roman"/>
          <w:color w:val="000000" w:themeColor="text1"/>
        </w:rPr>
        <w:t xml:space="preserve"> impact the company (</w:t>
      </w:r>
      <w:r w:rsidR="005A7F63">
        <w:rPr>
          <w:rFonts w:cs="Times New Roman"/>
          <w:color w:val="000000" w:themeColor="text1"/>
        </w:rPr>
        <w:t>“</w:t>
      </w:r>
      <w:r w:rsidR="00BE6915" w:rsidRPr="00196F93">
        <w:rPr>
          <w:rFonts w:cs="Times New Roman"/>
          <w:color w:val="000000" w:themeColor="text1"/>
        </w:rPr>
        <w:t>financial materiality</w:t>
      </w:r>
      <w:r w:rsidR="005A7F63">
        <w:rPr>
          <w:rFonts w:cs="Times New Roman"/>
          <w:color w:val="000000" w:themeColor="text1"/>
        </w:rPr>
        <w:t>”</w:t>
      </w:r>
      <w:r w:rsidR="00BE6915" w:rsidRPr="00196F93">
        <w:rPr>
          <w:rFonts w:cs="Times New Roman"/>
          <w:color w:val="000000" w:themeColor="text1"/>
        </w:rPr>
        <w:t>),</w:t>
      </w:r>
      <w:r w:rsidR="007E2A07" w:rsidRPr="00196F93">
        <w:rPr>
          <w:rFonts w:cs="Times New Roman"/>
          <w:color w:val="000000" w:themeColor="text1"/>
        </w:rPr>
        <w:t xml:space="preserve"> </w:t>
      </w:r>
      <w:r w:rsidR="005A7F63">
        <w:rPr>
          <w:rFonts w:cs="Times New Roman"/>
          <w:color w:val="000000" w:themeColor="text1"/>
        </w:rPr>
        <w:t xml:space="preserve">and 2) </w:t>
      </w:r>
      <w:r w:rsidR="00BE6915" w:rsidRPr="00196F93">
        <w:rPr>
          <w:rFonts w:cs="Times New Roman"/>
          <w:color w:val="000000" w:themeColor="text1"/>
        </w:rPr>
        <w:t xml:space="preserve">the </w:t>
      </w:r>
      <w:r w:rsidRPr="00196F93">
        <w:rPr>
          <w:rFonts w:cs="Times New Roman"/>
          <w:color w:val="000000" w:themeColor="text1"/>
        </w:rPr>
        <w:t>impact of business activities on people and the environment (</w:t>
      </w:r>
      <w:r w:rsidR="005A7F63">
        <w:rPr>
          <w:rFonts w:cs="Times New Roman"/>
          <w:color w:val="000000" w:themeColor="text1"/>
        </w:rPr>
        <w:t>“</w:t>
      </w:r>
      <w:r w:rsidRPr="00196F93">
        <w:rPr>
          <w:rFonts w:cs="Times New Roman"/>
          <w:color w:val="000000" w:themeColor="text1"/>
        </w:rPr>
        <w:t>impact materiality</w:t>
      </w:r>
      <w:r w:rsidR="005A7F63">
        <w:rPr>
          <w:rFonts w:cs="Times New Roman"/>
          <w:color w:val="000000" w:themeColor="text1"/>
        </w:rPr>
        <w:t>”</w:t>
      </w:r>
      <w:r w:rsidRPr="00196F93">
        <w:rPr>
          <w:rFonts w:cs="Times New Roman"/>
          <w:color w:val="000000" w:themeColor="text1"/>
        </w:rPr>
        <w:t>)</w:t>
      </w:r>
      <w:r w:rsidR="00BE6915" w:rsidRPr="00196F93">
        <w:rPr>
          <w:rFonts w:cs="Times New Roman"/>
          <w:color w:val="000000" w:themeColor="text1"/>
        </w:rPr>
        <w:t>.</w:t>
      </w:r>
      <w:r w:rsidR="00314899" w:rsidRPr="00196F93">
        <w:rPr>
          <w:rStyle w:val="FootnoteReference"/>
          <w:rFonts w:cs="Times New Roman"/>
          <w:color w:val="000000" w:themeColor="text1"/>
        </w:rPr>
        <w:footnoteReference w:id="35"/>
      </w:r>
      <w:r w:rsidR="005A7F63">
        <w:rPr>
          <w:rFonts w:cs="Times New Roman"/>
          <w:color w:val="000000" w:themeColor="text1"/>
        </w:rPr>
        <w:t xml:space="preserve"> Companies are expected to </w:t>
      </w:r>
      <w:r w:rsidRPr="00196F93">
        <w:rPr>
          <w:rFonts w:cs="Times New Roman"/>
          <w:color w:val="000000" w:themeColor="text1"/>
        </w:rPr>
        <w:t>consider the</w:t>
      </w:r>
      <w:r w:rsidR="00A54A7F">
        <w:rPr>
          <w:rFonts w:cs="Times New Roman"/>
          <w:color w:val="000000" w:themeColor="text1"/>
        </w:rPr>
        <w:t xml:space="preserve"> potential future</w:t>
      </w:r>
      <w:r w:rsidRPr="00196F93">
        <w:rPr>
          <w:rFonts w:cs="Times New Roman"/>
          <w:color w:val="000000" w:themeColor="text1"/>
        </w:rPr>
        <w:t xml:space="preserve"> positive and negative </w:t>
      </w:r>
      <w:r w:rsidR="00A54A7F">
        <w:rPr>
          <w:rFonts w:cs="Times New Roman"/>
          <w:color w:val="000000" w:themeColor="text1"/>
        </w:rPr>
        <w:t>impacts of their activities under both standards</w:t>
      </w:r>
      <w:r w:rsidR="00BD4410">
        <w:rPr>
          <w:rFonts w:cs="Times New Roman"/>
          <w:color w:val="000000" w:themeColor="text1"/>
        </w:rPr>
        <w:t>.</w:t>
      </w:r>
      <w:bookmarkStart w:id="38" w:name="OLE_LINK49"/>
      <w:r w:rsidRPr="00196F93">
        <w:rPr>
          <w:rStyle w:val="FootnoteReference"/>
          <w:rFonts w:cs="Times New Roman"/>
          <w:color w:val="000000" w:themeColor="text1"/>
        </w:rPr>
        <w:footnoteReference w:id="36"/>
      </w:r>
      <w:bookmarkEnd w:id="38"/>
      <w:r w:rsidRPr="00196F93">
        <w:rPr>
          <w:rFonts w:cs="Times New Roman"/>
          <w:color w:val="000000" w:themeColor="text1"/>
        </w:rPr>
        <w:t xml:space="preserve"> </w:t>
      </w:r>
      <w:r w:rsidR="00933FA9">
        <w:rPr>
          <w:rFonts w:cs="Times New Roman"/>
          <w:color w:val="000000" w:themeColor="text1"/>
        </w:rPr>
        <w:t>D</w:t>
      </w:r>
      <w:r w:rsidR="00A54A7F">
        <w:rPr>
          <w:rFonts w:cs="Times New Roman"/>
          <w:color w:val="000000" w:themeColor="text1"/>
        </w:rPr>
        <w:t xml:space="preserve">ouble materiality </w:t>
      </w:r>
      <w:r w:rsidRPr="00196F93">
        <w:rPr>
          <w:rFonts w:cs="Times New Roman"/>
          <w:color w:val="000000" w:themeColor="text1"/>
        </w:rPr>
        <w:t>presents a departure from well-established materiality standard</w:t>
      </w:r>
      <w:r w:rsidR="00933FA9">
        <w:rPr>
          <w:rFonts w:cs="Times New Roman"/>
          <w:color w:val="000000" w:themeColor="text1"/>
        </w:rPr>
        <w:t>s</w:t>
      </w:r>
      <w:r w:rsidRPr="00196F93">
        <w:rPr>
          <w:rFonts w:cs="Times New Roman"/>
          <w:color w:val="000000" w:themeColor="text1"/>
        </w:rPr>
        <w:t xml:space="preserve"> traditionally applied to financial accounting</w:t>
      </w:r>
      <w:r w:rsidR="007E2A07" w:rsidRPr="00196F93">
        <w:rPr>
          <w:rFonts w:cs="Times New Roman"/>
          <w:color w:val="000000" w:themeColor="text1"/>
        </w:rPr>
        <w:t xml:space="preserve"> and used by the SEC</w:t>
      </w:r>
      <w:r w:rsidR="00BD4410">
        <w:rPr>
          <w:rFonts w:cs="Times New Roman"/>
          <w:color w:val="000000" w:themeColor="text1"/>
        </w:rPr>
        <w:t>—</w:t>
      </w:r>
      <w:r w:rsidR="007E2A07" w:rsidRPr="00196F93">
        <w:rPr>
          <w:rFonts w:cs="Times New Roman"/>
          <w:color w:val="000000" w:themeColor="text1"/>
        </w:rPr>
        <w:t>and California to an extent</w:t>
      </w:r>
      <w:r w:rsidR="00933FA9">
        <w:rPr>
          <w:rFonts w:cs="Times New Roman"/>
          <w:color w:val="000000" w:themeColor="text1"/>
        </w:rPr>
        <w:t>.</w:t>
      </w:r>
    </w:p>
    <w:p w14:paraId="0A74382F" w14:textId="3D29EECF" w:rsidR="00826842" w:rsidRDefault="00B2374F" w:rsidP="00B71A8C">
      <w:pPr>
        <w:spacing w:line="480" w:lineRule="auto"/>
        <w:ind w:firstLine="720"/>
        <w:contextualSpacing/>
        <w:rPr>
          <w:rFonts w:cs="Times New Roman"/>
          <w:color w:val="000000" w:themeColor="text1"/>
        </w:rPr>
      </w:pPr>
      <w:r w:rsidRPr="00196F93">
        <w:rPr>
          <w:rFonts w:cs="Times New Roman"/>
          <w:color w:val="000000" w:themeColor="text1"/>
        </w:rPr>
        <w:t>Companies may opt</w:t>
      </w:r>
      <w:r w:rsidR="00E62376">
        <w:rPr>
          <w:rFonts w:cs="Times New Roman"/>
          <w:color w:val="000000" w:themeColor="text1"/>
        </w:rPr>
        <w:t xml:space="preserve"> </w:t>
      </w:r>
      <w:r w:rsidRPr="00196F93">
        <w:rPr>
          <w:rFonts w:cs="Times New Roman"/>
          <w:color w:val="000000" w:themeColor="text1"/>
        </w:rPr>
        <w:t xml:space="preserve">out of S3 disclosures, but only if they meet </w:t>
      </w:r>
      <w:r w:rsidR="00664B5B" w:rsidRPr="00196F93">
        <w:rPr>
          <w:rFonts w:cs="Times New Roman"/>
          <w:color w:val="000000" w:themeColor="text1"/>
        </w:rPr>
        <w:t xml:space="preserve">quite strict and comparatively much </w:t>
      </w:r>
      <w:r w:rsidR="00664B5B" w:rsidRPr="0027451E">
        <w:rPr>
          <w:rFonts w:cs="Times New Roman"/>
          <w:color w:val="000000" w:themeColor="text1"/>
        </w:rPr>
        <w:t xml:space="preserve">more difficult </w:t>
      </w:r>
      <w:r w:rsidRPr="0027451E">
        <w:rPr>
          <w:rFonts w:cs="Times New Roman"/>
          <w:color w:val="000000" w:themeColor="text1"/>
        </w:rPr>
        <w:t xml:space="preserve">standards </w:t>
      </w:r>
      <w:r w:rsidR="00664B5B" w:rsidRPr="0027451E">
        <w:rPr>
          <w:rFonts w:cs="Times New Roman"/>
          <w:color w:val="000000" w:themeColor="text1"/>
        </w:rPr>
        <w:t xml:space="preserve">than the SEC’s </w:t>
      </w:r>
      <w:r w:rsidR="00A54A7F">
        <w:rPr>
          <w:rFonts w:cs="Times New Roman"/>
          <w:color w:val="000000" w:themeColor="text1"/>
        </w:rPr>
        <w:t>single</w:t>
      </w:r>
      <w:r w:rsidR="00A54A7F" w:rsidRPr="0027451E">
        <w:rPr>
          <w:rFonts w:cs="Times New Roman"/>
          <w:color w:val="000000" w:themeColor="text1"/>
        </w:rPr>
        <w:t xml:space="preserve"> </w:t>
      </w:r>
      <w:r w:rsidR="000167A9">
        <w:rPr>
          <w:rFonts w:cs="Times New Roman"/>
          <w:color w:val="000000" w:themeColor="text1"/>
        </w:rPr>
        <w:t xml:space="preserve">financial </w:t>
      </w:r>
      <w:r w:rsidR="00664B5B" w:rsidRPr="0027451E">
        <w:rPr>
          <w:rFonts w:cs="Times New Roman"/>
          <w:color w:val="000000" w:themeColor="text1"/>
        </w:rPr>
        <w:t>materiality</w:t>
      </w:r>
      <w:r w:rsidR="00A54A7F">
        <w:rPr>
          <w:rFonts w:cs="Times New Roman"/>
          <w:color w:val="000000" w:themeColor="text1"/>
        </w:rPr>
        <w:t xml:space="preserve"> </w:t>
      </w:r>
      <w:r w:rsidR="00933FA9">
        <w:rPr>
          <w:rFonts w:cs="Times New Roman"/>
          <w:color w:val="000000" w:themeColor="text1"/>
        </w:rPr>
        <w:t>opt-out</w:t>
      </w:r>
      <w:r w:rsidR="00664B5B" w:rsidRPr="0027451E">
        <w:rPr>
          <w:rFonts w:cs="Times New Roman"/>
          <w:color w:val="000000" w:themeColor="text1"/>
        </w:rPr>
        <w:t xml:space="preserve">. </w:t>
      </w:r>
      <w:r w:rsidR="007E2A07" w:rsidRPr="0027451E">
        <w:rPr>
          <w:rFonts w:cs="Times New Roman"/>
          <w:color w:val="000000" w:themeColor="text1"/>
        </w:rPr>
        <w:t>The</w:t>
      </w:r>
      <w:r w:rsidR="00A54A7F">
        <w:rPr>
          <w:rFonts w:cs="Times New Roman"/>
          <w:color w:val="000000" w:themeColor="text1"/>
        </w:rPr>
        <w:t xml:space="preserve"> stringency</w:t>
      </w:r>
      <w:r w:rsidR="007E2A07" w:rsidRPr="0027451E">
        <w:rPr>
          <w:rFonts w:cs="Times New Roman"/>
          <w:color w:val="000000" w:themeColor="text1"/>
        </w:rPr>
        <w:t xml:space="preserve"> </w:t>
      </w:r>
      <w:r w:rsidR="009949B2" w:rsidRPr="0027451E">
        <w:rPr>
          <w:rFonts w:cs="Times New Roman"/>
          <w:color w:val="000000" w:themeColor="text1"/>
        </w:rPr>
        <w:t>effectively</w:t>
      </w:r>
      <w:r w:rsidR="007E2A07" w:rsidRPr="0027451E">
        <w:rPr>
          <w:rFonts w:cs="Times New Roman"/>
          <w:color w:val="000000" w:themeColor="text1"/>
        </w:rPr>
        <w:t xml:space="preserve"> </w:t>
      </w:r>
      <w:r w:rsidR="00A54A7F">
        <w:rPr>
          <w:rFonts w:cs="Times New Roman"/>
          <w:color w:val="000000" w:themeColor="text1"/>
        </w:rPr>
        <w:t xml:space="preserve">creates </w:t>
      </w:r>
      <w:r w:rsidR="007E2A07" w:rsidRPr="0027451E">
        <w:rPr>
          <w:rFonts w:cs="Times New Roman"/>
          <w:color w:val="000000" w:themeColor="text1"/>
        </w:rPr>
        <w:t>a rebuttable presumption of materiality</w:t>
      </w:r>
      <w:r w:rsidR="009949B2" w:rsidRPr="0027451E">
        <w:rPr>
          <w:rFonts w:cs="Times New Roman"/>
          <w:color w:val="000000" w:themeColor="text1"/>
        </w:rPr>
        <w:t xml:space="preserve"> for climate</w:t>
      </w:r>
      <w:r w:rsidR="00A54A7F">
        <w:rPr>
          <w:rFonts w:cs="Times New Roman"/>
          <w:color w:val="000000" w:themeColor="text1"/>
        </w:rPr>
        <w:t xml:space="preserve"> disclosures,</w:t>
      </w:r>
      <w:r w:rsidR="007E2A07" w:rsidRPr="0027451E">
        <w:rPr>
          <w:rFonts w:cs="Times New Roman"/>
          <w:color w:val="000000" w:themeColor="text1"/>
        </w:rPr>
        <w:t xml:space="preserve"> unless a company can “</w:t>
      </w:r>
      <w:r w:rsidR="00664B5B" w:rsidRPr="0027451E">
        <w:rPr>
          <w:rFonts w:cs="Times New Roman"/>
          <w:color w:val="000000" w:themeColor="text1"/>
        </w:rPr>
        <w:t xml:space="preserve">conclude that their </w:t>
      </w:r>
      <w:r w:rsidR="00314899" w:rsidRPr="00B71A8C">
        <w:rPr>
          <w:rFonts w:cs="Times New Roman"/>
          <w:color w:val="000000" w:themeColor="text1"/>
        </w:rPr>
        <w:t xml:space="preserve">[S3] </w:t>
      </w:r>
      <w:r w:rsidR="00664B5B" w:rsidRPr="0027451E">
        <w:rPr>
          <w:rFonts w:cs="Times New Roman"/>
          <w:color w:val="000000" w:themeColor="text1"/>
        </w:rPr>
        <w:t xml:space="preserve">emissions fail both the financial materiality threshold (e.g., they do not affect stock price) and the impact </w:t>
      </w:r>
      <w:r w:rsidR="00664B5B" w:rsidRPr="00196F93">
        <w:rPr>
          <w:rFonts w:cs="Times New Roman"/>
          <w:color w:val="000000" w:themeColor="text1"/>
        </w:rPr>
        <w:t>materiality threshold (e.g. they do not affect the environment materially)</w:t>
      </w:r>
      <w:r w:rsidR="00314899">
        <w:rPr>
          <w:rFonts w:cs="Times New Roman"/>
          <w:color w:val="000000" w:themeColor="text1"/>
        </w:rPr>
        <w:t>.</w:t>
      </w:r>
      <w:r w:rsidR="00664B5B" w:rsidRPr="00196F93">
        <w:rPr>
          <w:rFonts w:cs="Times New Roman"/>
          <w:color w:val="000000" w:themeColor="text1"/>
        </w:rPr>
        <w:t>”</w:t>
      </w:r>
      <w:r w:rsidR="00664B5B" w:rsidRPr="00196F93">
        <w:rPr>
          <w:rStyle w:val="FootnoteReference"/>
          <w:rFonts w:cs="Times New Roman"/>
          <w:color w:val="000000" w:themeColor="text1"/>
        </w:rPr>
        <w:footnoteReference w:id="37"/>
      </w:r>
      <w:r w:rsidR="00664B5B" w:rsidRPr="00196F93">
        <w:rPr>
          <w:rFonts w:cs="Times New Roman"/>
          <w:color w:val="000000" w:themeColor="text1"/>
        </w:rPr>
        <w:t xml:space="preserve"> To do this, they must “disclose a detailed explanation of the conclusions of its materiality assessment about climate change, including a forward-looking analysis of the conditions that could lead the company to conclude that climate change is material in the future.”</w:t>
      </w:r>
      <w:r w:rsidR="00664B5B" w:rsidRPr="00196F93">
        <w:rPr>
          <w:rStyle w:val="FootnoteReference"/>
          <w:rFonts w:cs="Times New Roman"/>
          <w:color w:val="000000" w:themeColor="text1"/>
        </w:rPr>
        <w:footnoteReference w:id="38"/>
      </w:r>
      <w:r w:rsidR="00664B5B" w:rsidRPr="00196F93">
        <w:rPr>
          <w:rFonts w:cs="Times New Roman"/>
          <w:color w:val="000000" w:themeColor="text1"/>
        </w:rPr>
        <w:t xml:space="preserve"> This will require significant data and evidence, professional advisors, and management judgement to</w:t>
      </w:r>
      <w:r w:rsidR="00A42D53" w:rsidRPr="00196F93">
        <w:rPr>
          <w:rFonts w:cs="Times New Roman"/>
          <w:color w:val="000000" w:themeColor="text1"/>
        </w:rPr>
        <w:t xml:space="preserve"> actually opt</w:t>
      </w:r>
      <w:r w:rsidR="00E62376">
        <w:rPr>
          <w:rFonts w:cs="Times New Roman"/>
          <w:color w:val="000000" w:themeColor="text1"/>
        </w:rPr>
        <w:t xml:space="preserve"> </w:t>
      </w:r>
      <w:r w:rsidR="00A42D53" w:rsidRPr="00196F93">
        <w:rPr>
          <w:rFonts w:cs="Times New Roman"/>
          <w:color w:val="000000" w:themeColor="text1"/>
        </w:rPr>
        <w:t>out of S3 requirements.</w:t>
      </w:r>
      <w:r w:rsidR="00314899">
        <w:rPr>
          <w:rStyle w:val="FootnoteReference"/>
          <w:rFonts w:cs="Times New Roman"/>
          <w:color w:val="000000" w:themeColor="text1"/>
        </w:rPr>
        <w:footnoteReference w:id="39"/>
      </w:r>
      <w:r w:rsidR="005F22B7">
        <w:rPr>
          <w:rFonts w:cs="Times New Roman"/>
          <w:color w:val="000000" w:themeColor="text1"/>
        </w:rPr>
        <w:t xml:space="preserve"> Thus, the double materiality standard captures the greatest range of conduct, and has the most </w:t>
      </w:r>
      <w:r w:rsidR="00A54A7F">
        <w:rPr>
          <w:rFonts w:cs="Times New Roman"/>
          <w:color w:val="000000" w:themeColor="text1"/>
        </w:rPr>
        <w:t>difficult</w:t>
      </w:r>
      <w:r w:rsidR="005F22B7">
        <w:rPr>
          <w:rFonts w:cs="Times New Roman"/>
          <w:color w:val="000000" w:themeColor="text1"/>
        </w:rPr>
        <w:t xml:space="preserve"> requirements to opt-out</w:t>
      </w:r>
      <w:r w:rsidR="00A54A7F">
        <w:rPr>
          <w:rFonts w:cs="Times New Roman"/>
          <w:color w:val="000000" w:themeColor="text1"/>
        </w:rPr>
        <w:t xml:space="preserve"> of the requirements</w:t>
      </w:r>
      <w:r w:rsidR="005F22B7">
        <w:rPr>
          <w:rFonts w:cs="Times New Roman"/>
          <w:color w:val="000000" w:themeColor="text1"/>
        </w:rPr>
        <w:t xml:space="preserve">—except for S3 emissions where California doesn’t have </w:t>
      </w:r>
      <w:r w:rsidR="000167A9">
        <w:rPr>
          <w:rFonts w:cs="Times New Roman"/>
          <w:color w:val="000000" w:themeColor="text1"/>
        </w:rPr>
        <w:t xml:space="preserve">any </w:t>
      </w:r>
      <w:r w:rsidR="005F22B7">
        <w:rPr>
          <w:rFonts w:cs="Times New Roman"/>
          <w:color w:val="000000" w:themeColor="text1"/>
        </w:rPr>
        <w:t xml:space="preserve">opt-out </w:t>
      </w:r>
      <w:r w:rsidR="000167A9">
        <w:rPr>
          <w:rFonts w:cs="Times New Roman"/>
          <w:color w:val="000000" w:themeColor="text1"/>
        </w:rPr>
        <w:t xml:space="preserve">mechanism </w:t>
      </w:r>
      <w:r w:rsidR="005F22B7">
        <w:rPr>
          <w:rFonts w:cs="Times New Roman"/>
          <w:color w:val="000000" w:themeColor="text1"/>
        </w:rPr>
        <w:t xml:space="preserve">for covered entities. </w:t>
      </w:r>
    </w:p>
    <w:p w14:paraId="65D7FA2B" w14:textId="77777777" w:rsidR="00215695" w:rsidRPr="00215695" w:rsidRDefault="00215695" w:rsidP="00B71A8C">
      <w:pPr>
        <w:spacing w:line="480" w:lineRule="auto"/>
        <w:ind w:firstLine="720"/>
        <w:contextualSpacing/>
        <w:rPr>
          <w:rFonts w:cs="Times New Roman"/>
          <w:color w:val="000000" w:themeColor="text1"/>
          <w:sz w:val="2"/>
          <w:szCs w:val="2"/>
        </w:rPr>
      </w:pPr>
    </w:p>
    <w:p w14:paraId="287BD22F" w14:textId="71D16364" w:rsidR="00664B5B" w:rsidRPr="00196F93" w:rsidRDefault="00826842" w:rsidP="00B71A8C">
      <w:pPr>
        <w:pStyle w:val="Heading3"/>
        <w:spacing w:before="0"/>
        <w:contextualSpacing/>
      </w:pPr>
      <w:r w:rsidRPr="00B71A8C">
        <w:rPr>
          <w:u w:val="single"/>
        </w:rPr>
        <w:t>U.S. SEC</w:t>
      </w:r>
      <w:r w:rsidRPr="00196F93">
        <w:t xml:space="preserve">: </w:t>
      </w:r>
      <w:r w:rsidR="00945407">
        <w:t xml:space="preserve">Singular </w:t>
      </w:r>
      <w:r w:rsidRPr="00196F93">
        <w:t>Financial Materiality</w:t>
      </w:r>
    </w:p>
    <w:p w14:paraId="3357FE6C" w14:textId="1E3934A6" w:rsidR="005162A3" w:rsidRPr="00196F93" w:rsidRDefault="00AD624B" w:rsidP="00B71A8C">
      <w:pPr>
        <w:spacing w:line="480" w:lineRule="auto"/>
        <w:ind w:firstLine="720"/>
        <w:contextualSpacing/>
        <w:rPr>
          <w:rFonts w:cs="Times New Roman"/>
          <w:color w:val="000000" w:themeColor="text1"/>
        </w:rPr>
      </w:pPr>
      <w:bookmarkStart w:id="39" w:name="OLE_LINK13"/>
      <w:r w:rsidRPr="00196F93">
        <w:rPr>
          <w:rFonts w:cs="Times New Roman"/>
          <w:color w:val="000000" w:themeColor="text1"/>
        </w:rPr>
        <w:t>The SEC, by contrast</w:t>
      </w:r>
      <w:r w:rsidR="00945407">
        <w:rPr>
          <w:rFonts w:cs="Times New Roman"/>
          <w:color w:val="000000" w:themeColor="text1"/>
        </w:rPr>
        <w:t>,</w:t>
      </w:r>
      <w:r w:rsidRPr="00196F93">
        <w:rPr>
          <w:rFonts w:cs="Times New Roman"/>
          <w:color w:val="000000" w:themeColor="text1"/>
        </w:rPr>
        <w:t xml:space="preserve"> relies on the traditional threshold of </w:t>
      </w:r>
      <w:r w:rsidR="00A54A7F">
        <w:rPr>
          <w:rFonts w:cs="Times New Roman"/>
          <w:color w:val="000000" w:themeColor="text1"/>
        </w:rPr>
        <w:t xml:space="preserve">financial materiality requiring </w:t>
      </w:r>
      <w:r w:rsidR="00664B5B" w:rsidRPr="00196F93">
        <w:rPr>
          <w:rFonts w:cs="Times New Roman"/>
          <w:color w:val="000000" w:themeColor="text1"/>
        </w:rPr>
        <w:t>S1 and S2 emissions</w:t>
      </w:r>
      <w:r w:rsidR="00A54A7F">
        <w:rPr>
          <w:rFonts w:cs="Times New Roman"/>
          <w:color w:val="000000" w:themeColor="text1"/>
        </w:rPr>
        <w:t xml:space="preserve"> </w:t>
      </w:r>
      <w:r w:rsidR="00933FA9">
        <w:rPr>
          <w:rFonts w:cs="Times New Roman"/>
          <w:color w:val="000000" w:themeColor="text1"/>
        </w:rPr>
        <w:t xml:space="preserve">disclosures </w:t>
      </w:r>
      <w:r w:rsidR="00A54A7F">
        <w:rPr>
          <w:rFonts w:cs="Times New Roman"/>
          <w:color w:val="000000" w:themeColor="text1"/>
        </w:rPr>
        <w:t>only</w:t>
      </w:r>
      <w:r w:rsidR="00664B5B" w:rsidRPr="00196F93">
        <w:rPr>
          <w:rFonts w:cs="Times New Roman"/>
          <w:color w:val="000000" w:themeColor="text1"/>
        </w:rPr>
        <w:t xml:space="preserve"> if they are material from a financial risk perspective.</w:t>
      </w:r>
      <w:r w:rsidR="005F22B7">
        <w:rPr>
          <w:rStyle w:val="FootnoteReference"/>
          <w:rFonts w:cs="Times New Roman"/>
          <w:color w:val="000000" w:themeColor="text1"/>
        </w:rPr>
        <w:footnoteReference w:id="40"/>
      </w:r>
      <w:bookmarkEnd w:id="39"/>
      <w:r w:rsidR="005F22B7">
        <w:rPr>
          <w:rFonts w:cs="Times New Roman"/>
          <w:color w:val="000000" w:themeColor="text1"/>
        </w:rPr>
        <w:t xml:space="preserve"> </w:t>
      </w:r>
      <w:r w:rsidR="00664B5B" w:rsidRPr="00196F93">
        <w:rPr>
          <w:rFonts w:cs="Times New Roman"/>
          <w:color w:val="000000" w:themeColor="text1"/>
        </w:rPr>
        <w:t xml:space="preserve">The </w:t>
      </w:r>
      <w:r w:rsidR="00A54A7F">
        <w:rPr>
          <w:rFonts w:cs="Times New Roman"/>
          <w:color w:val="000000" w:themeColor="text1"/>
        </w:rPr>
        <w:t>rule</w:t>
      </w:r>
      <w:r w:rsidR="00A54A7F" w:rsidRPr="00196F93">
        <w:rPr>
          <w:rFonts w:cs="Times New Roman"/>
          <w:color w:val="000000" w:themeColor="text1"/>
        </w:rPr>
        <w:t xml:space="preserve"> </w:t>
      </w:r>
      <w:r w:rsidR="00664B5B" w:rsidRPr="00196F93">
        <w:rPr>
          <w:rFonts w:cs="Times New Roman"/>
          <w:color w:val="000000" w:themeColor="text1"/>
        </w:rPr>
        <w:t>references the federal securities law definition of materiality</w:t>
      </w:r>
      <w:r w:rsidR="00A54A7F">
        <w:rPr>
          <w:rFonts w:cs="Times New Roman"/>
          <w:color w:val="000000" w:themeColor="text1"/>
        </w:rPr>
        <w:t xml:space="preserve"> </w:t>
      </w:r>
      <w:r w:rsidR="00314899">
        <w:rPr>
          <w:rFonts w:cs="Times New Roman"/>
          <w:color w:val="000000" w:themeColor="text1"/>
        </w:rPr>
        <w:t xml:space="preserve">which </w:t>
      </w:r>
      <w:r w:rsidR="00A54A7F">
        <w:rPr>
          <w:rFonts w:cs="Times New Roman"/>
          <w:color w:val="000000" w:themeColor="text1"/>
        </w:rPr>
        <w:t>has been</w:t>
      </w:r>
      <w:r w:rsidR="00314899" w:rsidRPr="00196F93">
        <w:rPr>
          <w:rFonts w:cs="Times New Roman"/>
          <w:color w:val="000000" w:themeColor="text1"/>
        </w:rPr>
        <w:t xml:space="preserve"> </w:t>
      </w:r>
      <w:r w:rsidR="00314899">
        <w:rPr>
          <w:rFonts w:cs="Times New Roman"/>
          <w:color w:val="000000" w:themeColor="text1"/>
        </w:rPr>
        <w:t>elucidated</w:t>
      </w:r>
      <w:r w:rsidR="00314899" w:rsidRPr="00196F93">
        <w:rPr>
          <w:rFonts w:cs="Times New Roman"/>
          <w:color w:val="000000" w:themeColor="text1"/>
        </w:rPr>
        <w:t xml:space="preserve"> through the “reasonable person standard</w:t>
      </w:r>
      <w:r w:rsidR="00314899">
        <w:rPr>
          <w:rFonts w:cs="Times New Roman"/>
          <w:color w:val="000000" w:themeColor="text1"/>
        </w:rPr>
        <w:t>.</w:t>
      </w:r>
      <w:r w:rsidR="00314899" w:rsidRPr="00196F93">
        <w:rPr>
          <w:rFonts w:cs="Times New Roman"/>
          <w:color w:val="000000" w:themeColor="text1"/>
        </w:rPr>
        <w:t>”</w:t>
      </w:r>
      <w:r w:rsidR="005162A3" w:rsidRPr="00196F93">
        <w:rPr>
          <w:rStyle w:val="FootnoteReference"/>
          <w:rFonts w:cs="Times New Roman"/>
          <w:color w:val="000000" w:themeColor="text1"/>
        </w:rPr>
        <w:footnoteReference w:id="41"/>
      </w:r>
      <w:r w:rsidR="00664B5B" w:rsidRPr="00196F93">
        <w:rPr>
          <w:rFonts w:cs="Times New Roman"/>
          <w:color w:val="000000" w:themeColor="text1"/>
        </w:rPr>
        <w:t xml:space="preserve"> </w:t>
      </w:r>
      <w:r w:rsidR="005162A3" w:rsidRPr="00196F93">
        <w:rPr>
          <w:rFonts w:cs="Times New Roman"/>
          <w:color w:val="000000" w:themeColor="text1"/>
        </w:rPr>
        <w:t>The Supreme Court in</w:t>
      </w:r>
      <w:r w:rsidR="00A42D53" w:rsidRPr="00196F93">
        <w:rPr>
          <w:rFonts w:cs="Times New Roman"/>
          <w:color w:val="000000" w:themeColor="text1"/>
        </w:rPr>
        <w:t xml:space="preserve"> </w:t>
      </w:r>
      <w:bookmarkStart w:id="41" w:name="OLE_LINK139"/>
      <w:r w:rsidR="00A42D53" w:rsidRPr="00196F93">
        <w:rPr>
          <w:rFonts w:cs="Times New Roman"/>
          <w:i/>
          <w:iCs/>
          <w:color w:val="000000" w:themeColor="text1"/>
        </w:rPr>
        <w:t>TSC Industries v. Northway</w:t>
      </w:r>
      <w:bookmarkEnd w:id="41"/>
      <w:r w:rsidR="005162A3" w:rsidRPr="00196F93">
        <w:rPr>
          <w:rFonts w:cs="Times New Roman"/>
          <w:color w:val="000000" w:themeColor="text1"/>
        </w:rPr>
        <w:t xml:space="preserve"> </w:t>
      </w:r>
      <w:r w:rsidR="00A54A7F">
        <w:rPr>
          <w:rFonts w:cs="Times New Roman"/>
          <w:color w:val="000000" w:themeColor="text1"/>
        </w:rPr>
        <w:t>states</w:t>
      </w:r>
      <w:r w:rsidR="005162A3" w:rsidRPr="00196F93">
        <w:rPr>
          <w:rFonts w:cs="Times New Roman"/>
          <w:color w:val="000000" w:themeColor="text1"/>
        </w:rPr>
        <w:t xml:space="preserve"> </w:t>
      </w:r>
      <w:r w:rsidR="00A42D53" w:rsidRPr="00196F93">
        <w:rPr>
          <w:rFonts w:cs="Times New Roman"/>
          <w:color w:val="000000" w:themeColor="text1"/>
        </w:rPr>
        <w:t>a fact is “material” if there is “a substantial likelihood that a reasonable shareholder would consider it important in deciding how to vote,” or “a substantial likelihood that the disclosure of the omitted fact would have been viewed by the reasonable investor as having signiﬁcantly altered the ‘total mix’ of information made available</w:t>
      </w:r>
      <w:r w:rsidR="00314899">
        <w:rPr>
          <w:rFonts w:cs="Times New Roman"/>
          <w:color w:val="000000" w:themeColor="text1"/>
        </w:rPr>
        <w:t>.</w:t>
      </w:r>
      <w:r w:rsidR="005162A3" w:rsidRPr="00196F93">
        <w:rPr>
          <w:rFonts w:cs="Times New Roman"/>
          <w:color w:val="000000" w:themeColor="text1"/>
        </w:rPr>
        <w:t>”</w:t>
      </w:r>
      <w:r w:rsidR="005162A3" w:rsidRPr="00196F93">
        <w:rPr>
          <w:rStyle w:val="FootnoteReference"/>
          <w:rFonts w:cs="Times New Roman"/>
          <w:color w:val="000000" w:themeColor="text1"/>
        </w:rPr>
        <w:footnoteReference w:id="42"/>
      </w:r>
      <w:r w:rsidR="00602B8E" w:rsidRPr="00196F93">
        <w:rPr>
          <w:rFonts w:cs="Times New Roman"/>
          <w:color w:val="000000" w:themeColor="text1"/>
        </w:rPr>
        <w:t xml:space="preserve"> The financial materiality standard is thus centered on providing decision-useful information </w:t>
      </w:r>
      <w:r w:rsidR="005524A4">
        <w:rPr>
          <w:rFonts w:cs="Times New Roman"/>
          <w:color w:val="000000" w:themeColor="text1"/>
        </w:rPr>
        <w:t>to</w:t>
      </w:r>
      <w:r w:rsidR="00314899">
        <w:rPr>
          <w:rFonts w:cs="Times New Roman"/>
          <w:color w:val="000000" w:themeColor="text1"/>
        </w:rPr>
        <w:t xml:space="preserve"> a</w:t>
      </w:r>
      <w:r w:rsidR="00602B8E" w:rsidRPr="00196F93">
        <w:rPr>
          <w:rFonts w:cs="Times New Roman"/>
          <w:color w:val="000000" w:themeColor="text1"/>
        </w:rPr>
        <w:t xml:space="preserve"> </w:t>
      </w:r>
      <w:r w:rsidR="00AA011E">
        <w:rPr>
          <w:rFonts w:cs="Times New Roman"/>
          <w:color w:val="000000" w:themeColor="text1"/>
        </w:rPr>
        <w:t>(</w:t>
      </w:r>
      <w:r w:rsidR="00602B8E" w:rsidRPr="00196F93">
        <w:rPr>
          <w:rFonts w:cs="Times New Roman"/>
          <w:color w:val="000000" w:themeColor="text1"/>
        </w:rPr>
        <w:t>reasonable</w:t>
      </w:r>
      <w:r w:rsidR="00AA011E">
        <w:rPr>
          <w:rFonts w:cs="Times New Roman"/>
          <w:color w:val="000000" w:themeColor="text1"/>
        </w:rPr>
        <w:t>)</w:t>
      </w:r>
      <w:r w:rsidR="00602B8E" w:rsidRPr="00196F93">
        <w:rPr>
          <w:rFonts w:cs="Times New Roman"/>
          <w:color w:val="000000" w:themeColor="text1"/>
        </w:rPr>
        <w:t xml:space="preserve"> investor in </w:t>
      </w:r>
      <w:r w:rsidR="00A54A7F">
        <w:rPr>
          <w:rFonts w:cs="Times New Roman"/>
          <w:color w:val="000000" w:themeColor="text1"/>
        </w:rPr>
        <w:t xml:space="preserve">U.S. </w:t>
      </w:r>
      <w:r w:rsidR="00602B8E" w:rsidRPr="00196F93">
        <w:rPr>
          <w:rFonts w:cs="Times New Roman"/>
          <w:color w:val="000000" w:themeColor="text1"/>
        </w:rPr>
        <w:t xml:space="preserve">public </w:t>
      </w:r>
      <w:r w:rsidR="005524A4">
        <w:rPr>
          <w:rFonts w:cs="Times New Roman"/>
          <w:color w:val="000000" w:themeColor="text1"/>
        </w:rPr>
        <w:t xml:space="preserve">capital </w:t>
      </w:r>
      <w:r w:rsidR="00602B8E" w:rsidRPr="00196F93">
        <w:rPr>
          <w:rFonts w:cs="Times New Roman"/>
          <w:color w:val="000000" w:themeColor="text1"/>
        </w:rPr>
        <w:t>markets.</w:t>
      </w:r>
    </w:p>
    <w:p w14:paraId="06A7E912" w14:textId="40291351" w:rsidR="00215695" w:rsidRPr="00215695" w:rsidRDefault="00AD76C1" w:rsidP="00B71A8C">
      <w:pPr>
        <w:spacing w:line="480" w:lineRule="auto"/>
        <w:ind w:firstLine="720"/>
        <w:contextualSpacing/>
        <w:rPr>
          <w:rFonts w:cs="Times New Roman"/>
          <w:color w:val="000000" w:themeColor="text1"/>
          <w:sz w:val="2"/>
          <w:szCs w:val="2"/>
        </w:rPr>
      </w:pPr>
      <w:r w:rsidRPr="00196F93">
        <w:rPr>
          <w:rFonts w:cs="Times New Roman"/>
          <w:color w:val="000000" w:themeColor="text1"/>
        </w:rPr>
        <w:t>Th</w:t>
      </w:r>
      <w:r w:rsidR="00933FA9">
        <w:rPr>
          <w:rFonts w:cs="Times New Roman"/>
          <w:color w:val="000000" w:themeColor="text1"/>
        </w:rPr>
        <w:t>e</w:t>
      </w:r>
      <w:r w:rsidRPr="00196F93">
        <w:rPr>
          <w:rFonts w:cs="Times New Roman"/>
          <w:color w:val="000000" w:themeColor="text1"/>
        </w:rPr>
        <w:t xml:space="preserve"> reasonable person standard is open-ended, and its vagueness makes it unclear to what degree and extent climate issues must be financially material to a reasonable investor. </w:t>
      </w:r>
      <w:r w:rsidR="00B55324" w:rsidRPr="00196F93">
        <w:rPr>
          <w:rFonts w:cs="Times New Roman"/>
          <w:color w:val="000000" w:themeColor="text1"/>
        </w:rPr>
        <w:t>Climate and emissions information should be disclosed if it is “reasonably likely to have a material impact on the registrant’s business strategy, results of operations, or financial condition</w:t>
      </w:r>
      <w:r w:rsidR="00314899">
        <w:rPr>
          <w:rFonts w:cs="Times New Roman"/>
          <w:color w:val="000000" w:themeColor="text1"/>
        </w:rPr>
        <w:t>.</w:t>
      </w:r>
      <w:r w:rsidR="00B55324" w:rsidRPr="00196F93">
        <w:rPr>
          <w:rFonts w:cs="Times New Roman"/>
          <w:color w:val="000000" w:themeColor="text1"/>
        </w:rPr>
        <w:t>”</w:t>
      </w:r>
      <w:bookmarkStart w:id="43" w:name="OLE_LINK52"/>
      <w:r w:rsidR="00B55324" w:rsidRPr="00196F93">
        <w:rPr>
          <w:rStyle w:val="FootnoteReference"/>
          <w:rFonts w:cs="Times New Roman"/>
          <w:color w:val="000000" w:themeColor="text1"/>
        </w:rPr>
        <w:footnoteReference w:id="43"/>
      </w:r>
      <w:bookmarkEnd w:id="43"/>
      <w:r w:rsidR="00B55324" w:rsidRPr="00196F93">
        <w:rPr>
          <w:rFonts w:cs="Times New Roman"/>
          <w:color w:val="000000" w:themeColor="text1"/>
        </w:rPr>
        <w:t xml:space="preserve"> </w:t>
      </w:r>
      <w:r w:rsidRPr="00196F93">
        <w:rPr>
          <w:rFonts w:cs="Times New Roman"/>
          <w:color w:val="000000" w:themeColor="text1"/>
        </w:rPr>
        <w:t>However, the rule</w:t>
      </w:r>
      <w:r w:rsidR="00F93461">
        <w:rPr>
          <w:rFonts w:cs="Times New Roman"/>
          <w:color w:val="000000" w:themeColor="text1"/>
        </w:rPr>
        <w:t>s would</w:t>
      </w:r>
      <w:r w:rsidRPr="00196F93">
        <w:rPr>
          <w:rFonts w:cs="Times New Roman"/>
          <w:color w:val="000000" w:themeColor="text1"/>
        </w:rPr>
        <w:t xml:space="preserve"> give companies the discretion, and potential burden, to determine whether S1 and S2 emissions are financially material to their</w:t>
      </w:r>
      <w:r w:rsidR="00A54A7F">
        <w:rPr>
          <w:rFonts w:cs="Times New Roman"/>
          <w:color w:val="000000" w:themeColor="text1"/>
        </w:rPr>
        <w:t xml:space="preserve"> individual</w:t>
      </w:r>
      <w:r w:rsidRPr="00196F93">
        <w:rPr>
          <w:rFonts w:cs="Times New Roman"/>
          <w:color w:val="000000" w:themeColor="text1"/>
        </w:rPr>
        <w:t xml:space="preserve"> business in </w:t>
      </w:r>
      <w:r w:rsidR="005C791F" w:rsidRPr="00196F93">
        <w:rPr>
          <w:rFonts w:cs="Times New Roman"/>
          <w:color w:val="000000" w:themeColor="text1"/>
        </w:rPr>
        <w:t>deciding whether to disclose.</w:t>
      </w:r>
      <w:r w:rsidR="00B52AB3">
        <w:rPr>
          <w:rStyle w:val="FootnoteReference"/>
          <w:rFonts w:cs="Times New Roman"/>
          <w:color w:val="000000" w:themeColor="text1"/>
        </w:rPr>
        <w:footnoteReference w:id="44"/>
      </w:r>
      <w:r w:rsidR="005C791F" w:rsidRPr="00196F93">
        <w:rPr>
          <w:rFonts w:cs="Times New Roman"/>
          <w:color w:val="000000" w:themeColor="text1"/>
        </w:rPr>
        <w:t xml:space="preserve"> </w:t>
      </w:r>
      <w:r w:rsidR="00B55324" w:rsidRPr="00196F93">
        <w:rPr>
          <w:rFonts w:cs="Times New Roman"/>
          <w:color w:val="000000" w:themeColor="text1"/>
        </w:rPr>
        <w:t xml:space="preserve">The Supreme Court in </w:t>
      </w:r>
      <w:r w:rsidR="00B55324" w:rsidRPr="00196F93">
        <w:rPr>
          <w:rFonts w:cs="Times New Roman"/>
          <w:i/>
          <w:iCs/>
          <w:color w:val="000000" w:themeColor="text1"/>
        </w:rPr>
        <w:t>Basic v. Levinson</w:t>
      </w:r>
      <w:r w:rsidR="00B55324" w:rsidRPr="00196F93">
        <w:rPr>
          <w:rFonts w:cs="Times New Roman"/>
          <w:color w:val="000000" w:themeColor="text1"/>
        </w:rPr>
        <w:t xml:space="preserve"> </w:t>
      </w:r>
      <w:r w:rsidR="00A54A7F">
        <w:rPr>
          <w:rFonts w:cs="Times New Roman"/>
          <w:color w:val="000000" w:themeColor="text1"/>
        </w:rPr>
        <w:t>states</w:t>
      </w:r>
      <w:r w:rsidR="00B55324" w:rsidRPr="00196F93">
        <w:rPr>
          <w:rFonts w:cs="Times New Roman"/>
          <w:color w:val="000000" w:themeColor="text1"/>
        </w:rPr>
        <w:t>, “with respect to contingent or speculative information or events</w:t>
      </w:r>
      <w:r w:rsidR="00FE525F">
        <w:rPr>
          <w:rFonts w:cs="Times New Roman"/>
          <w:color w:val="000000" w:themeColor="text1"/>
        </w:rPr>
        <w:t xml:space="preserve">… [materiality] </w:t>
      </w:r>
      <w:r w:rsidR="00B55324" w:rsidRPr="00196F93">
        <w:rPr>
          <w:rFonts w:cs="Times New Roman"/>
          <w:color w:val="000000" w:themeColor="text1"/>
        </w:rPr>
        <w:t>will depend at any given time upon a balancing of both the indicated probability that the event will occur and the anticipated magnitude of the event</w:t>
      </w:r>
      <w:r w:rsidR="00314899">
        <w:rPr>
          <w:rFonts w:cs="Times New Roman"/>
          <w:color w:val="000000" w:themeColor="text1"/>
        </w:rPr>
        <w:t>.</w:t>
      </w:r>
      <w:r w:rsidR="00B55324" w:rsidRPr="00196F93">
        <w:rPr>
          <w:rFonts w:cs="Times New Roman"/>
          <w:color w:val="000000" w:themeColor="text1"/>
        </w:rPr>
        <w:t>”</w:t>
      </w:r>
      <w:r w:rsidR="00B55324" w:rsidRPr="00196F93">
        <w:rPr>
          <w:rStyle w:val="FootnoteReference"/>
          <w:rFonts w:cs="Times New Roman"/>
          <w:color w:val="000000" w:themeColor="text1"/>
        </w:rPr>
        <w:footnoteReference w:id="45"/>
      </w:r>
      <w:r w:rsidR="00B55324" w:rsidRPr="00196F93">
        <w:rPr>
          <w:rFonts w:cs="Times New Roman"/>
          <w:color w:val="000000" w:themeColor="text1"/>
        </w:rPr>
        <w:t xml:space="preserve"> Under this </w:t>
      </w:r>
      <w:r w:rsidR="00F46AAC">
        <w:rPr>
          <w:rFonts w:cs="Times New Roman"/>
          <w:color w:val="000000" w:themeColor="text1"/>
        </w:rPr>
        <w:t xml:space="preserve">probabilistic </w:t>
      </w:r>
      <w:r w:rsidR="00B55324" w:rsidRPr="00196F93">
        <w:rPr>
          <w:rFonts w:cs="Times New Roman"/>
          <w:color w:val="000000" w:themeColor="text1"/>
        </w:rPr>
        <w:t>standard, companies need only</w:t>
      </w:r>
      <w:r w:rsidR="00850752" w:rsidRPr="00196F93">
        <w:rPr>
          <w:rFonts w:cs="Times New Roman"/>
          <w:color w:val="000000" w:themeColor="text1"/>
        </w:rPr>
        <w:t xml:space="preserve"> show on balance the speculative probability of climate-risks is on balance much less than the magnitude of financial risk posed to their specific business.</w:t>
      </w:r>
      <w:r w:rsidR="008D2EFF">
        <w:rPr>
          <w:rStyle w:val="FootnoteReference"/>
          <w:rFonts w:cs="Times New Roman"/>
          <w:color w:val="000000" w:themeColor="text1"/>
        </w:rPr>
        <w:footnoteReference w:id="46"/>
      </w:r>
      <w:r w:rsidR="008D2EFF">
        <w:rPr>
          <w:rFonts w:cs="Times New Roman"/>
          <w:color w:val="000000" w:themeColor="text1"/>
        </w:rPr>
        <w:t xml:space="preserve"> </w:t>
      </w:r>
      <w:r w:rsidR="005C791F" w:rsidRPr="00196F93">
        <w:rPr>
          <w:rFonts w:cs="Times New Roman"/>
          <w:color w:val="000000" w:themeColor="text1"/>
        </w:rPr>
        <w:t xml:space="preserve">Thus, </w:t>
      </w:r>
      <w:r w:rsidR="009949B2" w:rsidRPr="00196F93">
        <w:rPr>
          <w:rFonts w:cs="Times New Roman"/>
          <w:color w:val="000000" w:themeColor="text1"/>
        </w:rPr>
        <w:t xml:space="preserve">the SEC has a comparatively </w:t>
      </w:r>
      <w:r w:rsidR="00F46AAC">
        <w:rPr>
          <w:rFonts w:cs="Times New Roman"/>
          <w:color w:val="000000" w:themeColor="text1"/>
        </w:rPr>
        <w:t xml:space="preserve">much </w:t>
      </w:r>
      <w:r w:rsidR="009949B2" w:rsidRPr="00196F93">
        <w:rPr>
          <w:rFonts w:cs="Times New Roman"/>
          <w:color w:val="000000" w:themeColor="text1"/>
        </w:rPr>
        <w:t>less rigorous standard to opt</w:t>
      </w:r>
      <w:r w:rsidR="00E62376">
        <w:rPr>
          <w:rFonts w:cs="Times New Roman"/>
          <w:color w:val="000000" w:themeColor="text1"/>
        </w:rPr>
        <w:t xml:space="preserve"> </w:t>
      </w:r>
      <w:r w:rsidR="009949B2" w:rsidRPr="00196F93">
        <w:rPr>
          <w:rFonts w:cs="Times New Roman"/>
          <w:color w:val="000000" w:themeColor="text1"/>
        </w:rPr>
        <w:t xml:space="preserve">out of disclosures </w:t>
      </w:r>
      <w:r w:rsidR="000167A9">
        <w:rPr>
          <w:rFonts w:cs="Times New Roman"/>
          <w:color w:val="000000" w:themeColor="text1"/>
        </w:rPr>
        <w:t xml:space="preserve">than the EU, as under its </w:t>
      </w:r>
      <w:r w:rsidR="00F93461">
        <w:rPr>
          <w:rFonts w:cs="Times New Roman"/>
          <w:color w:val="000000" w:themeColor="text1"/>
        </w:rPr>
        <w:t>narrow standard of financial materiality</w:t>
      </w:r>
      <w:r w:rsidR="000167A9">
        <w:rPr>
          <w:rFonts w:cs="Times New Roman"/>
          <w:color w:val="000000" w:themeColor="text1"/>
        </w:rPr>
        <w:t xml:space="preserve">, </w:t>
      </w:r>
      <w:r w:rsidR="009949B2" w:rsidRPr="00196F93">
        <w:rPr>
          <w:rFonts w:cs="Times New Roman"/>
          <w:color w:val="000000" w:themeColor="text1"/>
        </w:rPr>
        <w:t xml:space="preserve">companies </w:t>
      </w:r>
      <w:r w:rsidR="000167A9">
        <w:rPr>
          <w:rFonts w:cs="Times New Roman"/>
          <w:color w:val="000000" w:themeColor="text1"/>
        </w:rPr>
        <w:t>merely</w:t>
      </w:r>
      <w:r w:rsidR="000167A9" w:rsidRPr="00196F93">
        <w:rPr>
          <w:rFonts w:cs="Times New Roman"/>
          <w:color w:val="000000" w:themeColor="text1"/>
        </w:rPr>
        <w:t xml:space="preserve"> </w:t>
      </w:r>
      <w:r w:rsidR="009949B2" w:rsidRPr="00196F93">
        <w:rPr>
          <w:rFonts w:cs="Times New Roman"/>
          <w:color w:val="000000" w:themeColor="text1"/>
        </w:rPr>
        <w:t xml:space="preserve">need to </w:t>
      </w:r>
      <w:r w:rsidR="00A54A7F">
        <w:rPr>
          <w:rFonts w:cs="Times New Roman"/>
          <w:color w:val="000000" w:themeColor="text1"/>
        </w:rPr>
        <w:t>determine</w:t>
      </w:r>
      <w:r w:rsidR="00A54A7F" w:rsidRPr="00196F93">
        <w:rPr>
          <w:rFonts w:cs="Times New Roman"/>
          <w:color w:val="000000" w:themeColor="text1"/>
        </w:rPr>
        <w:t xml:space="preserve"> </w:t>
      </w:r>
      <w:r w:rsidR="009949B2" w:rsidRPr="00196F93">
        <w:rPr>
          <w:rFonts w:cs="Times New Roman"/>
          <w:color w:val="000000" w:themeColor="text1"/>
        </w:rPr>
        <w:t xml:space="preserve">disclosures are not </w:t>
      </w:r>
      <w:r w:rsidR="008D2EFF">
        <w:rPr>
          <w:rFonts w:cs="Times New Roman"/>
          <w:color w:val="000000" w:themeColor="text1"/>
        </w:rPr>
        <w:t>“</w:t>
      </w:r>
      <w:r w:rsidR="00B55324" w:rsidRPr="00196F93">
        <w:rPr>
          <w:rFonts w:cs="Times New Roman"/>
          <w:color w:val="000000" w:themeColor="text1"/>
        </w:rPr>
        <w:t>reasonably likely</w:t>
      </w:r>
      <w:r w:rsidR="008D2EFF">
        <w:rPr>
          <w:rFonts w:cs="Times New Roman"/>
          <w:color w:val="000000" w:themeColor="text1"/>
        </w:rPr>
        <w:t>”</w:t>
      </w:r>
      <w:r w:rsidR="00B55324" w:rsidRPr="00196F93">
        <w:rPr>
          <w:rFonts w:cs="Times New Roman"/>
          <w:color w:val="000000" w:themeColor="text1"/>
        </w:rPr>
        <w:t xml:space="preserve"> to have a </w:t>
      </w:r>
      <w:r w:rsidR="008D2EFF">
        <w:rPr>
          <w:rFonts w:cs="Times New Roman"/>
          <w:color w:val="000000" w:themeColor="text1"/>
        </w:rPr>
        <w:t>“</w:t>
      </w:r>
      <w:r w:rsidR="00B55324" w:rsidRPr="00196F93">
        <w:rPr>
          <w:rFonts w:cs="Times New Roman"/>
          <w:color w:val="000000" w:themeColor="text1"/>
        </w:rPr>
        <w:t>material</w:t>
      </w:r>
      <w:r w:rsidR="008D2EFF">
        <w:rPr>
          <w:rFonts w:cs="Times New Roman"/>
          <w:color w:val="000000" w:themeColor="text1"/>
        </w:rPr>
        <w:t>”</w:t>
      </w:r>
      <w:r w:rsidR="00B55324" w:rsidRPr="00196F93">
        <w:rPr>
          <w:rFonts w:cs="Times New Roman"/>
          <w:color w:val="000000" w:themeColor="text1"/>
        </w:rPr>
        <w:t xml:space="preserve"> financial impact</w:t>
      </w:r>
      <w:r w:rsidR="00933FA9">
        <w:rPr>
          <w:rFonts w:cs="Times New Roman"/>
          <w:color w:val="000000" w:themeColor="text1"/>
        </w:rPr>
        <w:t xml:space="preserve"> in their discretion</w:t>
      </w:r>
      <w:r w:rsidR="00B55324" w:rsidRPr="00196F93">
        <w:rPr>
          <w:rFonts w:cs="Times New Roman"/>
          <w:color w:val="000000" w:themeColor="text1"/>
        </w:rPr>
        <w:t>.</w:t>
      </w:r>
      <w:r w:rsidR="000167A9">
        <w:rPr>
          <w:rStyle w:val="FootnoteReference"/>
          <w:rFonts w:cs="Times New Roman"/>
          <w:color w:val="000000" w:themeColor="text1"/>
        </w:rPr>
        <w:footnoteReference w:id="47"/>
      </w:r>
    </w:p>
    <w:p w14:paraId="67C3C7CA" w14:textId="38C98431" w:rsidR="00736A8C" w:rsidRPr="00196F93" w:rsidRDefault="00826842" w:rsidP="00B71A8C">
      <w:pPr>
        <w:pStyle w:val="Heading3"/>
        <w:spacing w:before="0"/>
        <w:contextualSpacing/>
      </w:pPr>
      <w:r w:rsidRPr="00B71A8C">
        <w:rPr>
          <w:u w:val="single"/>
        </w:rPr>
        <w:t>California</w:t>
      </w:r>
      <w:r w:rsidRPr="00196F93">
        <w:t>: Inclusive without Materiality</w:t>
      </w:r>
    </w:p>
    <w:p w14:paraId="1C16E30C" w14:textId="2058FB63" w:rsidR="00A0694B" w:rsidRPr="00196F93" w:rsidRDefault="00B2374F" w:rsidP="00B71A8C">
      <w:pPr>
        <w:spacing w:line="480" w:lineRule="auto"/>
        <w:ind w:firstLine="720"/>
        <w:contextualSpacing/>
        <w:rPr>
          <w:rFonts w:cs="Times New Roman"/>
          <w:color w:val="000000" w:themeColor="text1"/>
        </w:rPr>
      </w:pPr>
      <w:bookmarkStart w:id="44" w:name="OLE_LINK120"/>
      <w:r w:rsidRPr="00196F93">
        <w:rPr>
          <w:rFonts w:cs="Times New Roman"/>
          <w:color w:val="000000" w:themeColor="text1"/>
        </w:rPr>
        <w:t xml:space="preserve">California’s law notably requires S1, S2, and S3 emissions disclosures for all </w:t>
      </w:r>
      <w:r w:rsidR="00850752" w:rsidRPr="00196F93">
        <w:rPr>
          <w:rFonts w:cs="Times New Roman"/>
          <w:color w:val="000000" w:themeColor="text1"/>
        </w:rPr>
        <w:t>covered</w:t>
      </w:r>
      <w:r w:rsidRPr="00196F93">
        <w:rPr>
          <w:rFonts w:cs="Times New Roman"/>
          <w:color w:val="000000" w:themeColor="text1"/>
        </w:rPr>
        <w:t xml:space="preserve"> entities, regardless of whether they are material</w:t>
      </w:r>
      <w:bookmarkEnd w:id="44"/>
      <w:r w:rsidRPr="00196F93">
        <w:rPr>
          <w:rFonts w:cs="Times New Roman"/>
          <w:color w:val="000000" w:themeColor="text1"/>
        </w:rPr>
        <w:t>—</w:t>
      </w:r>
      <w:r w:rsidR="00664B5B" w:rsidRPr="00196F93">
        <w:rPr>
          <w:rFonts w:cs="Times New Roman"/>
          <w:color w:val="000000" w:themeColor="text1"/>
        </w:rPr>
        <w:t>a much more ambitious approach than the SEC’s financial materiality, and even the EU in a manner.</w:t>
      </w:r>
      <w:r w:rsidR="00B52AB3">
        <w:rPr>
          <w:rStyle w:val="FootnoteReference"/>
          <w:rFonts w:cs="Times New Roman"/>
          <w:color w:val="000000" w:themeColor="text1"/>
        </w:rPr>
        <w:footnoteReference w:id="48"/>
      </w:r>
      <w:r w:rsidR="00664B5B" w:rsidRPr="00196F93">
        <w:rPr>
          <w:rFonts w:cs="Times New Roman"/>
          <w:color w:val="000000" w:themeColor="text1"/>
        </w:rPr>
        <w:t xml:space="preserve"> </w:t>
      </w:r>
      <w:r w:rsidR="00A54A7F">
        <w:rPr>
          <w:rFonts w:cs="Times New Roman"/>
          <w:color w:val="000000" w:themeColor="text1"/>
        </w:rPr>
        <w:t>This</w:t>
      </w:r>
      <w:r w:rsidR="00A54A7F" w:rsidRPr="00196F93">
        <w:rPr>
          <w:rFonts w:cs="Times New Roman"/>
          <w:color w:val="000000" w:themeColor="text1"/>
        </w:rPr>
        <w:t xml:space="preserve"> </w:t>
      </w:r>
      <w:r w:rsidR="00AA011E">
        <w:rPr>
          <w:rFonts w:cs="Times New Roman"/>
          <w:color w:val="000000" w:themeColor="text1"/>
        </w:rPr>
        <w:t>effectively</w:t>
      </w:r>
      <w:r w:rsidR="00850752" w:rsidRPr="00196F93">
        <w:rPr>
          <w:rFonts w:cs="Times New Roman"/>
          <w:color w:val="000000" w:themeColor="text1"/>
        </w:rPr>
        <w:t xml:space="preserve"> </w:t>
      </w:r>
      <w:r w:rsidR="00A54A7F">
        <w:rPr>
          <w:rFonts w:cs="Times New Roman"/>
          <w:color w:val="000000" w:themeColor="text1"/>
        </w:rPr>
        <w:t>creates</w:t>
      </w:r>
      <w:r w:rsidR="00A54A7F" w:rsidRPr="00196F93">
        <w:rPr>
          <w:rFonts w:cs="Times New Roman"/>
          <w:color w:val="000000" w:themeColor="text1"/>
        </w:rPr>
        <w:t xml:space="preserve"> </w:t>
      </w:r>
      <w:r w:rsidR="00850752" w:rsidRPr="00196F93">
        <w:rPr>
          <w:rFonts w:cs="Times New Roman"/>
          <w:color w:val="000000" w:themeColor="text1"/>
        </w:rPr>
        <w:t>a non-rebuttable presumption of materiality for S1-3 emissions, unlike the rebuttable presumptions of the EU and SEC.</w:t>
      </w:r>
      <w:r w:rsidR="00B52AB3">
        <w:rPr>
          <w:rStyle w:val="FootnoteReference"/>
          <w:rFonts w:cs="Times New Roman"/>
          <w:color w:val="000000" w:themeColor="text1"/>
        </w:rPr>
        <w:footnoteReference w:id="49"/>
      </w:r>
      <w:r w:rsidR="00850752" w:rsidRPr="00196F93">
        <w:rPr>
          <w:rFonts w:cs="Times New Roman"/>
          <w:color w:val="000000" w:themeColor="text1"/>
        </w:rPr>
        <w:t xml:space="preserve"> </w:t>
      </w:r>
      <w:r w:rsidR="00664B5B" w:rsidRPr="00196F93">
        <w:rPr>
          <w:rFonts w:cs="Times New Roman"/>
          <w:color w:val="000000" w:themeColor="text1"/>
        </w:rPr>
        <w:t>The other climate-related mitigation disclosures, however, are limited by financial materiality</w:t>
      </w:r>
      <w:bookmarkStart w:id="46" w:name="OLE_LINK133"/>
      <w:r w:rsidR="00850752" w:rsidRPr="00196F93">
        <w:rPr>
          <w:rFonts w:cs="Times New Roman"/>
          <w:color w:val="000000" w:themeColor="text1"/>
        </w:rPr>
        <w:t xml:space="preserve"> unless the</w:t>
      </w:r>
      <w:r w:rsidR="00AA011E">
        <w:rPr>
          <w:rFonts w:cs="Times New Roman"/>
          <w:color w:val="000000" w:themeColor="text1"/>
        </w:rPr>
        <w:t xml:space="preserve"> company has made voluntary net-zero </w:t>
      </w:r>
      <w:bookmarkEnd w:id="46"/>
      <w:r w:rsidR="00AA011E">
        <w:rPr>
          <w:rFonts w:cs="Times New Roman"/>
          <w:color w:val="000000" w:themeColor="text1"/>
        </w:rPr>
        <w:t>statements or other climate disclosures.</w:t>
      </w:r>
      <w:r w:rsidR="00B52AB3">
        <w:rPr>
          <w:rStyle w:val="FootnoteReference"/>
          <w:rFonts w:cs="Times New Roman"/>
          <w:color w:val="000000" w:themeColor="text1"/>
        </w:rPr>
        <w:footnoteReference w:id="50"/>
      </w:r>
      <w:r w:rsidR="00F93461">
        <w:rPr>
          <w:rFonts w:cs="Times New Roman"/>
          <w:color w:val="000000" w:themeColor="text1"/>
        </w:rPr>
        <w:t xml:space="preserve"> Thus, the </w:t>
      </w:r>
      <w:r w:rsidR="00A025E3">
        <w:rPr>
          <w:rFonts w:cs="Times New Roman"/>
          <w:color w:val="000000" w:themeColor="text1"/>
        </w:rPr>
        <w:t>CA</w:t>
      </w:r>
      <w:r w:rsidR="00F93461">
        <w:rPr>
          <w:rFonts w:cs="Times New Roman"/>
          <w:color w:val="000000" w:themeColor="text1"/>
        </w:rPr>
        <w:t xml:space="preserve"> Climate Laws prioritize corporate transparency over emissions with a no materiality approach</w:t>
      </w:r>
      <w:r w:rsidR="00091ACE">
        <w:rPr>
          <w:rFonts w:cs="Times New Roman"/>
          <w:color w:val="000000" w:themeColor="text1"/>
        </w:rPr>
        <w:t>.</w:t>
      </w:r>
    </w:p>
    <w:p w14:paraId="482F4BE1" w14:textId="74B2E237" w:rsidR="00826842" w:rsidRPr="00196F93" w:rsidRDefault="00826842" w:rsidP="00B71A8C">
      <w:pPr>
        <w:pStyle w:val="Heading1"/>
        <w:spacing w:after="0"/>
      </w:pPr>
      <w:r w:rsidRPr="00196F93">
        <w:t>Drivers of Regulatory Divergence</w:t>
      </w:r>
    </w:p>
    <w:p w14:paraId="54D49DD8" w14:textId="4032F1C8" w:rsidR="00DD07C2" w:rsidRPr="00B71A8C" w:rsidRDefault="0004276A" w:rsidP="00B71A8C">
      <w:pPr>
        <w:pStyle w:val="Header"/>
        <w:spacing w:line="480" w:lineRule="auto"/>
        <w:contextualSpacing/>
        <w:rPr>
          <w:rFonts w:cs="Times New Roman"/>
          <w:color w:val="C00000"/>
        </w:rPr>
      </w:pPr>
      <w:r>
        <w:rPr>
          <w:rFonts w:cs="Times New Roman"/>
          <w:color w:val="000000" w:themeColor="text1"/>
        </w:rPr>
        <w:t xml:space="preserve">              </w:t>
      </w:r>
      <w:r w:rsidR="00711BC8" w:rsidRPr="00196F93">
        <w:rPr>
          <w:rFonts w:cs="Times New Roman"/>
          <w:color w:val="000000" w:themeColor="text1"/>
        </w:rPr>
        <w:t xml:space="preserve">The divergence between regulatory approaches may be attributed to differences in the </w:t>
      </w:r>
      <w:r w:rsidR="00DD07C2">
        <w:rPr>
          <w:rFonts w:cs="Times New Roman"/>
          <w:color w:val="000000" w:themeColor="text1"/>
        </w:rPr>
        <w:t>legal mandates of</w:t>
      </w:r>
      <w:r w:rsidR="00DD07C2" w:rsidRPr="00196F93">
        <w:rPr>
          <w:rFonts w:cs="Times New Roman"/>
          <w:color w:val="000000" w:themeColor="text1"/>
        </w:rPr>
        <w:t xml:space="preserve"> </w:t>
      </w:r>
      <w:r w:rsidR="00711BC8" w:rsidRPr="00196F93">
        <w:rPr>
          <w:rFonts w:cs="Times New Roman"/>
          <w:color w:val="000000" w:themeColor="text1"/>
        </w:rPr>
        <w:t>regulatory authority</w:t>
      </w:r>
      <w:r w:rsidR="008D2EFF">
        <w:rPr>
          <w:rFonts w:cs="Times New Roman"/>
          <w:color w:val="000000" w:themeColor="text1"/>
        </w:rPr>
        <w:t xml:space="preserve">, </w:t>
      </w:r>
      <w:r w:rsidR="00711BC8" w:rsidRPr="00196F93">
        <w:rPr>
          <w:rFonts w:cs="Times New Roman"/>
          <w:color w:val="000000" w:themeColor="text1"/>
        </w:rPr>
        <w:t>policy priorities</w:t>
      </w:r>
      <w:r w:rsidR="008D2EFF">
        <w:rPr>
          <w:rFonts w:cs="Times New Roman"/>
          <w:color w:val="000000" w:themeColor="text1"/>
        </w:rPr>
        <w:t xml:space="preserve">, and </w:t>
      </w:r>
      <w:r w:rsidR="00933FA9">
        <w:rPr>
          <w:rFonts w:cs="Times New Roman"/>
          <w:color w:val="000000" w:themeColor="text1"/>
        </w:rPr>
        <w:t>the interplay</w:t>
      </w:r>
      <w:r w:rsidR="008D2EFF">
        <w:rPr>
          <w:rFonts w:cs="Times New Roman"/>
          <w:color w:val="000000" w:themeColor="text1"/>
        </w:rPr>
        <w:t xml:space="preserve"> of political economy </w:t>
      </w:r>
      <w:r w:rsidR="00933FA9">
        <w:rPr>
          <w:rFonts w:cs="Times New Roman"/>
          <w:color w:val="000000" w:themeColor="text1"/>
        </w:rPr>
        <w:t>drivers</w:t>
      </w:r>
      <w:r w:rsidR="00711BC8" w:rsidRPr="00196F93">
        <w:rPr>
          <w:rFonts w:cs="Times New Roman"/>
          <w:color w:val="000000" w:themeColor="text1"/>
        </w:rPr>
        <w:t>.</w:t>
      </w:r>
      <w:r w:rsidR="00DD07C2">
        <w:rPr>
          <w:rFonts w:cs="Times New Roman"/>
          <w:color w:val="000000" w:themeColor="text1"/>
        </w:rPr>
        <w:t xml:space="preserve"> This section build</w:t>
      </w:r>
      <w:r w:rsidR="000167A9">
        <w:rPr>
          <w:rFonts w:cs="Times New Roman"/>
          <w:color w:val="000000" w:themeColor="text1"/>
        </w:rPr>
        <w:t>s</w:t>
      </w:r>
      <w:r w:rsidR="00DD07C2">
        <w:rPr>
          <w:rFonts w:cs="Times New Roman"/>
          <w:color w:val="000000" w:themeColor="text1"/>
        </w:rPr>
        <w:t xml:space="preserve"> on A</w:t>
      </w:r>
      <w:bookmarkStart w:id="47" w:name="OLE_LINK90"/>
      <w:r w:rsidR="00D04CF3">
        <w:rPr>
          <w:rFonts w:cs="Times New Roman"/>
          <w:color w:val="000000" w:themeColor="text1"/>
        </w:rPr>
        <w:t>rmour</w:t>
      </w:r>
      <w:r w:rsidR="00C807C8">
        <w:rPr>
          <w:rFonts w:cs="Times New Roman"/>
          <w:color w:val="000000" w:themeColor="text1"/>
        </w:rPr>
        <w:t>’s</w:t>
      </w:r>
      <w:r w:rsidR="00C807C8">
        <w:rPr>
          <w:rStyle w:val="FootnoteReference"/>
          <w:rFonts w:cs="Times New Roman"/>
          <w:color w:val="000000" w:themeColor="text1"/>
        </w:rPr>
        <w:footnoteReference w:id="51"/>
      </w:r>
      <w:r w:rsidR="00C807C8">
        <w:rPr>
          <w:rFonts w:cs="Times New Roman"/>
          <w:color w:val="000000" w:themeColor="text1"/>
        </w:rPr>
        <w:t xml:space="preserve"> analysis</w:t>
      </w:r>
      <w:r w:rsidR="00D04CF3">
        <w:rPr>
          <w:rFonts w:cs="Times New Roman"/>
          <w:color w:val="000000" w:themeColor="text1"/>
        </w:rPr>
        <w:t xml:space="preserve"> </w:t>
      </w:r>
      <w:r w:rsidR="00DD07C2">
        <w:rPr>
          <w:rFonts w:cs="Times New Roman"/>
          <w:color w:val="000000" w:themeColor="text1"/>
        </w:rPr>
        <w:t>to</w:t>
      </w:r>
      <w:r w:rsidR="00D04CF3">
        <w:rPr>
          <w:rFonts w:cs="Times New Roman"/>
          <w:color w:val="000000" w:themeColor="text1"/>
        </w:rPr>
        <w:t xml:space="preserve"> argue </w:t>
      </w:r>
      <w:r w:rsidR="00B52AB3">
        <w:rPr>
          <w:rFonts w:cs="Times New Roman"/>
          <w:color w:val="000000" w:themeColor="text1"/>
        </w:rPr>
        <w:t>the use of different regulatory bodies</w:t>
      </w:r>
      <w:r w:rsidR="00E90E24">
        <w:rPr>
          <w:rFonts w:cs="Times New Roman"/>
          <w:color w:val="000000" w:themeColor="text1"/>
        </w:rPr>
        <w:t>, and their respective mandates,</w:t>
      </w:r>
      <w:r w:rsidR="00B52AB3">
        <w:rPr>
          <w:rFonts w:cs="Times New Roman"/>
          <w:color w:val="000000" w:themeColor="text1"/>
        </w:rPr>
        <w:t xml:space="preserve"> </w:t>
      </w:r>
      <w:r w:rsidR="00E90E24">
        <w:rPr>
          <w:rFonts w:cs="Times New Roman"/>
          <w:color w:val="000000" w:themeColor="text1"/>
        </w:rPr>
        <w:t xml:space="preserve">for corporate transparency </w:t>
      </w:r>
      <w:r w:rsidR="00B52AB3">
        <w:rPr>
          <w:rFonts w:cs="Times New Roman"/>
          <w:color w:val="000000" w:themeColor="text1"/>
        </w:rPr>
        <w:t xml:space="preserve">shapes </w:t>
      </w:r>
      <w:r w:rsidR="005E3B1D">
        <w:rPr>
          <w:rFonts w:cs="Times New Roman"/>
          <w:color w:val="000000" w:themeColor="text1"/>
        </w:rPr>
        <w:t xml:space="preserve">the scope and content of </w:t>
      </w:r>
      <w:r w:rsidR="00477937">
        <w:rPr>
          <w:rFonts w:cs="Times New Roman"/>
          <w:color w:val="000000" w:themeColor="text1"/>
        </w:rPr>
        <w:t>disclosure</w:t>
      </w:r>
      <w:r w:rsidR="005E3B1D">
        <w:rPr>
          <w:rFonts w:cs="Times New Roman"/>
          <w:color w:val="000000" w:themeColor="text1"/>
        </w:rPr>
        <w:t xml:space="preserve"> </w:t>
      </w:r>
      <w:r w:rsidR="005E3B1D" w:rsidRPr="008439E1">
        <w:rPr>
          <w:rFonts w:cs="Times New Roman"/>
          <w:color w:val="000000" w:themeColor="text1"/>
        </w:rPr>
        <w:t>requirement</w:t>
      </w:r>
      <w:r w:rsidR="00E90E24" w:rsidRPr="008439E1">
        <w:rPr>
          <w:rFonts w:cs="Times New Roman"/>
          <w:color w:val="000000" w:themeColor="text1"/>
        </w:rPr>
        <w:t>s</w:t>
      </w:r>
      <w:r w:rsidR="00DD07C2" w:rsidRPr="008439E1">
        <w:rPr>
          <w:rFonts w:cs="Times New Roman"/>
          <w:color w:val="000000" w:themeColor="text1"/>
        </w:rPr>
        <w:t>.</w:t>
      </w:r>
      <w:r w:rsidR="00E90E24" w:rsidRPr="008439E1">
        <w:rPr>
          <w:rFonts w:cs="Times New Roman"/>
          <w:color w:val="000000" w:themeColor="text1"/>
        </w:rPr>
        <w:t xml:space="preserve"> Moreover, it builds on Gelter</w:t>
      </w:r>
      <w:bookmarkStart w:id="50" w:name="_Ref191563855"/>
      <w:r w:rsidR="00E774DB" w:rsidRPr="004A5F86">
        <w:rPr>
          <w:rStyle w:val="FootnoteReference"/>
          <w:rFonts w:cs="Times New Roman"/>
          <w:color w:val="000000" w:themeColor="text1"/>
        </w:rPr>
        <w:footnoteReference w:id="52"/>
      </w:r>
      <w:bookmarkEnd w:id="50"/>
      <w:r w:rsidR="00E774DB" w:rsidRPr="004A5F86">
        <w:rPr>
          <w:rFonts w:cs="Times New Roman"/>
          <w:color w:val="000000" w:themeColor="text1"/>
        </w:rPr>
        <w:t xml:space="preserve"> </w:t>
      </w:r>
      <w:r w:rsidR="00E90E24" w:rsidRPr="008439E1">
        <w:rPr>
          <w:rFonts w:cs="Times New Roman"/>
          <w:color w:val="000000" w:themeColor="text1"/>
        </w:rPr>
        <w:t>and Gordon</w:t>
      </w:r>
      <w:r w:rsidR="00E774DB" w:rsidRPr="004A5F86">
        <w:rPr>
          <w:rStyle w:val="FootnoteReference"/>
          <w:rFonts w:cs="Times New Roman"/>
          <w:color w:val="000000" w:themeColor="text1"/>
        </w:rPr>
        <w:footnoteReference w:id="53"/>
      </w:r>
      <w:r w:rsidR="00E90E24" w:rsidRPr="008439E1">
        <w:rPr>
          <w:rFonts w:cs="Times New Roman"/>
          <w:color w:val="000000" w:themeColor="text1"/>
        </w:rPr>
        <w:t xml:space="preserve"> to</w:t>
      </w:r>
      <w:r w:rsidR="00E90E24">
        <w:rPr>
          <w:rFonts w:cs="Times New Roman"/>
          <w:color w:val="000000" w:themeColor="text1"/>
        </w:rPr>
        <w:t xml:space="preserve"> extend their analysis </w:t>
      </w:r>
      <w:r w:rsidR="002C0E2B">
        <w:rPr>
          <w:rFonts w:cs="Times New Roman"/>
          <w:color w:val="000000" w:themeColor="text1"/>
        </w:rPr>
        <w:t>to</w:t>
      </w:r>
      <w:r w:rsidR="000167A9">
        <w:rPr>
          <w:rFonts w:cs="Times New Roman"/>
          <w:color w:val="000000" w:themeColor="text1"/>
        </w:rPr>
        <w:t xml:space="preserve"> </w:t>
      </w:r>
      <w:r w:rsidR="00E90E24">
        <w:rPr>
          <w:rFonts w:cs="Times New Roman"/>
          <w:color w:val="000000" w:themeColor="text1"/>
        </w:rPr>
        <w:t xml:space="preserve">consider the interplay of </w:t>
      </w:r>
      <w:r w:rsidR="0057613F">
        <w:rPr>
          <w:rFonts w:cs="Times New Roman"/>
          <w:color w:val="000000" w:themeColor="text1"/>
        </w:rPr>
        <w:t xml:space="preserve">political economy factors </w:t>
      </w:r>
      <w:r w:rsidR="0057613F" w:rsidRPr="00E3568F">
        <w:rPr>
          <w:rFonts w:cs="Times New Roman"/>
          <w:color w:val="000000" w:themeColor="text1"/>
        </w:rPr>
        <w:t xml:space="preserve">like </w:t>
      </w:r>
      <w:r w:rsidR="00E90E24" w:rsidRPr="00E3568F">
        <w:rPr>
          <w:rFonts w:cs="Times New Roman"/>
          <w:color w:val="000000" w:themeColor="text1"/>
        </w:rPr>
        <w:t xml:space="preserve">lobbying </w:t>
      </w:r>
      <w:r w:rsidR="0057613F" w:rsidRPr="00E3568F">
        <w:rPr>
          <w:rFonts w:cs="Times New Roman"/>
          <w:color w:val="000000" w:themeColor="text1"/>
        </w:rPr>
        <w:t>with retirement security and fossil fuel exposure</w:t>
      </w:r>
      <w:r w:rsidR="002C0E2B">
        <w:rPr>
          <w:rFonts w:cs="Times New Roman"/>
          <w:color w:val="000000" w:themeColor="text1"/>
        </w:rPr>
        <w:t xml:space="preserve"> within</w:t>
      </w:r>
      <w:r w:rsidR="00E90E24" w:rsidRPr="00E3568F">
        <w:rPr>
          <w:rFonts w:cs="Times New Roman"/>
          <w:color w:val="000000" w:themeColor="text1"/>
        </w:rPr>
        <w:t xml:space="preserve"> the context of specific institutional structures</w:t>
      </w:r>
      <w:r w:rsidR="0057613F" w:rsidRPr="00E3568F">
        <w:rPr>
          <w:rFonts w:cs="Times New Roman"/>
          <w:color w:val="000000" w:themeColor="text1"/>
        </w:rPr>
        <w:t xml:space="preserve">. </w:t>
      </w:r>
      <w:r w:rsidR="002C0E2B">
        <w:rPr>
          <w:rFonts w:cs="Times New Roman"/>
          <w:color w:val="000000" w:themeColor="text1"/>
        </w:rPr>
        <w:t>Th</w:t>
      </w:r>
      <w:r w:rsidR="000545EB">
        <w:rPr>
          <w:rFonts w:cs="Times New Roman"/>
          <w:color w:val="000000" w:themeColor="text1"/>
        </w:rPr>
        <w:t>rough a</w:t>
      </w:r>
      <w:r w:rsidR="002C0E2B">
        <w:rPr>
          <w:rFonts w:cs="Times New Roman"/>
          <w:color w:val="000000" w:themeColor="text1"/>
        </w:rPr>
        <w:t xml:space="preserve"> </w:t>
      </w:r>
      <w:r w:rsidR="0057613F" w:rsidRPr="00E3568F">
        <w:rPr>
          <w:rFonts w:cs="Times New Roman"/>
          <w:color w:val="000000" w:themeColor="text1"/>
        </w:rPr>
        <w:t xml:space="preserve">systemic account of the interplay of </w:t>
      </w:r>
      <w:r w:rsidR="002C0E2B">
        <w:rPr>
          <w:rFonts w:cs="Times New Roman"/>
          <w:color w:val="000000" w:themeColor="text1"/>
        </w:rPr>
        <w:t>these</w:t>
      </w:r>
      <w:r w:rsidR="0057613F" w:rsidRPr="00E3568F">
        <w:rPr>
          <w:rFonts w:cs="Times New Roman"/>
          <w:color w:val="000000" w:themeColor="text1"/>
        </w:rPr>
        <w:t xml:space="preserve"> factors</w:t>
      </w:r>
      <w:r w:rsidR="000545EB">
        <w:rPr>
          <w:rFonts w:cs="Times New Roman"/>
          <w:color w:val="000000" w:themeColor="text1"/>
        </w:rPr>
        <w:t xml:space="preserve">, this section </w:t>
      </w:r>
      <w:r w:rsidR="002C0E2B">
        <w:rPr>
          <w:rFonts w:cs="Times New Roman"/>
          <w:color w:val="000000" w:themeColor="text1"/>
        </w:rPr>
        <w:t>help</w:t>
      </w:r>
      <w:r w:rsidR="000545EB">
        <w:rPr>
          <w:rFonts w:cs="Times New Roman"/>
          <w:color w:val="000000" w:themeColor="text1"/>
        </w:rPr>
        <w:t>s</w:t>
      </w:r>
      <w:r w:rsidR="002C0E2B">
        <w:rPr>
          <w:rFonts w:cs="Times New Roman"/>
          <w:color w:val="000000" w:themeColor="text1"/>
        </w:rPr>
        <w:t xml:space="preserve"> shed light on the mechanisms behind </w:t>
      </w:r>
      <w:r w:rsidR="0057613F" w:rsidRPr="00E3568F">
        <w:rPr>
          <w:rFonts w:cs="Times New Roman"/>
          <w:color w:val="000000" w:themeColor="text1"/>
        </w:rPr>
        <w:t xml:space="preserve">the observed </w:t>
      </w:r>
      <w:r w:rsidR="000545EB">
        <w:rPr>
          <w:rFonts w:cs="Times New Roman"/>
          <w:color w:val="000000" w:themeColor="text1"/>
        </w:rPr>
        <w:t xml:space="preserve">divergence in </w:t>
      </w:r>
      <w:r w:rsidR="002C0E2B">
        <w:rPr>
          <w:rFonts w:cs="Times New Roman"/>
          <w:color w:val="000000" w:themeColor="text1"/>
        </w:rPr>
        <w:t xml:space="preserve">climate reporting </w:t>
      </w:r>
      <w:r w:rsidR="000167A9" w:rsidRPr="00E3568F">
        <w:rPr>
          <w:rFonts w:cs="Times New Roman"/>
          <w:color w:val="000000" w:themeColor="text1"/>
        </w:rPr>
        <w:t xml:space="preserve">and </w:t>
      </w:r>
      <w:r w:rsidR="000545EB">
        <w:rPr>
          <w:rFonts w:cs="Times New Roman"/>
          <w:color w:val="000000" w:themeColor="text1"/>
        </w:rPr>
        <w:t xml:space="preserve">can </w:t>
      </w:r>
      <w:r w:rsidR="000167A9" w:rsidRPr="00E3568F">
        <w:rPr>
          <w:rFonts w:cs="Times New Roman"/>
          <w:color w:val="000000" w:themeColor="text1"/>
        </w:rPr>
        <w:t>inform future policymaking</w:t>
      </w:r>
      <w:r w:rsidR="0057613F" w:rsidRPr="00E3568F">
        <w:rPr>
          <w:rFonts w:cs="Times New Roman"/>
          <w:color w:val="000000" w:themeColor="text1"/>
        </w:rPr>
        <w:t>.</w:t>
      </w:r>
    </w:p>
    <w:bookmarkEnd w:id="47"/>
    <w:p w14:paraId="7ACC5FAF" w14:textId="14B6BEFB" w:rsidR="00651C39" w:rsidRPr="00196F93" w:rsidRDefault="00826842" w:rsidP="00322BF1">
      <w:pPr>
        <w:pStyle w:val="Heading2"/>
      </w:pPr>
      <w:r w:rsidRPr="00196F93">
        <w:t>Legal Authority and Mandates</w:t>
      </w:r>
    </w:p>
    <w:p w14:paraId="6EEC2600" w14:textId="7D7250E1" w:rsidR="00651C39" w:rsidRPr="00C72B75" w:rsidRDefault="00651C39" w:rsidP="00B71A8C">
      <w:pPr>
        <w:spacing w:line="480" w:lineRule="auto"/>
        <w:ind w:firstLine="720"/>
        <w:contextualSpacing/>
        <w:rPr>
          <w:rFonts w:cs="Times New Roman"/>
          <w:color w:val="000000" w:themeColor="text1"/>
        </w:rPr>
      </w:pPr>
      <w:r w:rsidRPr="00196F93">
        <w:rPr>
          <w:rFonts w:cs="Times New Roman"/>
          <w:color w:val="000000" w:themeColor="text1"/>
        </w:rPr>
        <w:t>The divergence in scope and materiality</w:t>
      </w:r>
      <w:r w:rsidR="00C56AA9">
        <w:rPr>
          <w:rFonts w:cs="Times New Roman"/>
          <w:color w:val="000000" w:themeColor="text1"/>
        </w:rPr>
        <w:t xml:space="preserve"> standards</w:t>
      </w:r>
      <w:r w:rsidRPr="00196F93">
        <w:rPr>
          <w:rFonts w:cs="Times New Roman"/>
          <w:color w:val="000000" w:themeColor="text1"/>
        </w:rPr>
        <w:t xml:space="preserve"> applied </w:t>
      </w:r>
      <w:r w:rsidR="00C56AA9">
        <w:rPr>
          <w:rFonts w:cs="Times New Roman"/>
          <w:color w:val="000000" w:themeColor="text1"/>
        </w:rPr>
        <w:t>across</w:t>
      </w:r>
      <w:r w:rsidR="00C56AA9" w:rsidRPr="00196F93">
        <w:rPr>
          <w:rFonts w:cs="Times New Roman"/>
          <w:color w:val="000000" w:themeColor="text1"/>
        </w:rPr>
        <w:t xml:space="preserve"> </w:t>
      </w:r>
      <w:r w:rsidR="00C56AA9">
        <w:rPr>
          <w:rFonts w:cs="Times New Roman"/>
          <w:color w:val="000000" w:themeColor="text1"/>
        </w:rPr>
        <w:t>ESG</w:t>
      </w:r>
      <w:r w:rsidR="00C56AA9" w:rsidRPr="00196F93">
        <w:rPr>
          <w:rFonts w:cs="Times New Roman"/>
          <w:color w:val="000000" w:themeColor="text1"/>
        </w:rPr>
        <w:t xml:space="preserve"> </w:t>
      </w:r>
      <w:r w:rsidRPr="00196F93">
        <w:rPr>
          <w:rFonts w:cs="Times New Roman"/>
          <w:color w:val="000000" w:themeColor="text1"/>
        </w:rPr>
        <w:t xml:space="preserve">reporting regimes may reflect differences between </w:t>
      </w:r>
      <w:r w:rsidR="00142DB8">
        <w:rPr>
          <w:rFonts w:cs="Times New Roman"/>
          <w:color w:val="000000" w:themeColor="text1"/>
        </w:rPr>
        <w:t xml:space="preserve">the </w:t>
      </w:r>
      <w:r w:rsidRPr="00196F93">
        <w:rPr>
          <w:rFonts w:cs="Times New Roman"/>
          <w:color w:val="000000" w:themeColor="text1"/>
        </w:rPr>
        <w:t>regulatory authority</w:t>
      </w:r>
      <w:r w:rsidR="00142DB8">
        <w:rPr>
          <w:rFonts w:cs="Times New Roman"/>
          <w:color w:val="000000" w:themeColor="text1"/>
        </w:rPr>
        <w:t xml:space="preserve"> </w:t>
      </w:r>
      <w:r w:rsidR="00C56AA9">
        <w:rPr>
          <w:rFonts w:cs="Times New Roman"/>
          <w:color w:val="000000" w:themeColor="text1"/>
        </w:rPr>
        <w:t>employed</w:t>
      </w:r>
      <w:r w:rsidR="00142DB8">
        <w:rPr>
          <w:rFonts w:cs="Times New Roman"/>
          <w:color w:val="000000" w:themeColor="text1"/>
        </w:rPr>
        <w:t xml:space="preserve"> to compel corporate disclosure</w:t>
      </w:r>
      <w:r w:rsidRPr="00196F93">
        <w:rPr>
          <w:rFonts w:cs="Times New Roman"/>
          <w:color w:val="000000" w:themeColor="text1"/>
        </w:rPr>
        <w:t xml:space="preserve">. </w:t>
      </w:r>
      <w:r w:rsidR="00DE1FD0" w:rsidRPr="00196F93">
        <w:rPr>
          <w:rStyle w:val="ng-star-inserted1"/>
          <w:rFonts w:cs="Times New Roman"/>
          <w:color w:val="000000" w:themeColor="text1"/>
        </w:rPr>
        <w:t xml:space="preserve">The distinct mandates and approaches of </w:t>
      </w:r>
      <w:r w:rsidR="00F50725">
        <w:rPr>
          <w:rStyle w:val="ng-star-inserted1"/>
          <w:rFonts w:cs="Times New Roman"/>
          <w:color w:val="000000" w:themeColor="text1"/>
        </w:rPr>
        <w:t>each</w:t>
      </w:r>
      <w:r w:rsidR="00DE1FD0" w:rsidRPr="00196F93">
        <w:rPr>
          <w:rStyle w:val="ng-star-inserted1"/>
          <w:rFonts w:cs="Times New Roman"/>
          <w:color w:val="000000" w:themeColor="text1"/>
        </w:rPr>
        <w:t xml:space="preserve"> regulatory bod</w:t>
      </w:r>
      <w:r w:rsidR="00F50725">
        <w:rPr>
          <w:rStyle w:val="ng-star-inserted1"/>
          <w:rFonts w:cs="Times New Roman"/>
          <w:color w:val="000000" w:themeColor="text1"/>
        </w:rPr>
        <w:t>y</w:t>
      </w:r>
      <w:r w:rsidR="00DE1FD0" w:rsidRPr="00196F93">
        <w:rPr>
          <w:rStyle w:val="ng-star-inserted1"/>
          <w:rFonts w:cs="Times New Roman"/>
          <w:color w:val="000000" w:themeColor="text1"/>
        </w:rPr>
        <w:t xml:space="preserve"> reflect the different legal and political contexts within which they operate</w:t>
      </w:r>
      <w:r w:rsidR="00142DB8">
        <w:rPr>
          <w:rStyle w:val="ng-star-inserted1"/>
          <w:rFonts w:cs="Times New Roman"/>
          <w:color w:val="000000" w:themeColor="text1"/>
        </w:rPr>
        <w:t>—an</w:t>
      </w:r>
      <w:r w:rsidR="005A4622">
        <w:rPr>
          <w:rStyle w:val="ng-star-inserted1"/>
          <w:rFonts w:cs="Times New Roman"/>
          <w:color w:val="000000" w:themeColor="text1"/>
        </w:rPr>
        <w:t xml:space="preserve">d their </w:t>
      </w:r>
      <w:r w:rsidR="00142DB8">
        <w:rPr>
          <w:rStyle w:val="ng-star-inserted1"/>
          <w:rFonts w:cs="Times New Roman"/>
          <w:color w:val="000000" w:themeColor="text1"/>
        </w:rPr>
        <w:t>respective philosophies around</w:t>
      </w:r>
      <w:r w:rsidR="005A4622">
        <w:rPr>
          <w:rStyle w:val="ng-star-inserted1"/>
          <w:rFonts w:cs="Times New Roman"/>
          <w:color w:val="000000" w:themeColor="text1"/>
        </w:rPr>
        <w:t xml:space="preserve"> the role and purpose of </w:t>
      </w:r>
      <w:r w:rsidR="00F50725">
        <w:rPr>
          <w:rStyle w:val="ng-star-inserted1"/>
          <w:rFonts w:cs="Times New Roman"/>
          <w:color w:val="000000" w:themeColor="text1"/>
        </w:rPr>
        <w:t xml:space="preserve">mandating </w:t>
      </w:r>
      <w:r w:rsidR="005A4622">
        <w:rPr>
          <w:rStyle w:val="ng-star-inserted1"/>
          <w:rFonts w:cs="Times New Roman"/>
          <w:color w:val="000000" w:themeColor="text1"/>
        </w:rPr>
        <w:t>corporate transparency.</w:t>
      </w:r>
      <w:r w:rsidR="00F50725">
        <w:rPr>
          <w:rStyle w:val="ng-star-inserted1"/>
          <w:rFonts w:cs="Times New Roman"/>
          <w:color w:val="000000" w:themeColor="text1"/>
        </w:rPr>
        <w:t xml:space="preserve"> </w:t>
      </w:r>
      <w:r w:rsidR="00DE1FD0" w:rsidRPr="00196F93">
        <w:rPr>
          <w:rStyle w:val="ng-star-inserted1"/>
          <w:rFonts w:cs="Times New Roman"/>
          <w:color w:val="000000" w:themeColor="text1"/>
        </w:rPr>
        <w:t>The SEC</w:t>
      </w:r>
      <w:r w:rsidR="00C807C8">
        <w:rPr>
          <w:rStyle w:val="ng-star-inserted1"/>
          <w:rFonts w:cs="Times New Roman"/>
          <w:color w:val="000000" w:themeColor="text1"/>
        </w:rPr>
        <w:t>’s</w:t>
      </w:r>
      <w:r w:rsidR="00DE1FD0" w:rsidRPr="00196F93">
        <w:rPr>
          <w:rStyle w:val="ng-star-inserted1"/>
          <w:rFonts w:cs="Times New Roman"/>
          <w:color w:val="000000" w:themeColor="text1"/>
        </w:rPr>
        <w:t xml:space="preserve"> role as a </w:t>
      </w:r>
      <w:r w:rsidR="00DE1FD0">
        <w:rPr>
          <w:rStyle w:val="ng-star-inserted1"/>
          <w:rFonts w:cs="Times New Roman"/>
          <w:color w:val="000000" w:themeColor="text1"/>
        </w:rPr>
        <w:t xml:space="preserve">federal agency and </w:t>
      </w:r>
      <w:r w:rsidR="00DE1FD0" w:rsidRPr="00196F93">
        <w:rPr>
          <w:rStyle w:val="ng-star-inserted1"/>
          <w:rFonts w:cs="Times New Roman"/>
          <w:color w:val="000000" w:themeColor="text1"/>
        </w:rPr>
        <w:t>capital market</w:t>
      </w:r>
      <w:r w:rsidR="00DE1FD0">
        <w:rPr>
          <w:rStyle w:val="ng-star-inserted1"/>
          <w:rFonts w:cs="Times New Roman"/>
          <w:color w:val="000000" w:themeColor="text1"/>
        </w:rPr>
        <w:t>s</w:t>
      </w:r>
      <w:r w:rsidR="00DE1FD0" w:rsidRPr="00196F93">
        <w:rPr>
          <w:rStyle w:val="ng-star-inserted1"/>
          <w:rFonts w:cs="Times New Roman"/>
          <w:color w:val="000000" w:themeColor="text1"/>
        </w:rPr>
        <w:t xml:space="preserve"> </w:t>
      </w:r>
      <w:r w:rsidR="00DE1FD0" w:rsidRPr="00C72B75">
        <w:rPr>
          <w:rStyle w:val="ng-star-inserted1"/>
          <w:rFonts w:cs="Times New Roman"/>
          <w:color w:val="000000" w:themeColor="text1"/>
        </w:rPr>
        <w:t>regulator may explain its investor-centric focus on public capital markets, and the limitations of its mandate to pursue broader environmental and sustainability objectives compared to that of a state legislature (i.e. California), or the EU</w:t>
      </w:r>
      <w:r w:rsidR="00F50725" w:rsidRPr="00C72B75">
        <w:rPr>
          <w:rStyle w:val="ng-star-inserted1"/>
          <w:rFonts w:cs="Times New Roman"/>
          <w:color w:val="000000" w:themeColor="text1"/>
        </w:rPr>
        <w:t>’</w:t>
      </w:r>
      <w:r w:rsidR="00DE1FD0" w:rsidRPr="00C72B75">
        <w:rPr>
          <w:rStyle w:val="ng-star-inserted1"/>
          <w:rFonts w:cs="Times New Roman"/>
          <w:color w:val="000000" w:themeColor="text1"/>
        </w:rPr>
        <w:t>s supranational authority over all European member states</w:t>
      </w:r>
      <w:r w:rsidR="00F91E54" w:rsidRPr="00C72B75">
        <w:rPr>
          <w:rStyle w:val="ng-star-inserted1"/>
          <w:rFonts w:cs="Times New Roman"/>
          <w:color w:val="000000" w:themeColor="text1"/>
        </w:rPr>
        <w:t xml:space="preserve">. </w:t>
      </w:r>
    </w:p>
    <w:p w14:paraId="73AEC675" w14:textId="77777777" w:rsidR="00215695" w:rsidRPr="00C72B75" w:rsidRDefault="00215695" w:rsidP="00B71A8C">
      <w:pPr>
        <w:spacing w:line="480" w:lineRule="auto"/>
        <w:contextualSpacing/>
        <w:rPr>
          <w:rFonts w:cs="Times New Roman"/>
          <w:color w:val="000000" w:themeColor="text1"/>
          <w:sz w:val="2"/>
          <w:szCs w:val="2"/>
        </w:rPr>
      </w:pPr>
    </w:p>
    <w:p w14:paraId="64C7CB75" w14:textId="2595D607" w:rsidR="00444035" w:rsidRPr="00C72B75" w:rsidRDefault="00826842" w:rsidP="00C807C8">
      <w:pPr>
        <w:pStyle w:val="Heading3"/>
        <w:numPr>
          <w:ilvl w:val="0"/>
          <w:numId w:val="5"/>
        </w:numPr>
        <w:spacing w:before="0"/>
        <w:contextualSpacing/>
      </w:pPr>
      <w:bookmarkStart w:id="51" w:name="OLE_LINK138"/>
      <w:r w:rsidRPr="00C72B75">
        <w:rPr>
          <w:u w:val="single"/>
        </w:rPr>
        <w:t>EU</w:t>
      </w:r>
      <w:r w:rsidR="00444035" w:rsidRPr="00C72B75">
        <w:rPr>
          <w:u w:val="single"/>
        </w:rPr>
        <w:t xml:space="preserve"> EC</w:t>
      </w:r>
      <w:r w:rsidRPr="00C72B75">
        <w:rPr>
          <w:u w:val="single"/>
        </w:rPr>
        <w:t>:</w:t>
      </w:r>
      <w:r w:rsidRPr="00C72B75">
        <w:t xml:space="preserve"> </w:t>
      </w:r>
      <w:r w:rsidR="001B632C" w:rsidRPr="00C72B75">
        <w:t xml:space="preserve">Supranational Body - </w:t>
      </w:r>
      <w:r w:rsidRPr="00C72B75">
        <w:t xml:space="preserve">Broad </w:t>
      </w:r>
      <w:r w:rsidR="001B632C" w:rsidRPr="00C72B75">
        <w:t xml:space="preserve">Social </w:t>
      </w:r>
      <w:r w:rsidR="005A3E23">
        <w:t>and</w:t>
      </w:r>
      <w:r w:rsidR="005A3E23" w:rsidRPr="00C72B75">
        <w:t xml:space="preserve"> </w:t>
      </w:r>
      <w:r w:rsidRPr="00C72B75">
        <w:t>Sustainability Mandate</w:t>
      </w:r>
      <w:bookmarkEnd w:id="51"/>
    </w:p>
    <w:p w14:paraId="389804F0" w14:textId="5BB04BA3" w:rsidR="00B01DF3" w:rsidRDefault="00F7641B" w:rsidP="00B71A8C">
      <w:pPr>
        <w:spacing w:line="480" w:lineRule="auto"/>
        <w:contextualSpacing/>
        <w:rPr>
          <w:rFonts w:cs="Times New Roman"/>
          <w:color w:val="000000" w:themeColor="text1"/>
        </w:rPr>
      </w:pPr>
      <w:bookmarkStart w:id="52" w:name="OLE_LINK190"/>
      <w:bookmarkStart w:id="53" w:name="OLE_LINK55"/>
      <w:r w:rsidRPr="00C72B75">
        <w:rPr>
          <w:rFonts w:cs="Times New Roman"/>
          <w:color w:val="000000" w:themeColor="text1"/>
        </w:rPr>
        <w:t xml:space="preserve">             </w:t>
      </w:r>
      <w:bookmarkEnd w:id="52"/>
      <w:r w:rsidR="00426E1A" w:rsidRPr="00C72B75">
        <w:rPr>
          <w:rFonts w:cs="Times New Roman"/>
          <w:color w:val="000000" w:themeColor="text1"/>
        </w:rPr>
        <w:t xml:space="preserve">Part of the divergence may be explained by the character of </w:t>
      </w:r>
      <w:r w:rsidRPr="00C72B75">
        <w:rPr>
          <w:rFonts w:cs="Times New Roman"/>
          <w:color w:val="000000" w:themeColor="text1"/>
        </w:rPr>
        <w:t xml:space="preserve">the </w:t>
      </w:r>
      <w:r w:rsidR="00426E1A" w:rsidRPr="00C72B75">
        <w:rPr>
          <w:rFonts w:cs="Times New Roman"/>
          <w:color w:val="000000" w:themeColor="text1"/>
        </w:rPr>
        <w:t xml:space="preserve">body chosen to implement comprehensive corporate disclosure obligations, and in turn what this implies about </w:t>
      </w:r>
      <w:r w:rsidR="0061073C" w:rsidRPr="00C72B75">
        <w:rPr>
          <w:rFonts w:cs="Times New Roman"/>
          <w:color w:val="000000" w:themeColor="text1"/>
        </w:rPr>
        <w:t>the region’s</w:t>
      </w:r>
      <w:r w:rsidR="00426E1A" w:rsidRPr="00C72B75">
        <w:rPr>
          <w:rFonts w:cs="Times New Roman"/>
          <w:color w:val="000000" w:themeColor="text1"/>
        </w:rPr>
        <w:t xml:space="preserve"> </w:t>
      </w:r>
      <w:r w:rsidR="003D014F" w:rsidRPr="00C72B75">
        <w:rPr>
          <w:rFonts w:cs="Times New Roman"/>
          <w:color w:val="000000" w:themeColor="text1"/>
        </w:rPr>
        <w:t xml:space="preserve">broader </w:t>
      </w:r>
      <w:r w:rsidR="00426E1A" w:rsidRPr="00C72B75">
        <w:rPr>
          <w:rFonts w:cs="Times New Roman"/>
          <w:color w:val="000000" w:themeColor="text1"/>
        </w:rPr>
        <w:t xml:space="preserve">orientation towards transparency. </w:t>
      </w:r>
      <w:r w:rsidR="00F6109C" w:rsidRPr="00C72B75">
        <w:rPr>
          <w:rFonts w:cs="Times New Roman"/>
          <w:color w:val="000000" w:themeColor="text1"/>
        </w:rPr>
        <w:t xml:space="preserve">The </w:t>
      </w:r>
      <w:r w:rsidRPr="00C72B75">
        <w:rPr>
          <w:rFonts w:cs="Times New Roman"/>
          <w:color w:val="000000" w:themeColor="text1"/>
        </w:rPr>
        <w:t>EU</w:t>
      </w:r>
      <w:r w:rsidR="00F91E54">
        <w:rPr>
          <w:rFonts w:cs="Times New Roman"/>
          <w:color w:val="000000" w:themeColor="text1"/>
        </w:rPr>
        <w:t xml:space="preserve"> is a supranational body</w:t>
      </w:r>
      <w:r w:rsidR="0054478F">
        <w:rPr>
          <w:rFonts w:cs="Times New Roman"/>
          <w:color w:val="000000" w:themeColor="text1"/>
        </w:rPr>
        <w:t xml:space="preserve"> that</w:t>
      </w:r>
      <w:r w:rsidR="00F91E54">
        <w:rPr>
          <w:rFonts w:cs="Times New Roman"/>
          <w:color w:val="000000" w:themeColor="text1"/>
        </w:rPr>
        <w:t xml:space="preserve"> acts through the European Commission (EC)—</w:t>
      </w:r>
      <w:r w:rsidR="009A0F74">
        <w:rPr>
          <w:rFonts w:cs="Times New Roman"/>
          <w:color w:val="000000" w:themeColor="text1"/>
        </w:rPr>
        <w:t xml:space="preserve">appointed </w:t>
      </w:r>
      <w:r w:rsidR="00F91E54">
        <w:rPr>
          <w:rFonts w:cs="Times New Roman"/>
          <w:color w:val="000000" w:themeColor="text1"/>
        </w:rPr>
        <w:t xml:space="preserve">executive body </w:t>
      </w:r>
      <w:r w:rsidR="009A0F74">
        <w:rPr>
          <w:rFonts w:cs="Times New Roman"/>
          <w:color w:val="000000" w:themeColor="text1"/>
        </w:rPr>
        <w:t>that</w:t>
      </w:r>
      <w:r w:rsidR="00305017">
        <w:rPr>
          <w:rFonts w:cs="Times New Roman"/>
          <w:color w:val="000000" w:themeColor="text1"/>
        </w:rPr>
        <w:t xml:space="preserve"> </w:t>
      </w:r>
      <w:r w:rsidR="00F91E54">
        <w:rPr>
          <w:rFonts w:cs="Times New Roman"/>
          <w:color w:val="000000" w:themeColor="text1"/>
        </w:rPr>
        <w:t>propose</w:t>
      </w:r>
      <w:r w:rsidR="009A0F74">
        <w:rPr>
          <w:rFonts w:cs="Times New Roman"/>
          <w:color w:val="000000" w:themeColor="text1"/>
        </w:rPr>
        <w:t>s</w:t>
      </w:r>
      <w:r w:rsidR="00F91E54">
        <w:rPr>
          <w:rFonts w:cs="Times New Roman"/>
          <w:color w:val="000000" w:themeColor="text1"/>
        </w:rPr>
        <w:t xml:space="preserve"> </w:t>
      </w:r>
      <w:r w:rsidR="0054478F">
        <w:rPr>
          <w:rFonts w:cs="Times New Roman"/>
          <w:color w:val="000000" w:themeColor="text1"/>
        </w:rPr>
        <w:t xml:space="preserve">and enforces </w:t>
      </w:r>
      <w:r w:rsidR="00305017">
        <w:rPr>
          <w:rFonts w:cs="Times New Roman"/>
          <w:color w:val="000000" w:themeColor="text1"/>
        </w:rPr>
        <w:t>directives;</w:t>
      </w:r>
      <w:r w:rsidR="00F91E54">
        <w:rPr>
          <w:rFonts w:cs="Times New Roman"/>
          <w:color w:val="000000" w:themeColor="text1"/>
        </w:rPr>
        <w:t xml:space="preserve"> </w:t>
      </w:r>
      <w:r w:rsidR="0054478F">
        <w:rPr>
          <w:rFonts w:cs="Times New Roman"/>
          <w:color w:val="000000" w:themeColor="text1"/>
        </w:rPr>
        <w:t xml:space="preserve">the </w:t>
      </w:r>
      <w:r w:rsidR="00F91E54">
        <w:rPr>
          <w:rFonts w:cs="Times New Roman"/>
          <w:color w:val="000000" w:themeColor="text1"/>
        </w:rPr>
        <w:t>European Parliament</w:t>
      </w:r>
      <w:r w:rsidR="0054478F">
        <w:rPr>
          <w:rFonts w:cs="Times New Roman"/>
          <w:color w:val="000000" w:themeColor="text1"/>
        </w:rPr>
        <w:t xml:space="preserve"> (EP)—directly elected by member-states to </w:t>
      </w:r>
      <w:r w:rsidR="00B01DF3">
        <w:rPr>
          <w:rFonts w:cs="Times New Roman"/>
          <w:color w:val="000000" w:themeColor="text1"/>
        </w:rPr>
        <w:t xml:space="preserve">amend and </w:t>
      </w:r>
      <w:r w:rsidR="0054478F">
        <w:rPr>
          <w:rFonts w:cs="Times New Roman"/>
          <w:color w:val="000000" w:themeColor="text1"/>
        </w:rPr>
        <w:t xml:space="preserve">ratify </w:t>
      </w:r>
      <w:r w:rsidR="00305017">
        <w:rPr>
          <w:rFonts w:cs="Times New Roman"/>
          <w:color w:val="000000" w:themeColor="text1"/>
        </w:rPr>
        <w:t>directives</w:t>
      </w:r>
      <w:r w:rsidR="0054478F">
        <w:rPr>
          <w:rFonts w:cs="Times New Roman"/>
          <w:color w:val="000000" w:themeColor="text1"/>
        </w:rPr>
        <w:t xml:space="preserve">; and the </w:t>
      </w:r>
      <w:r w:rsidR="00B01DF3">
        <w:rPr>
          <w:rFonts w:cs="Times New Roman"/>
          <w:color w:val="000000" w:themeColor="text1"/>
        </w:rPr>
        <w:t>European Council</w:t>
      </w:r>
      <w:r w:rsidR="000F0CE3">
        <w:rPr>
          <w:rFonts w:cs="Times New Roman"/>
          <w:color w:val="000000" w:themeColor="text1"/>
        </w:rPr>
        <w:t xml:space="preserve"> (</w:t>
      </w:r>
      <w:r w:rsidR="00B01DF3">
        <w:rPr>
          <w:rFonts w:cs="Times New Roman"/>
          <w:color w:val="000000" w:themeColor="text1"/>
        </w:rPr>
        <w:t>EU</w:t>
      </w:r>
      <w:r w:rsidR="000F0CE3">
        <w:rPr>
          <w:rFonts w:cs="Times New Roman"/>
          <w:color w:val="000000" w:themeColor="text1"/>
        </w:rPr>
        <w:t xml:space="preserve"> Council)</w:t>
      </w:r>
      <w:r w:rsidR="0054478F">
        <w:rPr>
          <w:rFonts w:cs="Times New Roman"/>
          <w:color w:val="000000" w:themeColor="text1"/>
        </w:rPr>
        <w:t>—</w:t>
      </w:r>
      <w:r w:rsidR="00B01DF3">
        <w:rPr>
          <w:rFonts w:cs="Times New Roman"/>
          <w:color w:val="000000" w:themeColor="text1"/>
        </w:rPr>
        <w:t>heads</w:t>
      </w:r>
      <w:r w:rsidR="0054478F">
        <w:rPr>
          <w:rFonts w:cs="Times New Roman"/>
          <w:color w:val="000000" w:themeColor="text1"/>
        </w:rPr>
        <w:t xml:space="preserve"> </w:t>
      </w:r>
      <w:r w:rsidR="00B01DF3">
        <w:rPr>
          <w:rFonts w:cs="Times New Roman"/>
          <w:color w:val="000000" w:themeColor="text1"/>
        </w:rPr>
        <w:t>of</w:t>
      </w:r>
      <w:r w:rsidR="0054478F">
        <w:rPr>
          <w:rFonts w:cs="Times New Roman"/>
          <w:color w:val="000000" w:themeColor="text1"/>
        </w:rPr>
        <w:t xml:space="preserve"> </w:t>
      </w:r>
      <w:r w:rsidR="00F91E54">
        <w:rPr>
          <w:rFonts w:cs="Times New Roman"/>
          <w:color w:val="000000" w:themeColor="text1"/>
        </w:rPr>
        <w:t>member state</w:t>
      </w:r>
      <w:r w:rsidR="00305017">
        <w:rPr>
          <w:rFonts w:cs="Times New Roman"/>
          <w:color w:val="000000" w:themeColor="text1"/>
        </w:rPr>
        <w:t xml:space="preserve"> governments </w:t>
      </w:r>
      <w:r w:rsidR="00B01DF3">
        <w:rPr>
          <w:rFonts w:cs="Times New Roman"/>
          <w:color w:val="000000" w:themeColor="text1"/>
        </w:rPr>
        <w:t>whom</w:t>
      </w:r>
      <w:r w:rsidR="0054478F">
        <w:rPr>
          <w:rFonts w:cs="Times New Roman"/>
          <w:color w:val="000000" w:themeColor="text1"/>
        </w:rPr>
        <w:t xml:space="preserve"> </w:t>
      </w:r>
      <w:r w:rsidR="00B01DF3">
        <w:rPr>
          <w:rFonts w:cs="Times New Roman"/>
          <w:color w:val="000000" w:themeColor="text1"/>
        </w:rPr>
        <w:t xml:space="preserve">also </w:t>
      </w:r>
      <w:r w:rsidR="0054478F">
        <w:rPr>
          <w:rFonts w:cs="Times New Roman"/>
          <w:color w:val="000000" w:themeColor="text1"/>
        </w:rPr>
        <w:t xml:space="preserve">ratify </w:t>
      </w:r>
      <w:r w:rsidR="00305017">
        <w:rPr>
          <w:rFonts w:cs="Times New Roman"/>
          <w:color w:val="000000" w:themeColor="text1"/>
        </w:rPr>
        <w:t>directives</w:t>
      </w:r>
      <w:r w:rsidR="0054478F">
        <w:rPr>
          <w:rFonts w:cs="Times New Roman"/>
          <w:color w:val="000000" w:themeColor="text1"/>
        </w:rPr>
        <w:t>.</w:t>
      </w:r>
      <w:r w:rsidR="00B01DF3">
        <w:rPr>
          <w:rStyle w:val="FootnoteReference"/>
          <w:rFonts w:cs="Times New Roman"/>
          <w:color w:val="000000" w:themeColor="text1"/>
        </w:rPr>
        <w:footnoteReference w:id="54"/>
      </w:r>
      <w:r w:rsidR="0054478F">
        <w:rPr>
          <w:rFonts w:cs="Times New Roman"/>
          <w:color w:val="000000" w:themeColor="text1"/>
        </w:rPr>
        <w:t xml:space="preserve"> </w:t>
      </w:r>
      <w:r w:rsidR="000F0CE3">
        <w:rPr>
          <w:rFonts w:cs="Times New Roman"/>
          <w:color w:val="000000" w:themeColor="text1"/>
        </w:rPr>
        <w:t>When the EP and EU Council ratify a directive proposed by the EC, it becomes binding-law upon all member-states of the EU.</w:t>
      </w:r>
      <w:r w:rsidR="00B01DF3">
        <w:rPr>
          <w:rStyle w:val="FootnoteReference"/>
          <w:rFonts w:cs="Times New Roman"/>
          <w:color w:val="000000" w:themeColor="text1"/>
        </w:rPr>
        <w:footnoteReference w:id="55"/>
      </w:r>
      <w:r w:rsidR="000F0CE3">
        <w:rPr>
          <w:rFonts w:cs="Times New Roman"/>
          <w:color w:val="000000" w:themeColor="text1"/>
        </w:rPr>
        <w:t xml:space="preserve"> Member-states are then responsible for transposing EU directives</w:t>
      </w:r>
      <w:r w:rsidR="00CD3FE7">
        <w:rPr>
          <w:rFonts w:cs="Times New Roman"/>
          <w:color w:val="000000" w:themeColor="text1"/>
        </w:rPr>
        <w:t xml:space="preserve"> like the CSRD</w:t>
      </w:r>
      <w:r w:rsidR="000F0CE3">
        <w:rPr>
          <w:rFonts w:cs="Times New Roman"/>
          <w:color w:val="000000" w:themeColor="text1"/>
        </w:rPr>
        <w:t xml:space="preserve"> into local laws</w:t>
      </w:r>
      <w:r w:rsidR="00CD3FE7">
        <w:rPr>
          <w:rFonts w:cs="Times New Roman"/>
          <w:color w:val="000000" w:themeColor="text1"/>
        </w:rPr>
        <w:t>—which the</w:t>
      </w:r>
      <w:r w:rsidR="000F0CE3">
        <w:rPr>
          <w:rFonts w:cs="Times New Roman"/>
          <w:color w:val="000000" w:themeColor="text1"/>
        </w:rPr>
        <w:t xml:space="preserve"> EC</w:t>
      </w:r>
      <w:r w:rsidR="00B01DF3">
        <w:rPr>
          <w:rFonts w:cs="Times New Roman"/>
          <w:color w:val="000000" w:themeColor="text1"/>
        </w:rPr>
        <w:t xml:space="preserve"> enforce</w:t>
      </w:r>
      <w:r>
        <w:rPr>
          <w:rFonts w:cs="Times New Roman"/>
          <w:color w:val="000000" w:themeColor="text1"/>
        </w:rPr>
        <w:t xml:space="preserve">s </w:t>
      </w:r>
      <w:r w:rsidR="000F0CE3">
        <w:rPr>
          <w:rFonts w:cs="Times New Roman"/>
          <w:color w:val="000000" w:themeColor="text1"/>
        </w:rPr>
        <w:t>with infringement proceedings</w:t>
      </w:r>
      <w:r w:rsidR="00B01DF3">
        <w:rPr>
          <w:rFonts w:cs="Times New Roman"/>
          <w:color w:val="000000" w:themeColor="text1"/>
        </w:rPr>
        <w:t>.</w:t>
      </w:r>
      <w:r w:rsidR="00B01DF3">
        <w:rPr>
          <w:rStyle w:val="FootnoteReference"/>
          <w:rFonts w:cs="Times New Roman"/>
          <w:color w:val="000000" w:themeColor="text1"/>
        </w:rPr>
        <w:footnoteReference w:id="56"/>
      </w:r>
      <w:r w:rsidR="00B01DF3" w:rsidRPr="00B01DF3">
        <w:rPr>
          <w:rFonts w:cs="Times New Roman"/>
          <w:color w:val="000000" w:themeColor="text1"/>
        </w:rPr>
        <w:t xml:space="preserve"> </w:t>
      </w:r>
    </w:p>
    <w:p w14:paraId="17F86CC5" w14:textId="163C1AB9" w:rsidR="00E33732" w:rsidRDefault="00F7641B" w:rsidP="00F7641B">
      <w:pPr>
        <w:spacing w:line="480" w:lineRule="auto"/>
        <w:contextualSpacing/>
        <w:rPr>
          <w:rFonts w:cs="Times New Roman"/>
          <w:color w:val="000000" w:themeColor="text1"/>
        </w:rPr>
      </w:pPr>
      <w:r>
        <w:rPr>
          <w:rFonts w:cs="Times New Roman"/>
          <w:color w:val="000000" w:themeColor="text1"/>
        </w:rPr>
        <w:t xml:space="preserve">             </w:t>
      </w:r>
      <w:r w:rsidR="00E33732" w:rsidRPr="00440BE3">
        <w:rPr>
          <w:rFonts w:cs="Times New Roman"/>
          <w:color w:val="000000" w:themeColor="text1"/>
        </w:rPr>
        <w:t>The divergence may be explained by variation in regulatory aims and policy priorities towards corporate transparency, reflected in the legal authority and regulatory mandates of the regulatory body chosen to impose comprehensive corporate disclosure requirements.</w:t>
      </w:r>
      <w:r w:rsidR="00E33732" w:rsidRPr="008A72ED">
        <w:rPr>
          <w:rFonts w:cs="Times New Roman"/>
          <w:color w:val="000000" w:themeColor="text1"/>
        </w:rPr>
        <w:t xml:space="preserve"> </w:t>
      </w:r>
      <w:r w:rsidR="00E33732" w:rsidRPr="00440BE3">
        <w:rPr>
          <w:rFonts w:cs="Times New Roman"/>
          <w:color w:val="000000" w:themeColor="text1"/>
        </w:rPr>
        <w:t xml:space="preserve">The EU’s constitutional structure empowers the EU Council, EC, and EP to act </w:t>
      </w:r>
      <w:r w:rsidR="00926372">
        <w:rPr>
          <w:rFonts w:cs="Times New Roman"/>
          <w:color w:val="000000" w:themeColor="text1"/>
        </w:rPr>
        <w:t xml:space="preserve">as </w:t>
      </w:r>
      <w:r w:rsidR="00E33732" w:rsidRPr="00440BE3">
        <w:rPr>
          <w:rFonts w:cs="Times New Roman"/>
          <w:color w:val="000000" w:themeColor="text1"/>
        </w:rPr>
        <w:t>a supranational body with broad mandate including economic integration, social policy, and environmental protection among other goals.</w:t>
      </w:r>
      <w:bookmarkStart w:id="54" w:name="OLE_LINK101"/>
      <w:r w:rsidR="00E33732" w:rsidRPr="00440BE3">
        <w:rPr>
          <w:rStyle w:val="FootnoteReference"/>
          <w:rFonts w:cs="Times New Roman"/>
          <w:color w:val="000000" w:themeColor="text1"/>
        </w:rPr>
        <w:footnoteReference w:id="57"/>
      </w:r>
      <w:bookmarkEnd w:id="54"/>
      <w:r w:rsidR="00E33732" w:rsidRPr="00440BE3">
        <w:rPr>
          <w:rFonts w:cs="Times New Roman"/>
          <w:color w:val="000000" w:themeColor="text1"/>
        </w:rPr>
        <w:t xml:space="preserve"> </w:t>
      </w:r>
      <w:r w:rsidR="00E33732" w:rsidRPr="00196F93">
        <w:rPr>
          <w:rFonts w:cs="Times New Roman"/>
          <w:color w:val="000000" w:themeColor="text1"/>
        </w:rPr>
        <w:t>The CSRD delegates the development of reporting standards to the European Financial Reporting Advisory Group (EFRAG)</w:t>
      </w:r>
      <w:r w:rsidR="00E33732">
        <w:rPr>
          <w:rFonts w:cs="Times New Roman"/>
          <w:color w:val="000000" w:themeColor="text1"/>
        </w:rPr>
        <w:t>—whom is also responsible for comprehensive financial disclosure standards across public and private companies across the continent</w:t>
      </w:r>
      <w:r w:rsidR="00E33732" w:rsidRPr="00196F93">
        <w:rPr>
          <w:rFonts w:cs="Times New Roman"/>
          <w:color w:val="000000" w:themeColor="text1"/>
        </w:rPr>
        <w:t>.</w:t>
      </w:r>
      <w:r w:rsidR="00E33732">
        <w:rPr>
          <w:rStyle w:val="FootnoteReference"/>
          <w:rFonts w:cs="Times New Roman"/>
          <w:color w:val="000000" w:themeColor="text1"/>
        </w:rPr>
        <w:footnoteReference w:id="58"/>
      </w:r>
      <w:r w:rsidR="00E33732">
        <w:rPr>
          <w:rFonts w:cs="Times New Roman"/>
          <w:color w:val="000000" w:themeColor="text1"/>
        </w:rPr>
        <w:t xml:space="preserve"> </w:t>
      </w:r>
      <w:r w:rsidR="00E33732" w:rsidRPr="008A72ED">
        <w:rPr>
          <w:rFonts w:cs="Times New Roman"/>
          <w:color w:val="000000" w:themeColor="text1"/>
        </w:rPr>
        <w:t xml:space="preserve">By relying on </w:t>
      </w:r>
      <w:r w:rsidR="00E33732" w:rsidRPr="001F2291">
        <w:rPr>
          <w:rFonts w:cs="Times New Roman"/>
          <w:color w:val="000000" w:themeColor="text1"/>
        </w:rPr>
        <w:t>the supranational authority of the EU and EC as the chosen regulatory body for comprehensive financial and non-financial</w:t>
      </w:r>
      <w:r w:rsidR="00E33732">
        <w:rPr>
          <w:rFonts w:cs="Times New Roman"/>
          <w:color w:val="000000" w:themeColor="text1"/>
        </w:rPr>
        <w:t xml:space="preserve"> corporate disclosure requirements, the body is thus more broadly empowered</w:t>
      </w:r>
      <w:r w:rsidR="00E33732" w:rsidRPr="00196F93">
        <w:rPr>
          <w:rFonts w:cs="Times New Roman"/>
          <w:color w:val="000000" w:themeColor="text1"/>
        </w:rPr>
        <w:t xml:space="preserve"> </w:t>
      </w:r>
      <w:r w:rsidR="00E33732">
        <w:rPr>
          <w:rFonts w:cs="Times New Roman"/>
          <w:color w:val="000000" w:themeColor="text1"/>
        </w:rPr>
        <w:t xml:space="preserve">with </w:t>
      </w:r>
      <w:r w:rsidR="00E33732" w:rsidRPr="00196F93">
        <w:rPr>
          <w:rFonts w:cs="Times New Roman"/>
          <w:color w:val="000000" w:themeColor="text1"/>
        </w:rPr>
        <w:t>authority to pursue environmental and social goals beyond the limitations of the SEC</w:t>
      </w:r>
      <w:r w:rsidR="00E33732">
        <w:rPr>
          <w:rFonts w:cs="Times New Roman"/>
          <w:color w:val="000000" w:themeColor="text1"/>
        </w:rPr>
        <w:t>’s narrow investor-focus discussed below.</w:t>
      </w:r>
      <w:r w:rsidR="00E33732">
        <w:rPr>
          <w:rStyle w:val="FootnoteReference"/>
          <w:rFonts w:cs="Times New Roman"/>
          <w:color w:val="000000" w:themeColor="text1"/>
        </w:rPr>
        <w:footnoteReference w:id="59"/>
      </w:r>
      <w:r w:rsidR="00E33732">
        <w:rPr>
          <w:rFonts w:cs="Times New Roman"/>
          <w:color w:val="000000" w:themeColor="text1"/>
        </w:rPr>
        <w:t xml:space="preserve"> Instead of rooting their primary disclosure mechanism within narrower authority, the EU is empowered to implement broader financial and non-financial ESG disclosure requirements across public and private companies alike. </w:t>
      </w:r>
    </w:p>
    <w:p w14:paraId="70982A93" w14:textId="13635309" w:rsidR="00E33732" w:rsidRDefault="00E33732" w:rsidP="00B71A8C">
      <w:pPr>
        <w:spacing w:line="480" w:lineRule="auto"/>
        <w:contextualSpacing/>
        <w:rPr>
          <w:rFonts w:cs="Times New Roman"/>
          <w:color w:val="000000" w:themeColor="text1"/>
        </w:rPr>
      </w:pPr>
      <w:r>
        <w:rPr>
          <w:rFonts w:cs="Times New Roman"/>
          <w:color w:val="000000" w:themeColor="text1"/>
        </w:rPr>
        <w:t xml:space="preserve">             </w:t>
      </w:r>
      <w:r w:rsidR="00926A7E" w:rsidRPr="00196F93">
        <w:rPr>
          <w:rFonts w:cs="Times New Roman"/>
          <w:color w:val="000000" w:themeColor="text1"/>
        </w:rPr>
        <w:t>The CSRD</w:t>
      </w:r>
      <w:r w:rsidR="00B44F4A">
        <w:rPr>
          <w:rFonts w:cs="Times New Roman"/>
          <w:color w:val="000000" w:themeColor="text1"/>
        </w:rPr>
        <w:t xml:space="preserve">’s </w:t>
      </w:r>
      <w:r w:rsidR="00926A7E" w:rsidRPr="00196F93">
        <w:rPr>
          <w:rFonts w:cs="Times New Roman"/>
          <w:color w:val="000000" w:themeColor="text1"/>
        </w:rPr>
        <w:t>“double materiality” principle requires companies to disclose “information that is material for investors as well as for other societal stakeholders and the environment</w:t>
      </w:r>
      <w:r w:rsidR="00926A7E">
        <w:rPr>
          <w:rFonts w:cs="Times New Roman"/>
          <w:color w:val="000000" w:themeColor="text1"/>
        </w:rPr>
        <w:t>.</w:t>
      </w:r>
      <w:r w:rsidR="00926A7E" w:rsidRPr="00196F93">
        <w:rPr>
          <w:rFonts w:cs="Times New Roman"/>
          <w:color w:val="000000" w:themeColor="text1"/>
        </w:rPr>
        <w:t>”</w:t>
      </w:r>
      <w:bookmarkStart w:id="55" w:name="OLE_LINK67"/>
      <w:r w:rsidR="00926A7E" w:rsidRPr="00196F93">
        <w:rPr>
          <w:rStyle w:val="FootnoteReference"/>
          <w:rFonts w:cs="Times New Roman"/>
          <w:color w:val="000000" w:themeColor="text1"/>
        </w:rPr>
        <w:footnoteReference w:id="60"/>
      </w:r>
      <w:r w:rsidR="00926A7E" w:rsidRPr="00196F93">
        <w:rPr>
          <w:rFonts w:cs="Times New Roman"/>
          <w:color w:val="000000" w:themeColor="text1"/>
        </w:rPr>
        <w:t xml:space="preserve"> </w:t>
      </w:r>
      <w:bookmarkEnd w:id="55"/>
      <w:r w:rsidR="00926A7E" w:rsidRPr="00196F93">
        <w:rPr>
          <w:rFonts w:cs="Times New Roman"/>
          <w:color w:val="000000" w:themeColor="text1"/>
        </w:rPr>
        <w:t>This explicit orientation towards stakeholder and environmental goals</w:t>
      </w:r>
      <w:r w:rsidR="005A4622">
        <w:rPr>
          <w:rFonts w:cs="Times New Roman"/>
          <w:color w:val="000000" w:themeColor="text1"/>
        </w:rPr>
        <w:t xml:space="preserve"> reflects</w:t>
      </w:r>
      <w:r w:rsidR="00926A7E" w:rsidRPr="00196F93">
        <w:rPr>
          <w:rFonts w:cs="Times New Roman"/>
          <w:color w:val="000000" w:themeColor="text1"/>
        </w:rPr>
        <w:t xml:space="preserve"> </w:t>
      </w:r>
      <w:r w:rsidR="008A72ED">
        <w:rPr>
          <w:rFonts w:cs="Times New Roman"/>
          <w:color w:val="000000" w:themeColor="text1"/>
        </w:rPr>
        <w:t xml:space="preserve">the EU’s much </w:t>
      </w:r>
      <w:r w:rsidR="00926A7E" w:rsidRPr="00196F93">
        <w:rPr>
          <w:rFonts w:cs="Times New Roman"/>
          <w:color w:val="000000" w:themeColor="text1"/>
        </w:rPr>
        <w:t>broader mandate than the narrow investor focus of the SEC</w:t>
      </w:r>
      <w:r w:rsidR="00926A7E">
        <w:rPr>
          <w:rFonts w:cs="Times New Roman"/>
          <w:color w:val="000000" w:themeColor="text1"/>
        </w:rPr>
        <w:t xml:space="preserve"> on public investors</w:t>
      </w:r>
      <w:r w:rsidR="005A4622">
        <w:rPr>
          <w:rFonts w:cs="Times New Roman"/>
          <w:color w:val="000000" w:themeColor="text1"/>
        </w:rPr>
        <w:t xml:space="preserve"> that empowers </w:t>
      </w:r>
      <w:r w:rsidR="008A72ED">
        <w:rPr>
          <w:rFonts w:cs="Times New Roman"/>
          <w:color w:val="000000" w:themeColor="text1"/>
        </w:rPr>
        <w:t xml:space="preserve">mandates for </w:t>
      </w:r>
      <w:r w:rsidR="00926A7E" w:rsidRPr="00196F93">
        <w:rPr>
          <w:rFonts w:cs="Times New Roman"/>
          <w:color w:val="000000" w:themeColor="text1"/>
        </w:rPr>
        <w:t xml:space="preserve">corporate disclosure and action </w:t>
      </w:r>
      <w:r w:rsidR="00926A7E">
        <w:rPr>
          <w:rFonts w:cs="Times New Roman"/>
          <w:color w:val="000000" w:themeColor="text1"/>
        </w:rPr>
        <w:t xml:space="preserve">across a </w:t>
      </w:r>
      <w:r w:rsidR="00926A7E" w:rsidRPr="00196F93">
        <w:rPr>
          <w:rFonts w:cs="Times New Roman"/>
          <w:color w:val="000000" w:themeColor="text1"/>
        </w:rPr>
        <w:t>much wider range of goals.</w:t>
      </w:r>
      <w:r w:rsidR="00A42ABF">
        <w:rPr>
          <w:rFonts w:cs="Times New Roman"/>
          <w:color w:val="000000" w:themeColor="text1"/>
        </w:rPr>
        <w:t xml:space="preserve"> </w:t>
      </w:r>
      <w:r w:rsidR="00A42ABF" w:rsidRPr="00196F93">
        <w:rPr>
          <w:rFonts w:cs="Times New Roman"/>
          <w:color w:val="000000" w:themeColor="text1"/>
        </w:rPr>
        <w:t xml:space="preserve">The </w:t>
      </w:r>
      <w:bookmarkStart w:id="56" w:name="OLE_LINK66"/>
      <w:r w:rsidR="00A42ABF" w:rsidRPr="00196F93">
        <w:rPr>
          <w:rFonts w:cs="Times New Roman"/>
          <w:i/>
          <w:iCs/>
          <w:color w:val="000000" w:themeColor="text1"/>
        </w:rPr>
        <w:t>EU Climate Law</w:t>
      </w:r>
      <w:r w:rsidR="00A42ABF" w:rsidRPr="00196F93">
        <w:rPr>
          <w:rFonts w:cs="Times New Roman"/>
          <w:color w:val="000000" w:themeColor="text1"/>
        </w:rPr>
        <w:t xml:space="preserve"> and </w:t>
      </w:r>
      <w:r w:rsidR="00A42ABF" w:rsidRPr="00196F93">
        <w:rPr>
          <w:rFonts w:cs="Times New Roman"/>
          <w:i/>
          <w:iCs/>
          <w:color w:val="000000" w:themeColor="text1"/>
        </w:rPr>
        <w:t>European Green Dea</w:t>
      </w:r>
      <w:bookmarkEnd w:id="56"/>
      <w:r w:rsidR="00A42ABF" w:rsidRPr="00196F93">
        <w:rPr>
          <w:rFonts w:cs="Times New Roman"/>
          <w:i/>
          <w:iCs/>
          <w:color w:val="000000" w:themeColor="text1"/>
        </w:rPr>
        <w:t>l</w:t>
      </w:r>
      <w:r w:rsidR="00A42ABF" w:rsidRPr="00196F93">
        <w:rPr>
          <w:rFonts w:cs="Times New Roman"/>
          <w:color w:val="000000" w:themeColor="text1"/>
        </w:rPr>
        <w:t xml:space="preserve"> for instance legally requires a 55% reduction in emissions by 2030 and climate neutrality by 2050.</w:t>
      </w:r>
      <w:r w:rsidR="00A42ABF">
        <w:rPr>
          <w:rStyle w:val="FootnoteReference"/>
          <w:rFonts w:cs="Times New Roman"/>
          <w:color w:val="000000" w:themeColor="text1"/>
        </w:rPr>
        <w:footnoteReference w:id="61"/>
      </w:r>
      <w:r w:rsidR="00A42ABF" w:rsidRPr="00196F93">
        <w:rPr>
          <w:rFonts w:cs="Times New Roman"/>
          <w:color w:val="000000" w:themeColor="text1"/>
        </w:rPr>
        <w:t xml:space="preserve"> </w:t>
      </w:r>
      <w:r>
        <w:rPr>
          <w:rFonts w:cs="Times New Roman"/>
          <w:color w:val="000000" w:themeColor="text1"/>
        </w:rPr>
        <w:t>The</w:t>
      </w:r>
      <w:r w:rsidR="0061073C">
        <w:rPr>
          <w:rFonts w:cs="Times New Roman"/>
          <w:color w:val="000000" w:themeColor="text1"/>
        </w:rPr>
        <w:t xml:space="preserve"> explicit tie to the needs of </w:t>
      </w:r>
      <w:r w:rsidR="002F6763" w:rsidRPr="00196F93">
        <w:rPr>
          <w:rFonts w:cs="Times New Roman"/>
          <w:color w:val="000000" w:themeColor="text1"/>
        </w:rPr>
        <w:t xml:space="preserve">“stakeholders” to evaluate companies </w:t>
      </w:r>
      <w:r w:rsidR="0061073C">
        <w:rPr>
          <w:rFonts w:cs="Times New Roman"/>
          <w:color w:val="000000" w:themeColor="text1"/>
        </w:rPr>
        <w:t xml:space="preserve">sustainability </w:t>
      </w:r>
      <w:r w:rsidR="002F6763" w:rsidRPr="00196F93">
        <w:rPr>
          <w:rFonts w:cs="Times New Roman"/>
          <w:color w:val="000000" w:themeColor="text1"/>
        </w:rPr>
        <w:t>and make informed decisions goes beyond the narrower focus on investors</w:t>
      </w:r>
      <w:r w:rsidR="002F6763">
        <w:rPr>
          <w:rFonts w:cs="Times New Roman"/>
          <w:color w:val="000000" w:themeColor="text1"/>
        </w:rPr>
        <w:t xml:space="preserve">, </w:t>
      </w:r>
      <w:r w:rsidR="002F6763" w:rsidRPr="00196F93">
        <w:rPr>
          <w:rFonts w:cs="Times New Roman"/>
          <w:color w:val="000000" w:themeColor="text1"/>
        </w:rPr>
        <w:t xml:space="preserve">and their more </w:t>
      </w:r>
      <w:r w:rsidR="002F6763">
        <w:rPr>
          <w:rFonts w:cs="Times New Roman"/>
          <w:color w:val="000000" w:themeColor="text1"/>
        </w:rPr>
        <w:t>specialized</w:t>
      </w:r>
      <w:r w:rsidR="002F6763" w:rsidRPr="00196F93">
        <w:rPr>
          <w:rFonts w:cs="Times New Roman"/>
          <w:color w:val="000000" w:themeColor="text1"/>
        </w:rPr>
        <w:t xml:space="preserve"> needs for</w:t>
      </w:r>
      <w:r w:rsidR="002F6763">
        <w:rPr>
          <w:rFonts w:cs="Times New Roman"/>
          <w:color w:val="000000" w:themeColor="text1"/>
        </w:rPr>
        <w:t xml:space="preserve"> information relevant to</w:t>
      </w:r>
      <w:r w:rsidR="002F6763" w:rsidRPr="00196F93">
        <w:rPr>
          <w:rFonts w:cs="Times New Roman"/>
          <w:color w:val="000000" w:themeColor="text1"/>
        </w:rPr>
        <w:t xml:space="preserve"> financial decision-making.</w:t>
      </w:r>
      <w:bookmarkStart w:id="57" w:name="_Ref191564711"/>
      <w:r w:rsidR="002F6763" w:rsidRPr="00196F93">
        <w:rPr>
          <w:rStyle w:val="FootnoteReference"/>
          <w:rFonts w:cs="Times New Roman"/>
          <w:color w:val="000000" w:themeColor="text1"/>
        </w:rPr>
        <w:footnoteReference w:id="62"/>
      </w:r>
      <w:bookmarkEnd w:id="57"/>
      <w:r w:rsidR="002F6763" w:rsidRPr="00423193">
        <w:rPr>
          <w:rFonts w:cs="Times New Roman"/>
          <w:color w:val="FF0000"/>
        </w:rPr>
        <w:t xml:space="preserve"> </w:t>
      </w:r>
      <w:r w:rsidR="002F6763" w:rsidRPr="00196F93">
        <w:rPr>
          <w:rFonts w:cs="Times New Roman"/>
          <w:color w:val="000000" w:themeColor="text1"/>
        </w:rPr>
        <w:t>The goal of the CSRD is to “arm investors, customers, and other stakeholders with reliable sustainability data so they can make informed decisions”, and to influence businesses to decarbonize and move Europe towards climate neutrality.</w:t>
      </w:r>
      <w:r w:rsidR="002F6763" w:rsidRPr="00196F93">
        <w:rPr>
          <w:rStyle w:val="FootnoteReference"/>
          <w:rFonts w:cs="Times New Roman"/>
          <w:color w:val="000000" w:themeColor="text1"/>
        </w:rPr>
        <w:footnoteReference w:id="63"/>
      </w:r>
      <w:r w:rsidR="002F6763" w:rsidRPr="00196F93">
        <w:rPr>
          <w:rFonts w:cs="Times New Roman"/>
          <w:color w:val="000000" w:themeColor="text1"/>
        </w:rPr>
        <w:t xml:space="preserve"> Th</w:t>
      </w:r>
      <w:r w:rsidR="002F6763">
        <w:rPr>
          <w:rFonts w:cs="Times New Roman"/>
          <w:color w:val="000000" w:themeColor="text1"/>
        </w:rPr>
        <w:t xml:space="preserve">e CSRD’s </w:t>
      </w:r>
      <w:r w:rsidR="002F6763" w:rsidRPr="00196F93">
        <w:rPr>
          <w:rFonts w:cs="Times New Roman"/>
          <w:color w:val="000000" w:themeColor="text1"/>
        </w:rPr>
        <w:t xml:space="preserve">explicit goal </w:t>
      </w:r>
      <w:r w:rsidR="002F6763">
        <w:rPr>
          <w:rFonts w:cs="Times New Roman"/>
          <w:color w:val="000000" w:themeColor="text1"/>
        </w:rPr>
        <w:t>to facilitate</w:t>
      </w:r>
      <w:r w:rsidR="002F6763" w:rsidRPr="00196F93">
        <w:rPr>
          <w:rFonts w:cs="Times New Roman"/>
          <w:color w:val="000000" w:themeColor="text1"/>
        </w:rPr>
        <w:t xml:space="preserve"> transparency and decision-making </w:t>
      </w:r>
      <w:r w:rsidR="002F6763">
        <w:rPr>
          <w:rFonts w:cs="Times New Roman"/>
          <w:color w:val="000000" w:themeColor="text1"/>
        </w:rPr>
        <w:t>for consumers and societal stakeholders reflects a very different set of policy priorities compared to the SEC’s investor-centric focus in disclosures.</w:t>
      </w:r>
      <w:r w:rsidR="006B62AB">
        <w:rPr>
          <w:rFonts w:cs="Times New Roman"/>
          <w:color w:val="000000" w:themeColor="text1"/>
        </w:rPr>
        <w:t xml:space="preserve"> </w:t>
      </w:r>
      <w:r>
        <w:rPr>
          <w:rFonts w:cs="Times New Roman"/>
          <w:color w:val="000000" w:themeColor="text1"/>
        </w:rPr>
        <w:t>This is reflected in other EU requirements for all limited liability companies to make annual disclosures around operations and finances, while certain large companies are required to “</w:t>
      </w:r>
      <w:r w:rsidRPr="0082390F">
        <w:rPr>
          <w:rFonts w:cs="Times New Roman"/>
          <w:color w:val="000000" w:themeColor="text1"/>
        </w:rPr>
        <w:t>regularly disclose information pertaining to their environmental impact, employee relationships, respect for human rights, and anticorruption measures</w:t>
      </w:r>
      <w:r>
        <w:rPr>
          <w:rFonts w:cs="Times New Roman"/>
          <w:color w:val="000000" w:themeColor="text1"/>
        </w:rPr>
        <w:t xml:space="preserve">,” </w:t>
      </w:r>
      <w:r w:rsidRPr="0082390F">
        <w:rPr>
          <w:rFonts w:cs="Times New Roman"/>
          <w:color w:val="000000" w:themeColor="text1"/>
        </w:rPr>
        <w:t>in order to “meet the needs of investors and other stakeholders [and] to provide consumers with easy access to information on the impact of businesses on society.”</w:t>
      </w:r>
      <w:bookmarkStart w:id="58" w:name="_Ref191564686"/>
      <w:r>
        <w:rPr>
          <w:rStyle w:val="FootnoteReference"/>
          <w:rFonts w:cs="Times New Roman"/>
          <w:color w:val="000000" w:themeColor="text1"/>
        </w:rPr>
        <w:footnoteReference w:id="64"/>
      </w:r>
      <w:bookmarkEnd w:id="58"/>
      <w:r>
        <w:rPr>
          <w:rFonts w:cs="Times New Roman"/>
          <w:color w:val="000000" w:themeColor="text1"/>
        </w:rPr>
        <w:t xml:space="preserve"> Unlike the U.S. context, the EU orientation towards comprehensive corporate transparency is rooted in providing information to serve stakeholders and the public alike in addition to investors.</w:t>
      </w:r>
      <w:r>
        <w:rPr>
          <w:rStyle w:val="FootnoteReference"/>
          <w:rFonts w:cs="Times New Roman"/>
          <w:color w:val="000000" w:themeColor="text1"/>
        </w:rPr>
        <w:footnoteReference w:id="65"/>
      </w:r>
      <w:r>
        <w:rPr>
          <w:rFonts w:cs="Times New Roman"/>
          <w:color w:val="000000" w:themeColor="text1"/>
        </w:rPr>
        <w:t xml:space="preserve"> By utilizing a supranational body to mandate generalized transparency across financial and non-financial factors together, the EU is able to leverage a broader mandate to drive comprehensive and holistic transparency for more audiences and purposes. </w:t>
      </w:r>
    </w:p>
    <w:p w14:paraId="7B65001F" w14:textId="77777777" w:rsidR="006B62AB" w:rsidRDefault="00A42ABF" w:rsidP="006B62AB">
      <w:pPr>
        <w:spacing w:line="480" w:lineRule="auto"/>
        <w:ind w:firstLine="1080"/>
        <w:contextualSpacing/>
        <w:rPr>
          <w:rFonts w:cs="Times New Roman"/>
          <w:color w:val="000000" w:themeColor="text1"/>
        </w:rPr>
      </w:pPr>
      <w:r w:rsidRPr="008A72ED">
        <w:rPr>
          <w:rFonts w:cs="Times New Roman"/>
          <w:color w:val="000000" w:themeColor="text1"/>
        </w:rPr>
        <w:t>Although the focus of this paper is on climate disclosur</w:t>
      </w:r>
      <w:r w:rsidR="00426E1A" w:rsidRPr="008A72ED">
        <w:rPr>
          <w:rFonts w:cs="Times New Roman"/>
          <w:color w:val="000000" w:themeColor="text1"/>
        </w:rPr>
        <w:t>e requirements</w:t>
      </w:r>
      <w:r w:rsidRPr="008A72ED">
        <w:rPr>
          <w:rFonts w:cs="Times New Roman"/>
          <w:color w:val="000000" w:themeColor="text1"/>
        </w:rPr>
        <w:t xml:space="preserve">, the divergence in willingness to </w:t>
      </w:r>
      <w:r w:rsidRPr="00B71A8C">
        <w:rPr>
          <w:rFonts w:cs="Times New Roman"/>
          <w:color w:val="000000" w:themeColor="text1"/>
        </w:rPr>
        <w:t>utilize regulatory authori</w:t>
      </w:r>
      <w:r w:rsidR="002F6763" w:rsidRPr="00B71A8C">
        <w:rPr>
          <w:rFonts w:cs="Times New Roman"/>
          <w:color w:val="000000" w:themeColor="text1"/>
        </w:rPr>
        <w:t xml:space="preserve">ty </w:t>
      </w:r>
      <w:r w:rsidRPr="008A72ED">
        <w:rPr>
          <w:rFonts w:cs="Times New Roman"/>
          <w:color w:val="000000" w:themeColor="text1"/>
        </w:rPr>
        <w:t xml:space="preserve">to </w:t>
      </w:r>
      <w:r w:rsidRPr="00196F93">
        <w:rPr>
          <w:rFonts w:cs="Times New Roman"/>
          <w:color w:val="000000" w:themeColor="text1"/>
        </w:rPr>
        <w:t>compel corporate disclosure</w:t>
      </w:r>
      <w:r w:rsidR="001F2291">
        <w:rPr>
          <w:rFonts w:cs="Times New Roman"/>
          <w:color w:val="000000" w:themeColor="text1"/>
        </w:rPr>
        <w:t>s</w:t>
      </w:r>
      <w:r w:rsidRPr="00196F93">
        <w:rPr>
          <w:rFonts w:cs="Times New Roman"/>
          <w:color w:val="000000" w:themeColor="text1"/>
        </w:rPr>
        <w:t xml:space="preserve"> </w:t>
      </w:r>
      <w:r w:rsidR="00B30D33">
        <w:rPr>
          <w:rFonts w:cs="Times New Roman"/>
          <w:color w:val="000000" w:themeColor="text1"/>
        </w:rPr>
        <w:t xml:space="preserve">over a broader range of topics </w:t>
      </w:r>
      <w:r w:rsidRPr="00196F93">
        <w:rPr>
          <w:rFonts w:cs="Times New Roman"/>
          <w:color w:val="000000" w:themeColor="text1"/>
        </w:rPr>
        <w:t xml:space="preserve">may </w:t>
      </w:r>
      <w:r w:rsidR="00426E1A">
        <w:rPr>
          <w:rFonts w:cs="Times New Roman"/>
          <w:color w:val="000000" w:themeColor="text1"/>
        </w:rPr>
        <w:t>be instructive.</w:t>
      </w:r>
      <w:r w:rsidRPr="00196F93">
        <w:rPr>
          <w:rFonts w:cs="Times New Roman"/>
          <w:color w:val="000000" w:themeColor="text1"/>
        </w:rPr>
        <w:t xml:space="preserve"> The CSRD goes further than California and the SEC in “requiring disclosure of a company’s impacts on other forms of pollution, use of water, biodiversity, affected communities, working conditions, consumers and many other items” beyond climate risk.</w:t>
      </w:r>
      <w:r w:rsidRPr="00196F93">
        <w:rPr>
          <w:rFonts w:cs="Times New Roman"/>
          <w:color w:val="000000" w:themeColor="text1"/>
          <w:vertAlign w:val="superscript"/>
        </w:rPr>
        <w:footnoteReference w:id="66"/>
      </w:r>
      <w:r w:rsidRPr="00196F93">
        <w:rPr>
          <w:rFonts w:cs="Times New Roman"/>
          <w:color w:val="000000" w:themeColor="text1"/>
        </w:rPr>
        <w:t xml:space="preserve"> This approach will require companies to employ extensive environmental and human rights due diligence </w:t>
      </w:r>
      <w:r w:rsidR="00426E1A">
        <w:rPr>
          <w:rFonts w:cs="Times New Roman"/>
          <w:color w:val="000000" w:themeColor="text1"/>
        </w:rPr>
        <w:t>across</w:t>
      </w:r>
      <w:r w:rsidRPr="00196F93">
        <w:rPr>
          <w:rFonts w:cs="Times New Roman"/>
          <w:color w:val="000000" w:themeColor="text1"/>
        </w:rPr>
        <w:t xml:space="preserve"> their entire supply chain</w:t>
      </w:r>
      <w:r w:rsidR="00426E1A">
        <w:rPr>
          <w:rFonts w:cs="Times New Roman"/>
          <w:color w:val="000000" w:themeColor="text1"/>
        </w:rPr>
        <w:t>,</w:t>
      </w:r>
      <w:r w:rsidRPr="00196F93">
        <w:rPr>
          <w:rFonts w:cs="Times New Roman"/>
          <w:color w:val="000000" w:themeColor="text1"/>
        </w:rPr>
        <w:t xml:space="preserve"> and </w:t>
      </w:r>
      <w:r w:rsidR="00426E1A">
        <w:rPr>
          <w:rFonts w:cs="Times New Roman"/>
          <w:color w:val="000000" w:themeColor="text1"/>
        </w:rPr>
        <w:t xml:space="preserve">to </w:t>
      </w:r>
      <w:r w:rsidRPr="00196F93">
        <w:rPr>
          <w:rFonts w:cs="Times New Roman"/>
          <w:color w:val="000000" w:themeColor="text1"/>
        </w:rPr>
        <w:t>mitigate the adverse impacts of their activities.</w:t>
      </w:r>
      <w:r w:rsidRPr="00196F93">
        <w:rPr>
          <w:rStyle w:val="FootnoteReference"/>
          <w:rFonts w:cs="Times New Roman"/>
          <w:color w:val="000000" w:themeColor="text1"/>
        </w:rPr>
        <w:footnoteReference w:id="67"/>
      </w:r>
      <w:r w:rsidRPr="00196F93">
        <w:rPr>
          <w:rFonts w:cs="Times New Roman"/>
          <w:color w:val="000000" w:themeColor="text1"/>
        </w:rPr>
        <w:t xml:space="preserve"> The CSDD</w:t>
      </w:r>
      <w:r>
        <w:rPr>
          <w:rFonts w:cs="Times New Roman"/>
          <w:color w:val="000000" w:themeColor="text1"/>
        </w:rPr>
        <w:t xml:space="preserve">D </w:t>
      </w:r>
      <w:r w:rsidRPr="00196F93">
        <w:rPr>
          <w:rFonts w:cs="Times New Roman"/>
          <w:color w:val="000000" w:themeColor="text1"/>
        </w:rPr>
        <w:t>imposes additional human rights and environmental due diligence, reporting, auditing, and remediation obligations on companies with respect to “their operations, operations of their subsidiaries, and operations of their business partners in companies’ chains of activities</w:t>
      </w:r>
      <w:r w:rsidR="00426E1A">
        <w:rPr>
          <w:rFonts w:cs="Times New Roman"/>
          <w:color w:val="000000" w:themeColor="text1"/>
        </w:rPr>
        <w:t>.</w:t>
      </w:r>
      <w:r w:rsidRPr="00196F93">
        <w:rPr>
          <w:rFonts w:cs="Times New Roman"/>
          <w:color w:val="000000" w:themeColor="text1"/>
        </w:rPr>
        <w:t>”</w:t>
      </w:r>
      <w:r w:rsidRPr="00196F93">
        <w:rPr>
          <w:rStyle w:val="FootnoteReference"/>
          <w:rFonts w:cs="Times New Roman"/>
          <w:color w:val="000000" w:themeColor="text1"/>
        </w:rPr>
        <w:footnoteReference w:id="68"/>
      </w:r>
      <w:r w:rsidR="002F6763">
        <w:rPr>
          <w:rFonts w:cs="Times New Roman"/>
          <w:color w:val="000000" w:themeColor="text1"/>
        </w:rPr>
        <w:t xml:space="preserve"> </w:t>
      </w:r>
      <w:r w:rsidRPr="00196F93">
        <w:rPr>
          <w:rFonts w:cs="Times New Roman"/>
          <w:color w:val="000000" w:themeColor="text1"/>
        </w:rPr>
        <w:t xml:space="preserve">The variety of regulations imposed by the EU </w:t>
      </w:r>
      <w:r>
        <w:rPr>
          <w:rFonts w:cs="Times New Roman"/>
          <w:color w:val="000000" w:themeColor="text1"/>
        </w:rPr>
        <w:t>r</w:t>
      </w:r>
      <w:r w:rsidRPr="00196F93">
        <w:rPr>
          <w:rFonts w:cs="Times New Roman"/>
          <w:color w:val="000000" w:themeColor="text1"/>
        </w:rPr>
        <w:t xml:space="preserve">eveals a much more complex and broader matrix of policies than what the SEC has historically been tasked with addressing as a capital markets regulator. </w:t>
      </w:r>
      <w:r w:rsidR="006B62AB">
        <w:rPr>
          <w:rFonts w:cs="Times New Roman"/>
          <w:color w:val="000000" w:themeColor="text1"/>
        </w:rPr>
        <w:t>The</w:t>
      </w:r>
      <w:r w:rsidR="006B62AB" w:rsidRPr="00196F93">
        <w:rPr>
          <w:rFonts w:cs="Times New Roman"/>
          <w:color w:val="000000" w:themeColor="text1"/>
        </w:rPr>
        <w:t xml:space="preserve"> CSRD explicitly “aims to accelerate the EU's transition to a more sustainable economic system by increasing corporate transparency and accountability on sustainability matters.”</w:t>
      </w:r>
      <w:r w:rsidR="006B62AB" w:rsidRPr="00196F93">
        <w:rPr>
          <w:rStyle w:val="FootnoteReference"/>
          <w:rFonts w:cs="Times New Roman"/>
          <w:bCs/>
          <w:color w:val="000000" w:themeColor="text1"/>
        </w:rPr>
        <w:footnoteReference w:id="69"/>
      </w:r>
      <w:r w:rsidR="006B62AB">
        <w:rPr>
          <w:rFonts w:cs="Times New Roman"/>
          <w:color w:val="000000" w:themeColor="text1"/>
        </w:rPr>
        <w:t xml:space="preserve"> Thus, the</w:t>
      </w:r>
      <w:r w:rsidRPr="00196F93">
        <w:rPr>
          <w:rFonts w:cs="Times New Roman"/>
          <w:color w:val="000000" w:themeColor="text1"/>
        </w:rPr>
        <w:t xml:space="preserve"> E</w:t>
      </w:r>
      <w:r>
        <w:rPr>
          <w:rFonts w:cs="Times New Roman"/>
          <w:color w:val="000000" w:themeColor="text1"/>
        </w:rPr>
        <w:t>U</w:t>
      </w:r>
      <w:r w:rsidRPr="00196F93">
        <w:rPr>
          <w:rFonts w:cs="Times New Roman"/>
          <w:color w:val="000000" w:themeColor="text1"/>
        </w:rPr>
        <w:t xml:space="preserve"> </w:t>
      </w:r>
      <w:r>
        <w:rPr>
          <w:rFonts w:cs="Times New Roman"/>
          <w:color w:val="000000" w:themeColor="text1"/>
        </w:rPr>
        <w:t xml:space="preserve">and California legislature </w:t>
      </w:r>
      <w:r w:rsidRPr="00196F93">
        <w:rPr>
          <w:rFonts w:cs="Times New Roman"/>
          <w:color w:val="000000" w:themeColor="text1"/>
        </w:rPr>
        <w:t xml:space="preserve">views sustainability and the climate transition as </w:t>
      </w:r>
      <w:r w:rsidRPr="001F2291">
        <w:rPr>
          <w:rFonts w:cs="Times New Roman"/>
          <w:color w:val="000000" w:themeColor="text1"/>
        </w:rPr>
        <w:t xml:space="preserve">an economic imperative, and an end </w:t>
      </w:r>
      <w:r w:rsidR="008A72ED">
        <w:rPr>
          <w:rFonts w:cs="Times New Roman"/>
          <w:color w:val="000000" w:themeColor="text1"/>
        </w:rPr>
        <w:t xml:space="preserve">in of itself through </w:t>
      </w:r>
      <w:r w:rsidRPr="001F2291">
        <w:rPr>
          <w:rFonts w:cs="Times New Roman"/>
          <w:color w:val="000000" w:themeColor="text1"/>
        </w:rPr>
        <w:t>its regulatory polic</w:t>
      </w:r>
      <w:r w:rsidR="008A72ED">
        <w:rPr>
          <w:rFonts w:cs="Times New Roman"/>
          <w:color w:val="000000" w:themeColor="text1"/>
        </w:rPr>
        <w:t xml:space="preserve">y. </w:t>
      </w:r>
    </w:p>
    <w:p w14:paraId="5EFFC25C" w14:textId="0275C721" w:rsidR="00D06CE6" w:rsidRDefault="00B30D33" w:rsidP="00B71A8C">
      <w:pPr>
        <w:spacing w:line="480" w:lineRule="auto"/>
        <w:ind w:firstLine="1080"/>
        <w:contextualSpacing/>
        <w:rPr>
          <w:rFonts w:cs="Times New Roman"/>
          <w:color w:val="000000" w:themeColor="text1"/>
        </w:rPr>
      </w:pPr>
      <w:r>
        <w:rPr>
          <w:rFonts w:cs="Times New Roman"/>
          <w:color w:val="000000" w:themeColor="text1"/>
        </w:rPr>
        <w:t xml:space="preserve">This raises </w:t>
      </w:r>
      <w:r w:rsidR="00451DCE">
        <w:rPr>
          <w:rFonts w:cs="Times New Roman"/>
          <w:color w:val="000000" w:themeColor="text1"/>
        </w:rPr>
        <w:t>larger</w:t>
      </w:r>
      <w:r>
        <w:rPr>
          <w:rFonts w:cs="Times New Roman"/>
          <w:color w:val="000000" w:themeColor="text1"/>
        </w:rPr>
        <w:t xml:space="preserve"> questions why the EU </w:t>
      </w:r>
      <w:r w:rsidR="006B62AB">
        <w:rPr>
          <w:rFonts w:cs="Times New Roman"/>
          <w:color w:val="000000" w:themeColor="text1"/>
        </w:rPr>
        <w:t>may</w:t>
      </w:r>
      <w:r>
        <w:rPr>
          <w:rFonts w:cs="Times New Roman"/>
          <w:color w:val="000000" w:themeColor="text1"/>
        </w:rPr>
        <w:t xml:space="preserve"> have diverg</w:t>
      </w:r>
      <w:r w:rsidR="006B62AB">
        <w:rPr>
          <w:rFonts w:cs="Times New Roman"/>
          <w:color w:val="000000" w:themeColor="text1"/>
        </w:rPr>
        <w:t>ent</w:t>
      </w:r>
      <w:r>
        <w:rPr>
          <w:rFonts w:cs="Times New Roman"/>
          <w:color w:val="000000" w:themeColor="text1"/>
        </w:rPr>
        <w:t xml:space="preserve"> attitudes to corporate transparency </w:t>
      </w:r>
      <w:r w:rsidR="006B62AB">
        <w:rPr>
          <w:rFonts w:cs="Times New Roman"/>
          <w:color w:val="000000" w:themeColor="text1"/>
        </w:rPr>
        <w:t xml:space="preserve">more broadly </w:t>
      </w:r>
      <w:r>
        <w:rPr>
          <w:rFonts w:cs="Times New Roman"/>
          <w:color w:val="000000" w:themeColor="text1"/>
        </w:rPr>
        <w:t>compared to the U.S.; however,</w:t>
      </w:r>
      <w:r w:rsidR="00451DCE">
        <w:rPr>
          <w:rFonts w:cs="Times New Roman"/>
          <w:color w:val="000000" w:themeColor="text1"/>
        </w:rPr>
        <w:t xml:space="preserve"> this is beyond the scope of this paper</w:t>
      </w:r>
      <w:r w:rsidR="006B62AB">
        <w:rPr>
          <w:rFonts w:cs="Times New Roman"/>
          <w:color w:val="000000" w:themeColor="text1"/>
        </w:rPr>
        <w:t>.</w:t>
      </w:r>
      <w:r w:rsidR="00451DCE">
        <w:rPr>
          <w:rFonts w:cs="Times New Roman"/>
          <w:color w:val="000000" w:themeColor="text1"/>
        </w:rPr>
        <w:t xml:space="preserve"> </w:t>
      </w:r>
      <w:r w:rsidR="006B62AB">
        <w:rPr>
          <w:rFonts w:cs="Times New Roman"/>
          <w:color w:val="000000" w:themeColor="text1"/>
        </w:rPr>
        <w:t>However,</w:t>
      </w:r>
      <w:r>
        <w:rPr>
          <w:rFonts w:cs="Times New Roman"/>
          <w:color w:val="000000" w:themeColor="text1"/>
        </w:rPr>
        <w:t xml:space="preserve"> given broader cultural or political differences </w:t>
      </w:r>
      <w:r w:rsidR="00451DCE">
        <w:rPr>
          <w:rFonts w:cs="Times New Roman"/>
          <w:color w:val="000000" w:themeColor="text1"/>
        </w:rPr>
        <w:t xml:space="preserve">do </w:t>
      </w:r>
      <w:r>
        <w:rPr>
          <w:rFonts w:cs="Times New Roman"/>
          <w:color w:val="000000" w:themeColor="text1"/>
        </w:rPr>
        <w:t xml:space="preserve">exist, the choice to use the EU and its broader mandate for </w:t>
      </w:r>
      <w:r w:rsidR="006B62AB">
        <w:rPr>
          <w:rFonts w:cs="Times New Roman"/>
          <w:color w:val="000000" w:themeColor="text1"/>
        </w:rPr>
        <w:t>ESG</w:t>
      </w:r>
      <w:r>
        <w:rPr>
          <w:rFonts w:cs="Times New Roman"/>
          <w:color w:val="000000" w:themeColor="text1"/>
        </w:rPr>
        <w:t xml:space="preserve"> </w:t>
      </w:r>
      <w:r w:rsidR="006B62AB">
        <w:rPr>
          <w:rFonts w:cs="Times New Roman"/>
          <w:color w:val="000000" w:themeColor="text1"/>
        </w:rPr>
        <w:t xml:space="preserve">along with </w:t>
      </w:r>
      <w:r>
        <w:rPr>
          <w:rFonts w:cs="Times New Roman"/>
          <w:color w:val="000000" w:themeColor="text1"/>
        </w:rPr>
        <w:t xml:space="preserve">other disclosures </w:t>
      </w:r>
      <w:r w:rsidR="00491E56">
        <w:rPr>
          <w:rFonts w:cs="Times New Roman"/>
          <w:color w:val="000000" w:themeColor="text1"/>
        </w:rPr>
        <w:t>may partially explain some of the observed divergences in disclosure frameworks.</w:t>
      </w:r>
      <w:r w:rsidR="001F2291">
        <w:rPr>
          <w:rFonts w:cs="Times New Roman"/>
          <w:color w:val="000000" w:themeColor="text1"/>
        </w:rPr>
        <w:t xml:space="preserve"> </w:t>
      </w:r>
    </w:p>
    <w:bookmarkEnd w:id="53"/>
    <w:p w14:paraId="1113AF51" w14:textId="77777777" w:rsidR="00215695" w:rsidRPr="00215695" w:rsidRDefault="00215695" w:rsidP="00B71A8C">
      <w:pPr>
        <w:spacing w:line="480" w:lineRule="auto"/>
        <w:ind w:left="0"/>
        <w:contextualSpacing/>
        <w:rPr>
          <w:rFonts w:cs="Times New Roman"/>
          <w:color w:val="000000" w:themeColor="text1"/>
          <w:sz w:val="2"/>
          <w:szCs w:val="2"/>
        </w:rPr>
      </w:pPr>
    </w:p>
    <w:p w14:paraId="779F0438" w14:textId="490A33AD" w:rsidR="00D06CE6" w:rsidRPr="00942415" w:rsidRDefault="00826842" w:rsidP="00B71A8C">
      <w:pPr>
        <w:pStyle w:val="Heading3"/>
        <w:spacing w:before="0"/>
        <w:contextualSpacing/>
      </w:pPr>
      <w:bookmarkStart w:id="59" w:name="OLE_LINK137"/>
      <w:r w:rsidRPr="001D55F9">
        <w:rPr>
          <w:u w:val="single"/>
        </w:rPr>
        <w:t>U.S.</w:t>
      </w:r>
      <w:r w:rsidR="00120F42" w:rsidRPr="001D55F9">
        <w:rPr>
          <w:u w:val="single"/>
        </w:rPr>
        <w:t xml:space="preserve"> SEC</w:t>
      </w:r>
      <w:r w:rsidR="00120F42" w:rsidRPr="001D55F9">
        <w:t xml:space="preserve">: </w:t>
      </w:r>
      <w:r w:rsidR="001B632C" w:rsidRPr="001D55F9">
        <w:t>Capital</w:t>
      </w:r>
      <w:r w:rsidR="001B632C" w:rsidRPr="00196F93">
        <w:t xml:space="preserve"> Markets Regulation - </w:t>
      </w:r>
      <w:r w:rsidRPr="00196F93">
        <w:t>Investor-</w:t>
      </w:r>
      <w:r w:rsidRPr="00196F93">
        <w:rPr>
          <w:rStyle w:val="Emphasis"/>
          <w:szCs w:val="24"/>
        </w:rPr>
        <w:t>Centric</w:t>
      </w:r>
      <w:r w:rsidRPr="00196F93">
        <w:t xml:space="preserve"> </w:t>
      </w:r>
      <w:r w:rsidR="00120F42">
        <w:t xml:space="preserve">Market Efficiency </w:t>
      </w:r>
      <w:bookmarkStart w:id="60" w:name="OLE_LINK62"/>
      <w:bookmarkEnd w:id="59"/>
    </w:p>
    <w:bookmarkEnd w:id="60"/>
    <w:p w14:paraId="3937C2D5" w14:textId="466906F1" w:rsidR="00651C39" w:rsidRDefault="009B3D53" w:rsidP="00B71A8C">
      <w:pPr>
        <w:spacing w:line="480" w:lineRule="auto"/>
        <w:ind w:firstLine="1080"/>
        <w:contextualSpacing/>
        <w:rPr>
          <w:rFonts w:cs="Times New Roman"/>
          <w:color w:val="000000" w:themeColor="text1"/>
        </w:rPr>
      </w:pPr>
      <w:r w:rsidRPr="00196F93">
        <w:rPr>
          <w:rFonts w:cs="Times New Roman"/>
          <w:color w:val="000000" w:themeColor="text1"/>
        </w:rPr>
        <w:t xml:space="preserve">The SEC is </w:t>
      </w:r>
      <w:r w:rsidR="001F2291" w:rsidRPr="00196F93">
        <w:rPr>
          <w:rFonts w:cs="Times New Roman"/>
          <w:color w:val="000000" w:themeColor="text1"/>
        </w:rPr>
        <w:t>an</w:t>
      </w:r>
      <w:r w:rsidRPr="00196F93">
        <w:rPr>
          <w:rFonts w:cs="Times New Roman"/>
          <w:color w:val="000000" w:themeColor="text1"/>
        </w:rPr>
        <w:t xml:space="preserve"> </w:t>
      </w:r>
      <w:r w:rsidR="00243DFA">
        <w:rPr>
          <w:rFonts w:cs="Times New Roman"/>
          <w:color w:val="000000" w:themeColor="text1"/>
        </w:rPr>
        <w:t xml:space="preserve">independent </w:t>
      </w:r>
      <w:r w:rsidRPr="00196F93">
        <w:rPr>
          <w:rFonts w:cs="Times New Roman"/>
          <w:color w:val="000000" w:themeColor="text1"/>
        </w:rPr>
        <w:t>federal regulatory agency focused on maintaining the integrity and efficienc</w:t>
      </w:r>
      <w:r w:rsidR="00243DFA">
        <w:rPr>
          <w:rFonts w:cs="Times New Roman"/>
          <w:color w:val="000000" w:themeColor="text1"/>
        </w:rPr>
        <w:t>y</w:t>
      </w:r>
      <w:r w:rsidRPr="00196F93">
        <w:rPr>
          <w:rFonts w:cs="Times New Roman"/>
          <w:color w:val="000000" w:themeColor="text1"/>
        </w:rPr>
        <w:t xml:space="preserve"> of U.S. capital markets.</w:t>
      </w:r>
      <w:r w:rsidR="006B62AB" w:rsidRPr="00196F93">
        <w:rPr>
          <w:rStyle w:val="FootnoteReference"/>
          <w:rFonts w:cs="Times New Roman"/>
          <w:color w:val="000000" w:themeColor="text1"/>
        </w:rPr>
        <w:footnoteReference w:id="70"/>
      </w:r>
      <w:r w:rsidRPr="00196F93">
        <w:rPr>
          <w:rFonts w:cs="Times New Roman"/>
          <w:color w:val="000000" w:themeColor="text1"/>
        </w:rPr>
        <w:t xml:space="preserve"> </w:t>
      </w:r>
      <w:r w:rsidR="002B5330" w:rsidRPr="00196F93">
        <w:rPr>
          <w:rFonts w:cs="Times New Roman"/>
          <w:color w:val="000000" w:themeColor="text1"/>
        </w:rPr>
        <w:t>Congress mandates SEC rulemaking must consider “the protection of investors, whether the action will promote efficiency, competition, and capital formation.”</w:t>
      </w:r>
      <w:bookmarkStart w:id="61" w:name="OLE_LINK191"/>
      <w:r w:rsidR="002B5330" w:rsidRPr="00196F93">
        <w:rPr>
          <w:rStyle w:val="FootnoteReference"/>
          <w:rFonts w:cs="Times New Roman"/>
          <w:color w:val="000000" w:themeColor="text1"/>
        </w:rPr>
        <w:footnoteReference w:id="71"/>
      </w:r>
      <w:bookmarkEnd w:id="61"/>
      <w:r w:rsidR="002B5330" w:rsidRPr="00196F93">
        <w:rPr>
          <w:rFonts w:cs="Times New Roman"/>
          <w:color w:val="000000" w:themeColor="text1"/>
        </w:rPr>
        <w:t xml:space="preserve"> The SEC’s mandate is to “protect investors, facilitate capital raising, and encourage the development of healthy capital markets”, and thus disclosure “demands that rely upon the securities laws must therefore be couched in the language of investor protection and financial return, no matter how far-fetched the connection</w:t>
      </w:r>
      <w:r w:rsidR="00B65356">
        <w:rPr>
          <w:rFonts w:cs="Times New Roman"/>
          <w:color w:val="000000" w:themeColor="text1"/>
        </w:rPr>
        <w:t>.</w:t>
      </w:r>
      <w:r w:rsidR="002B5330" w:rsidRPr="00196F93">
        <w:rPr>
          <w:rFonts w:cs="Times New Roman"/>
          <w:color w:val="000000" w:themeColor="text1"/>
        </w:rPr>
        <w:t>”</w:t>
      </w:r>
      <w:r w:rsidR="002B5330" w:rsidRPr="00196F93">
        <w:rPr>
          <w:rStyle w:val="FootnoteReference"/>
          <w:rFonts w:cs="Times New Roman"/>
          <w:color w:val="000000" w:themeColor="text1"/>
        </w:rPr>
        <w:footnoteReference w:id="72"/>
      </w:r>
      <w:bookmarkStart w:id="63" w:name="OLE_LINK141"/>
      <w:bookmarkStart w:id="64" w:name="OLE_LINK140"/>
      <w:r w:rsidR="005C2191">
        <w:rPr>
          <w:rFonts w:cs="Times New Roman"/>
          <w:color w:val="000000" w:themeColor="text1"/>
        </w:rPr>
        <w:t xml:space="preserve"> </w:t>
      </w:r>
      <w:r w:rsidR="00BD280D" w:rsidRPr="00196F93">
        <w:rPr>
          <w:rFonts w:cs="Times New Roman"/>
          <w:color w:val="000000" w:themeColor="text1"/>
        </w:rPr>
        <w:t xml:space="preserve">The </w:t>
      </w:r>
      <w:r w:rsidR="006D41F6" w:rsidRPr="00196F93">
        <w:rPr>
          <w:rFonts w:cs="Times New Roman"/>
          <w:color w:val="000000" w:themeColor="text1"/>
        </w:rPr>
        <w:t xml:space="preserve">SEC </w:t>
      </w:r>
      <w:r w:rsidR="00B65356">
        <w:rPr>
          <w:rFonts w:cs="Times New Roman"/>
          <w:color w:val="000000" w:themeColor="text1"/>
        </w:rPr>
        <w:t>C</w:t>
      </w:r>
      <w:r w:rsidR="00BD280D" w:rsidRPr="00196F93">
        <w:rPr>
          <w:rFonts w:cs="Times New Roman"/>
          <w:color w:val="000000" w:themeColor="text1"/>
        </w:rPr>
        <w:t xml:space="preserve">limate </w:t>
      </w:r>
      <w:r w:rsidR="00B65356">
        <w:rPr>
          <w:rFonts w:cs="Times New Roman"/>
          <w:color w:val="000000" w:themeColor="text1"/>
        </w:rPr>
        <w:t>R</w:t>
      </w:r>
      <w:r w:rsidR="006D41F6" w:rsidRPr="00196F93">
        <w:rPr>
          <w:rFonts w:cs="Times New Roman"/>
          <w:color w:val="000000" w:themeColor="text1"/>
        </w:rPr>
        <w:t xml:space="preserve">ule is grounded on “the </w:t>
      </w:r>
      <w:r w:rsidR="00343E7E">
        <w:rPr>
          <w:rFonts w:cs="Times New Roman"/>
          <w:color w:val="000000" w:themeColor="text1"/>
        </w:rPr>
        <w:t>‘</w:t>
      </w:r>
      <w:r w:rsidR="006D41F6" w:rsidRPr="00196F93">
        <w:rPr>
          <w:rFonts w:cs="Times New Roman"/>
          <w:color w:val="000000" w:themeColor="text1"/>
        </w:rPr>
        <w:t>single materiality</w:t>
      </w:r>
      <w:r w:rsidR="00343E7E">
        <w:rPr>
          <w:rFonts w:cs="Times New Roman"/>
          <w:color w:val="000000" w:themeColor="text1"/>
        </w:rPr>
        <w:t>’</w:t>
      </w:r>
      <w:r w:rsidR="006D41F6" w:rsidRPr="00196F93">
        <w:rPr>
          <w:rFonts w:cs="Times New Roman"/>
          <w:color w:val="000000" w:themeColor="text1"/>
        </w:rPr>
        <w:t xml:space="preserve"> principle, as it emphasizes investor-focused risk governance and financial materiality</w:t>
      </w:r>
      <w:r w:rsidR="00B65356">
        <w:rPr>
          <w:rFonts w:cs="Times New Roman"/>
          <w:color w:val="000000" w:themeColor="text1"/>
        </w:rPr>
        <w:t>”</w:t>
      </w:r>
      <w:r w:rsidR="006D41F6" w:rsidRPr="00196F93">
        <w:rPr>
          <w:rFonts w:cs="Times New Roman"/>
          <w:color w:val="000000" w:themeColor="text1"/>
        </w:rPr>
        <w:t>—u</w:t>
      </w:r>
      <w:r w:rsidR="008C235F" w:rsidRPr="00196F93">
        <w:rPr>
          <w:rFonts w:cs="Times New Roman"/>
          <w:color w:val="000000" w:themeColor="text1"/>
        </w:rPr>
        <w:t xml:space="preserve">nlike the EU’s CSRD’s </w:t>
      </w:r>
      <w:r w:rsidR="00B65356">
        <w:rPr>
          <w:rFonts w:cs="Times New Roman"/>
          <w:color w:val="000000" w:themeColor="text1"/>
        </w:rPr>
        <w:t>‘</w:t>
      </w:r>
      <w:r w:rsidR="008C235F" w:rsidRPr="00196F93">
        <w:rPr>
          <w:rFonts w:cs="Times New Roman"/>
          <w:color w:val="000000" w:themeColor="text1"/>
        </w:rPr>
        <w:t>double materiality</w:t>
      </w:r>
      <w:r w:rsidR="00B65356">
        <w:rPr>
          <w:rFonts w:cs="Times New Roman"/>
          <w:color w:val="000000" w:themeColor="text1"/>
        </w:rPr>
        <w:t>’</w:t>
      </w:r>
      <w:r w:rsidR="008C235F" w:rsidRPr="00196F93">
        <w:rPr>
          <w:rFonts w:cs="Times New Roman"/>
          <w:color w:val="000000" w:themeColor="text1"/>
        </w:rPr>
        <w:t xml:space="preserve"> principle that explicit</w:t>
      </w:r>
      <w:r w:rsidR="00BD280D" w:rsidRPr="00196F93">
        <w:rPr>
          <w:rFonts w:cs="Times New Roman"/>
          <w:color w:val="000000" w:themeColor="text1"/>
        </w:rPr>
        <w:t>ly</w:t>
      </w:r>
      <w:r w:rsidR="008C235F" w:rsidRPr="00196F93">
        <w:rPr>
          <w:rFonts w:cs="Times New Roman"/>
          <w:color w:val="000000" w:themeColor="text1"/>
        </w:rPr>
        <w:t xml:space="preserve"> grounds materiality around societal stakeholder and environmental interests beyond merely investor interests</w:t>
      </w:r>
      <w:bookmarkEnd w:id="63"/>
      <w:bookmarkEnd w:id="64"/>
      <w:r w:rsidR="006D41F6" w:rsidRPr="00196F93">
        <w:rPr>
          <w:rFonts w:cs="Times New Roman"/>
          <w:color w:val="000000" w:themeColor="text1"/>
        </w:rPr>
        <w:t>.</w:t>
      </w:r>
      <w:r w:rsidR="006D41F6" w:rsidRPr="00196F93">
        <w:rPr>
          <w:rStyle w:val="FootnoteReference"/>
          <w:rFonts w:cs="Times New Roman"/>
          <w:color w:val="000000" w:themeColor="text1"/>
        </w:rPr>
        <w:footnoteReference w:id="73"/>
      </w:r>
      <w:r w:rsidR="002B5330" w:rsidRPr="00196F93">
        <w:rPr>
          <w:rFonts w:cs="Times New Roman"/>
          <w:color w:val="000000" w:themeColor="text1"/>
        </w:rPr>
        <w:t xml:space="preserve"> </w:t>
      </w:r>
      <w:r w:rsidR="00651C39" w:rsidRPr="00196F93">
        <w:rPr>
          <w:rFonts w:cs="Times New Roman"/>
          <w:color w:val="000000" w:themeColor="text1"/>
        </w:rPr>
        <w:t>Given the SEC’s narrow mandate of protecting investors, the proposed law does not aspire to advance a green transition, as the EU’s disclosure law does.</w:t>
      </w:r>
      <w:r w:rsidR="000F3D8A">
        <w:rPr>
          <w:rStyle w:val="FootnoteReference"/>
          <w:rFonts w:cs="Times New Roman"/>
          <w:color w:val="000000" w:themeColor="text1"/>
        </w:rPr>
        <w:footnoteReference w:id="74"/>
      </w:r>
      <w:r w:rsidR="00651C39" w:rsidRPr="00196F93">
        <w:rPr>
          <w:rFonts w:cs="Times New Roman"/>
          <w:color w:val="000000" w:themeColor="text1"/>
        </w:rPr>
        <w:t xml:space="preserve"> Instead, it is framed as a means to help investors make better decisions on matters of corporate “exposure to, and management of, climate-related risks, and in particular transition risks</w:t>
      </w:r>
      <w:r w:rsidR="00F85206">
        <w:rPr>
          <w:rFonts w:cs="Times New Roman"/>
          <w:color w:val="000000" w:themeColor="text1"/>
        </w:rPr>
        <w:t>,</w:t>
      </w:r>
      <w:r w:rsidR="00651C39" w:rsidRPr="00196F93">
        <w:rPr>
          <w:rFonts w:cs="Times New Roman"/>
          <w:color w:val="000000" w:themeColor="text1"/>
        </w:rPr>
        <w:t>”</w:t>
      </w:r>
      <w:bookmarkStart w:id="66" w:name="OLE_LINK35"/>
      <w:r w:rsidR="002B5330" w:rsidRPr="00196F93">
        <w:rPr>
          <w:rFonts w:cs="Times New Roman"/>
          <w:color w:val="000000" w:themeColor="text1"/>
        </w:rPr>
        <w:t xml:space="preserve"> and the legal standards are deliberately investor</w:t>
      </w:r>
      <w:r w:rsidR="00343E7E">
        <w:rPr>
          <w:rFonts w:cs="Times New Roman"/>
          <w:color w:val="000000" w:themeColor="text1"/>
        </w:rPr>
        <w:t>-</w:t>
      </w:r>
      <w:r w:rsidR="002B5330" w:rsidRPr="00196F93">
        <w:rPr>
          <w:rFonts w:cs="Times New Roman"/>
          <w:color w:val="000000" w:themeColor="text1"/>
        </w:rPr>
        <w:t>centric.</w:t>
      </w:r>
      <w:r w:rsidR="00651C39" w:rsidRPr="00196F93">
        <w:rPr>
          <w:rStyle w:val="FootnoteReference"/>
          <w:rFonts w:cs="Times New Roman"/>
          <w:color w:val="000000" w:themeColor="text1"/>
        </w:rPr>
        <w:footnoteReference w:id="75"/>
      </w:r>
    </w:p>
    <w:p w14:paraId="410EA424" w14:textId="321FE231" w:rsidR="00A1225D" w:rsidRPr="00196F93" w:rsidRDefault="00A1225D" w:rsidP="00B71A8C">
      <w:pPr>
        <w:spacing w:line="480" w:lineRule="auto"/>
        <w:ind w:firstLine="1080"/>
        <w:contextualSpacing/>
        <w:rPr>
          <w:rFonts w:cs="Times New Roman"/>
          <w:color w:val="000000" w:themeColor="text1"/>
        </w:rPr>
      </w:pPr>
      <w:r w:rsidRPr="00196F93">
        <w:rPr>
          <w:rFonts w:cs="Times New Roman"/>
          <w:color w:val="000000" w:themeColor="text1"/>
        </w:rPr>
        <w:t>As a securities regulatory agency, the SEC’s policy priorities are fundamentally geared towards investors and capital markets</w:t>
      </w:r>
      <w:r w:rsidR="00461363">
        <w:rPr>
          <w:rFonts w:cs="Times New Roman"/>
          <w:color w:val="000000" w:themeColor="text1"/>
        </w:rPr>
        <w:t xml:space="preserve">, and thus </w:t>
      </w:r>
      <w:r w:rsidR="00461363" w:rsidRPr="00196F93">
        <w:rPr>
          <w:rFonts w:cs="Times New Roman"/>
          <w:color w:val="000000" w:themeColor="text1"/>
        </w:rPr>
        <w:t>disclosure requirements are tied to public investment, prioritizing investor needs</w:t>
      </w:r>
      <w:r w:rsidR="006B62AB">
        <w:rPr>
          <w:rFonts w:cs="Times New Roman"/>
          <w:color w:val="000000" w:themeColor="text1"/>
        </w:rPr>
        <w:t xml:space="preserve"> and </w:t>
      </w:r>
      <w:r w:rsidR="00461363" w:rsidRPr="00196F93">
        <w:rPr>
          <w:rFonts w:cs="Times New Roman"/>
          <w:color w:val="000000" w:themeColor="text1"/>
        </w:rPr>
        <w:t>market efficiency</w:t>
      </w:r>
      <w:r w:rsidRPr="00196F93">
        <w:rPr>
          <w:rFonts w:cs="Times New Roman"/>
          <w:color w:val="000000" w:themeColor="text1"/>
        </w:rPr>
        <w:t>.</w:t>
      </w:r>
      <w:r w:rsidR="00461363">
        <w:rPr>
          <w:rStyle w:val="FootnoteReference"/>
          <w:rFonts w:cs="Times New Roman"/>
          <w:color w:val="000000" w:themeColor="text1"/>
        </w:rPr>
        <w:footnoteReference w:id="76"/>
      </w:r>
      <w:r w:rsidR="00B0141F">
        <w:rPr>
          <w:rFonts w:cs="Times New Roman"/>
          <w:color w:val="000000" w:themeColor="text1"/>
        </w:rPr>
        <w:t xml:space="preserve"> </w:t>
      </w:r>
      <w:r w:rsidR="00FA6812">
        <w:rPr>
          <w:rFonts w:cs="Times New Roman"/>
          <w:color w:val="000000" w:themeColor="text1"/>
        </w:rPr>
        <w:t>This</w:t>
      </w:r>
      <w:r w:rsidRPr="00196F93">
        <w:rPr>
          <w:rFonts w:cs="Times New Roman"/>
          <w:color w:val="000000" w:themeColor="text1"/>
        </w:rPr>
        <w:t xml:space="preserve"> policy divergence is</w:t>
      </w:r>
      <w:r w:rsidR="00243DFA">
        <w:rPr>
          <w:rFonts w:cs="Times New Roman"/>
          <w:color w:val="000000" w:themeColor="text1"/>
        </w:rPr>
        <w:t xml:space="preserve"> also</w:t>
      </w:r>
      <w:r w:rsidRPr="00196F93">
        <w:rPr>
          <w:rFonts w:cs="Times New Roman"/>
          <w:color w:val="000000" w:themeColor="text1"/>
        </w:rPr>
        <w:t xml:space="preserve"> reflected in </w:t>
      </w:r>
      <w:r w:rsidR="000E7994">
        <w:rPr>
          <w:rFonts w:cs="Times New Roman"/>
          <w:color w:val="000000" w:themeColor="text1"/>
        </w:rPr>
        <w:t>the U.S.’s</w:t>
      </w:r>
      <w:r w:rsidRPr="00196F93">
        <w:rPr>
          <w:rFonts w:cs="Times New Roman"/>
          <w:color w:val="000000" w:themeColor="text1"/>
        </w:rPr>
        <w:t xml:space="preserve"> relative absence of human rights due diligence (HRDD) and other ESG requirements </w:t>
      </w:r>
      <w:r w:rsidR="00FA6812">
        <w:rPr>
          <w:rFonts w:cs="Times New Roman"/>
          <w:color w:val="000000" w:themeColor="text1"/>
        </w:rPr>
        <w:t>across corporate disclosure mandates</w:t>
      </w:r>
      <w:r w:rsidRPr="00196F93">
        <w:rPr>
          <w:rFonts w:cs="Times New Roman"/>
          <w:color w:val="000000" w:themeColor="text1"/>
        </w:rPr>
        <w:t xml:space="preserve">. Unlike in California or the EU, there is also “no explicit obligation in U.S. securities </w:t>
      </w:r>
      <w:r w:rsidR="00FA6812">
        <w:rPr>
          <w:rFonts w:cs="Times New Roman"/>
          <w:color w:val="000000" w:themeColor="text1"/>
        </w:rPr>
        <w:t xml:space="preserve">or federal </w:t>
      </w:r>
      <w:r w:rsidRPr="00196F93">
        <w:rPr>
          <w:rFonts w:cs="Times New Roman"/>
          <w:color w:val="000000" w:themeColor="text1"/>
        </w:rPr>
        <w:t>law requiring companies to report on their human rights-related impacts and due diligence, except the narrowly focused [Conflicts Mineral Act</w:t>
      </w:r>
      <w:r>
        <w:rPr>
          <w:rFonts w:cs="Times New Roman"/>
          <w:color w:val="000000" w:themeColor="text1"/>
        </w:rPr>
        <w:t>]</w:t>
      </w:r>
      <w:r w:rsidRPr="00196F93">
        <w:rPr>
          <w:rFonts w:cs="Times New Roman"/>
          <w:color w:val="000000" w:themeColor="text1"/>
        </w:rPr>
        <w:t xml:space="preserve"> of the Dodd-Frank Act</w:t>
      </w:r>
      <w:r>
        <w:rPr>
          <w:rFonts w:cs="Times New Roman"/>
          <w:color w:val="000000" w:themeColor="text1"/>
        </w:rPr>
        <w:t>,</w:t>
      </w:r>
      <w:r w:rsidRPr="00196F93">
        <w:rPr>
          <w:rFonts w:cs="Times New Roman"/>
          <w:color w:val="000000" w:themeColor="text1"/>
        </w:rPr>
        <w:t>” however, the part of the rule that required companies to state whether any of their products “have not been found to be ‘DRC conflict free’” was partially invalidated on First Amendment grounds as it could not be justified as material to investors.</w:t>
      </w:r>
      <w:r w:rsidRPr="00196F93">
        <w:rPr>
          <w:rStyle w:val="FootnoteReference"/>
          <w:rFonts w:cs="Times New Roman"/>
          <w:color w:val="000000" w:themeColor="text1"/>
        </w:rPr>
        <w:footnoteReference w:id="77"/>
      </w:r>
      <w:r w:rsidRPr="00196F93">
        <w:rPr>
          <w:rFonts w:cs="Times New Roman"/>
          <w:color w:val="000000" w:themeColor="text1"/>
        </w:rPr>
        <w:t xml:space="preserve"> The aim of the SEC is not to promote the general welfare, but to “protect investors, maintain fair, orderly, and efficient markets, and facilitate capital formation</w:t>
      </w:r>
      <w:r w:rsidR="00B0141F">
        <w:rPr>
          <w:rFonts w:cs="Times New Roman"/>
          <w:color w:val="000000" w:themeColor="text1"/>
        </w:rPr>
        <w:t>.</w:t>
      </w:r>
      <w:r w:rsidRPr="00196F93">
        <w:rPr>
          <w:rFonts w:cs="Times New Roman"/>
          <w:color w:val="000000" w:themeColor="text1"/>
        </w:rPr>
        <w:t>”</w:t>
      </w:r>
      <w:r w:rsidRPr="00196F93">
        <w:rPr>
          <w:rStyle w:val="FootnoteReference"/>
          <w:rFonts w:cs="Times New Roman"/>
          <w:color w:val="000000" w:themeColor="text1"/>
        </w:rPr>
        <w:footnoteReference w:id="78"/>
      </w:r>
      <w:r w:rsidR="00B0141F">
        <w:rPr>
          <w:rFonts w:cs="Times New Roman"/>
          <w:color w:val="000000" w:themeColor="text1"/>
        </w:rPr>
        <w:t xml:space="preserve"> </w:t>
      </w:r>
      <w:r w:rsidRPr="00196F93">
        <w:rPr>
          <w:rFonts w:cs="Times New Roman"/>
          <w:color w:val="000000" w:themeColor="text1"/>
        </w:rPr>
        <w:t>For “capital markets regulators, like the SEC, creating a level playing field among reporting companies and focusing on [financial] materiality remains a key priority” but, for “comprehensive efforts that span multiple regulatory domains, like the European Green Deal, the credibility of the whole regime is paramount, and the emphasis on combatting greenwashing becomes central to the endeavor.”</w:t>
      </w:r>
      <w:r w:rsidRPr="00196F93">
        <w:rPr>
          <w:rStyle w:val="FootnoteReference"/>
          <w:rFonts w:cs="Times New Roman"/>
          <w:bCs/>
          <w:color w:val="000000" w:themeColor="text1"/>
        </w:rPr>
        <w:footnoteReference w:id="79"/>
      </w:r>
      <w:r w:rsidRPr="00196F93">
        <w:rPr>
          <w:rFonts w:cs="Times New Roman"/>
          <w:color w:val="000000" w:themeColor="text1"/>
        </w:rPr>
        <w:t xml:space="preserve"> SEC Commissioner Hester Peirce argue</w:t>
      </w:r>
      <w:r w:rsidR="001454D8">
        <w:rPr>
          <w:rFonts w:cs="Times New Roman"/>
          <w:color w:val="000000" w:themeColor="text1"/>
        </w:rPr>
        <w:t>s</w:t>
      </w:r>
      <w:r w:rsidRPr="00196F93">
        <w:rPr>
          <w:rFonts w:cs="Times New Roman"/>
          <w:color w:val="000000" w:themeColor="text1"/>
        </w:rPr>
        <w:t xml:space="preserve"> </w:t>
      </w:r>
      <w:r w:rsidR="000E7994">
        <w:rPr>
          <w:rFonts w:cs="Times New Roman"/>
          <w:color w:val="000000" w:themeColor="text1"/>
        </w:rPr>
        <w:t>t</w:t>
      </w:r>
      <w:r w:rsidRPr="00196F93">
        <w:rPr>
          <w:rFonts w:cs="Times New Roman"/>
          <w:color w:val="000000" w:themeColor="text1"/>
        </w:rPr>
        <w:t xml:space="preserve">he European </w:t>
      </w:r>
      <w:r w:rsidR="000E7994">
        <w:rPr>
          <w:rFonts w:cs="Times New Roman"/>
          <w:color w:val="000000" w:themeColor="text1"/>
        </w:rPr>
        <w:t>“</w:t>
      </w:r>
      <w:r w:rsidRPr="00196F93">
        <w:rPr>
          <w:rFonts w:cs="Times New Roman"/>
          <w:color w:val="000000" w:themeColor="text1"/>
        </w:rPr>
        <w:t xml:space="preserve">concept of </w:t>
      </w:r>
      <w:r>
        <w:rPr>
          <w:rFonts w:cs="Times New Roman"/>
          <w:color w:val="000000" w:themeColor="text1"/>
        </w:rPr>
        <w:t>‘</w:t>
      </w:r>
      <w:r w:rsidRPr="00196F93">
        <w:rPr>
          <w:rFonts w:cs="Times New Roman"/>
          <w:color w:val="000000" w:themeColor="text1"/>
        </w:rPr>
        <w:t>double materiality</w:t>
      </w:r>
      <w:r>
        <w:rPr>
          <w:rFonts w:cs="Times New Roman"/>
          <w:color w:val="000000" w:themeColor="text1"/>
        </w:rPr>
        <w:t>’</w:t>
      </w:r>
      <w:r w:rsidRPr="00196F93">
        <w:rPr>
          <w:rFonts w:cs="Times New Roman"/>
          <w:color w:val="000000" w:themeColor="text1"/>
        </w:rPr>
        <w:t xml:space="preserve"> has no analogue in our regulatory scheme</w:t>
      </w:r>
      <w:r w:rsidR="001454D8">
        <w:rPr>
          <w:rFonts w:cs="Times New Roman"/>
          <w:color w:val="000000" w:themeColor="text1"/>
        </w:rPr>
        <w:t>,” and “</w:t>
      </w:r>
      <w:r w:rsidRPr="00196F93">
        <w:rPr>
          <w:rFonts w:cs="Times New Roman"/>
          <w:color w:val="000000" w:themeColor="text1"/>
        </w:rPr>
        <w:t xml:space="preserve">specific ESG metrics, responsive to the wide-ranging interests of a broad set of </w:t>
      </w:r>
      <w:r w:rsidR="00B0141F">
        <w:rPr>
          <w:color w:val="000000" w:themeColor="text1"/>
        </w:rPr>
        <w:t>‘</w:t>
      </w:r>
      <w:r w:rsidRPr="00196F93">
        <w:rPr>
          <w:rFonts w:cs="Times New Roman"/>
          <w:color w:val="000000" w:themeColor="text1"/>
        </w:rPr>
        <w:t>stakeholders</w:t>
      </w:r>
      <w:r w:rsidR="00B0141F">
        <w:rPr>
          <w:rFonts w:cs="Times New Roman"/>
          <w:color w:val="000000" w:themeColor="text1"/>
        </w:rPr>
        <w:t>,’</w:t>
      </w:r>
      <w:r w:rsidRPr="00196F93">
        <w:rPr>
          <w:rFonts w:cs="Times New Roman"/>
          <w:color w:val="000000" w:themeColor="text1"/>
        </w:rPr>
        <w:t xml:space="preserve"> would mark a departure from these fundamental aspects of our disclosure framework</w:t>
      </w:r>
      <w:r w:rsidR="00B0141F">
        <w:rPr>
          <w:rFonts w:cs="Times New Roman"/>
          <w:color w:val="000000" w:themeColor="text1"/>
        </w:rPr>
        <w:t>.</w:t>
      </w:r>
      <w:r w:rsidRPr="00196F93">
        <w:rPr>
          <w:rFonts w:cs="Times New Roman"/>
          <w:color w:val="000000" w:themeColor="text1"/>
        </w:rPr>
        <w:t>”</w:t>
      </w:r>
      <w:r w:rsidRPr="00196F93">
        <w:rPr>
          <w:rStyle w:val="FootnoteReference"/>
          <w:rFonts w:cs="Times New Roman"/>
          <w:color w:val="000000" w:themeColor="text1"/>
        </w:rPr>
        <w:footnoteReference w:id="80"/>
      </w:r>
      <w:r w:rsidRPr="00196F93">
        <w:rPr>
          <w:rFonts w:cs="Times New Roman"/>
          <w:color w:val="000000" w:themeColor="text1"/>
        </w:rPr>
        <w:t xml:space="preserve"> She argues deviations from the SEC’s investor-focused disclosure rules</w:t>
      </w:r>
      <w:r w:rsidR="001454D8">
        <w:rPr>
          <w:rFonts w:cs="Times New Roman"/>
          <w:color w:val="000000" w:themeColor="text1"/>
        </w:rPr>
        <w:t xml:space="preserve"> </w:t>
      </w:r>
      <w:r w:rsidRPr="00196F93">
        <w:rPr>
          <w:rFonts w:cs="Times New Roman"/>
          <w:color w:val="000000" w:themeColor="text1"/>
        </w:rPr>
        <w:t xml:space="preserve">would </w:t>
      </w:r>
      <w:r w:rsidR="001454D8">
        <w:rPr>
          <w:rFonts w:cs="Times New Roman"/>
          <w:color w:val="000000" w:themeColor="text1"/>
        </w:rPr>
        <w:t>“</w:t>
      </w:r>
      <w:r w:rsidRPr="00196F93">
        <w:rPr>
          <w:rFonts w:cs="Times New Roman"/>
          <w:color w:val="000000" w:themeColor="text1"/>
        </w:rPr>
        <w:t xml:space="preserve">expand the jurisdictional reach of the </w:t>
      </w:r>
      <w:r w:rsidR="001454D8">
        <w:rPr>
          <w:rFonts w:cs="Times New Roman"/>
          <w:color w:val="000000" w:themeColor="text1"/>
        </w:rPr>
        <w:t>[SEC]</w:t>
      </w:r>
      <w:r w:rsidRPr="00196F93">
        <w:rPr>
          <w:rFonts w:cs="Times New Roman"/>
          <w:color w:val="000000" w:themeColor="text1"/>
        </w:rPr>
        <w:t>, impose new costs on public companies, decrease the attractiveness of our capital markets, distort the allocation of capital, and undermine the role of shareholders in corporate governance.”</w:t>
      </w:r>
      <w:r w:rsidRPr="00196F93">
        <w:rPr>
          <w:rStyle w:val="FootnoteReference"/>
          <w:rFonts w:cs="Times New Roman"/>
          <w:color w:val="000000" w:themeColor="text1"/>
        </w:rPr>
        <w:footnoteReference w:id="81"/>
      </w:r>
      <w:r w:rsidRPr="00196F93">
        <w:rPr>
          <w:rFonts w:cs="Times New Roman"/>
          <w:color w:val="000000" w:themeColor="text1"/>
        </w:rPr>
        <w:t xml:space="preserve"> </w:t>
      </w:r>
    </w:p>
    <w:bookmarkEnd w:id="66"/>
    <w:p w14:paraId="4E4B0295" w14:textId="7FE150F2" w:rsidR="002E3EE6" w:rsidRDefault="00E368B6" w:rsidP="00B71A8C">
      <w:pPr>
        <w:spacing w:line="480" w:lineRule="auto"/>
        <w:ind w:firstLine="1080"/>
        <w:contextualSpacing/>
        <w:rPr>
          <w:rFonts w:cs="Times New Roman"/>
          <w:color w:val="000000" w:themeColor="text1"/>
        </w:rPr>
      </w:pPr>
      <w:r>
        <w:rPr>
          <w:rFonts w:cs="Times New Roman"/>
          <w:color w:val="000000" w:themeColor="text1"/>
        </w:rPr>
        <w:t xml:space="preserve">The use of the SEC as the primary mechanism for </w:t>
      </w:r>
      <w:r w:rsidR="001454D8">
        <w:rPr>
          <w:rFonts w:cs="Times New Roman"/>
          <w:color w:val="000000" w:themeColor="text1"/>
        </w:rPr>
        <w:t xml:space="preserve">comprehensive </w:t>
      </w:r>
      <w:r w:rsidR="000E7994">
        <w:rPr>
          <w:rFonts w:cs="Times New Roman"/>
          <w:color w:val="000000" w:themeColor="text1"/>
        </w:rPr>
        <w:t xml:space="preserve">corporate </w:t>
      </w:r>
      <w:r>
        <w:rPr>
          <w:rFonts w:cs="Times New Roman"/>
          <w:color w:val="000000" w:themeColor="text1"/>
        </w:rPr>
        <w:t>disclosure</w:t>
      </w:r>
      <w:r w:rsidR="00FA6812">
        <w:rPr>
          <w:rFonts w:cs="Times New Roman"/>
          <w:color w:val="000000" w:themeColor="text1"/>
        </w:rPr>
        <w:t xml:space="preserve"> may also reflect</w:t>
      </w:r>
      <w:r>
        <w:rPr>
          <w:rFonts w:cs="Times New Roman"/>
          <w:color w:val="000000" w:themeColor="text1"/>
        </w:rPr>
        <w:t xml:space="preserve"> the U.S.’s broader orientation towards corporate transparency. Ann Lipton describes “America’s peculiar system of tying generalize</w:t>
      </w:r>
      <w:r w:rsidR="00FA6812">
        <w:rPr>
          <w:rFonts w:cs="Times New Roman"/>
          <w:color w:val="000000" w:themeColor="text1"/>
        </w:rPr>
        <w:t>d</w:t>
      </w:r>
      <w:r>
        <w:rPr>
          <w:rFonts w:cs="Times New Roman"/>
          <w:color w:val="000000" w:themeColor="text1"/>
        </w:rPr>
        <w:t xml:space="preserve"> disclosure obligations exclusively to public investment,” where the “</w:t>
      </w:r>
      <w:r w:rsidRPr="00926A7E">
        <w:rPr>
          <w:rFonts w:cs="Times New Roman"/>
          <w:color w:val="000000" w:themeColor="text1"/>
        </w:rPr>
        <w:t xml:space="preserve">only regulator that requires comprehensive corporate disclosure is </w:t>
      </w:r>
      <w:r>
        <w:rPr>
          <w:rFonts w:cs="Times New Roman"/>
          <w:color w:val="000000" w:themeColor="text1"/>
        </w:rPr>
        <w:t>the…</w:t>
      </w:r>
      <w:r w:rsidRPr="00926A7E">
        <w:rPr>
          <w:rFonts w:cs="Times New Roman"/>
          <w:color w:val="000000" w:themeColor="text1"/>
        </w:rPr>
        <w:t xml:space="preserve"> (SEC)</w:t>
      </w:r>
      <w:r>
        <w:rPr>
          <w:rFonts w:cs="Times New Roman"/>
          <w:color w:val="000000" w:themeColor="text1"/>
        </w:rPr>
        <w:t>—[w]</w:t>
      </w:r>
      <w:proofErr w:type="spellStart"/>
      <w:r w:rsidRPr="00926A7E">
        <w:rPr>
          <w:rFonts w:cs="Times New Roman"/>
          <w:color w:val="000000" w:themeColor="text1"/>
        </w:rPr>
        <w:t>henever</w:t>
      </w:r>
      <w:proofErr w:type="spellEnd"/>
      <w:r w:rsidRPr="00926A7E">
        <w:rPr>
          <w:rFonts w:cs="Times New Roman"/>
          <w:color w:val="000000" w:themeColor="text1"/>
        </w:rPr>
        <w:t xml:space="preserve"> a company seeks to raise capital through the public sale of securities</w:t>
      </w:r>
      <w:r>
        <w:rPr>
          <w:rFonts w:cs="Times New Roman"/>
          <w:color w:val="000000" w:themeColor="text1"/>
        </w:rPr>
        <w:t>.”</w:t>
      </w:r>
      <w:bookmarkStart w:id="67" w:name="OLE_LINK63"/>
      <w:r>
        <w:rPr>
          <w:rStyle w:val="FootnoteReference"/>
          <w:rFonts w:cs="Times New Roman"/>
          <w:color w:val="000000" w:themeColor="text1"/>
        </w:rPr>
        <w:footnoteReference w:id="82"/>
      </w:r>
      <w:bookmarkEnd w:id="67"/>
      <w:r w:rsidR="00243DFA">
        <w:rPr>
          <w:rFonts w:cs="Times New Roman"/>
          <w:color w:val="000000" w:themeColor="text1"/>
        </w:rPr>
        <w:t xml:space="preserve"> </w:t>
      </w:r>
      <w:r w:rsidR="002E0769">
        <w:rPr>
          <w:rFonts w:cs="Times New Roman"/>
          <w:color w:val="000000" w:themeColor="text1"/>
        </w:rPr>
        <w:t xml:space="preserve">Although state and federal law </w:t>
      </w:r>
      <w:r w:rsidR="00A1225D">
        <w:rPr>
          <w:rFonts w:cs="Times New Roman"/>
          <w:color w:val="000000" w:themeColor="text1"/>
        </w:rPr>
        <w:t>impose</w:t>
      </w:r>
      <w:r w:rsidR="00A1225D" w:rsidRPr="00196F93">
        <w:rPr>
          <w:rFonts w:cs="Times New Roman"/>
          <w:color w:val="000000" w:themeColor="text1"/>
        </w:rPr>
        <w:t xml:space="preserve"> </w:t>
      </w:r>
      <w:r w:rsidR="00A1225D">
        <w:rPr>
          <w:rFonts w:cs="Times New Roman"/>
          <w:color w:val="000000" w:themeColor="text1"/>
        </w:rPr>
        <w:t xml:space="preserve">some limited </w:t>
      </w:r>
      <w:r w:rsidR="00A1225D" w:rsidRPr="00196F93">
        <w:rPr>
          <w:rFonts w:cs="Times New Roman"/>
          <w:color w:val="000000" w:themeColor="text1"/>
        </w:rPr>
        <w:t>disclosure</w:t>
      </w:r>
      <w:r w:rsidR="00A1225D">
        <w:rPr>
          <w:rFonts w:cs="Times New Roman"/>
          <w:color w:val="000000" w:themeColor="text1"/>
        </w:rPr>
        <w:t xml:space="preserve"> obligation</w:t>
      </w:r>
      <w:r w:rsidR="000E7994">
        <w:rPr>
          <w:rFonts w:cs="Times New Roman"/>
          <w:color w:val="000000" w:themeColor="text1"/>
        </w:rPr>
        <w:t>s</w:t>
      </w:r>
      <w:r w:rsidR="00A1225D" w:rsidRPr="00196F93">
        <w:rPr>
          <w:rFonts w:cs="Times New Roman"/>
          <w:color w:val="000000" w:themeColor="text1"/>
        </w:rPr>
        <w:t xml:space="preserve"> (consumer protection, workplace safety, EEO data),</w:t>
      </w:r>
      <w:r w:rsidR="00A1225D">
        <w:rPr>
          <w:rFonts w:cs="Times New Roman"/>
          <w:color w:val="000000" w:themeColor="text1"/>
        </w:rPr>
        <w:t xml:space="preserve"> </w:t>
      </w:r>
      <w:r w:rsidR="002E0769">
        <w:rPr>
          <w:rFonts w:cs="Times New Roman"/>
          <w:color w:val="000000" w:themeColor="text1"/>
        </w:rPr>
        <w:t>t</w:t>
      </w:r>
      <w:r w:rsidR="002E0769" w:rsidRPr="00F836B0">
        <w:rPr>
          <w:rFonts w:cs="Times New Roman"/>
          <w:color w:val="000000" w:themeColor="text1"/>
        </w:rPr>
        <w:t xml:space="preserve">hese </w:t>
      </w:r>
      <w:r w:rsidR="002E0769">
        <w:rPr>
          <w:rFonts w:cs="Times New Roman"/>
          <w:color w:val="000000" w:themeColor="text1"/>
        </w:rPr>
        <w:t>“</w:t>
      </w:r>
      <w:r w:rsidR="002E0769" w:rsidRPr="00F836B0">
        <w:rPr>
          <w:rFonts w:cs="Times New Roman"/>
          <w:color w:val="000000" w:themeColor="text1"/>
        </w:rPr>
        <w:t>disclosures, however, are specific and targeted for particular purposes; many are made exclusively to government agencies and available to the public, if at all, only through a lengthy and difficult FOIA process</w:t>
      </w:r>
      <w:r w:rsidR="002E0769">
        <w:rPr>
          <w:rFonts w:cs="Times New Roman"/>
          <w:color w:val="000000" w:themeColor="text1"/>
        </w:rPr>
        <w:t>.”</w:t>
      </w:r>
      <w:bookmarkStart w:id="69" w:name="OLE_LINK64"/>
      <w:r w:rsidR="002E0769">
        <w:rPr>
          <w:rStyle w:val="FootnoteReference"/>
          <w:rFonts w:cs="Times New Roman"/>
          <w:color w:val="000000" w:themeColor="text1"/>
        </w:rPr>
        <w:footnoteReference w:id="83"/>
      </w:r>
      <w:bookmarkEnd w:id="69"/>
      <w:r w:rsidR="00604FBF">
        <w:rPr>
          <w:rFonts w:cs="Times New Roman"/>
          <w:color w:val="000000" w:themeColor="text1"/>
        </w:rPr>
        <w:t xml:space="preserve"> Lipton argues as federal securities laws are the one and only source of holistic corporate disclosure, “[r]</w:t>
      </w:r>
      <w:proofErr w:type="spellStart"/>
      <w:r w:rsidRPr="00926A7E">
        <w:rPr>
          <w:rFonts w:cs="Times New Roman"/>
          <w:color w:val="000000" w:themeColor="text1"/>
        </w:rPr>
        <w:t>egulators</w:t>
      </w:r>
      <w:proofErr w:type="spellEnd"/>
      <w:r w:rsidRPr="00926A7E">
        <w:rPr>
          <w:rFonts w:cs="Times New Roman"/>
          <w:color w:val="000000" w:themeColor="text1"/>
        </w:rPr>
        <w:t>, competitors, employees, journalists, and members of the community have all grown to depend on securities disclosures to provide a working portrait of the country’s economic lif</w:t>
      </w:r>
      <w:r w:rsidR="00604FBF">
        <w:rPr>
          <w:rFonts w:cs="Times New Roman"/>
          <w:color w:val="000000" w:themeColor="text1"/>
        </w:rPr>
        <w:t>e,” concluding corporate transparency in the U.S. is a “function of the needs of the investing class.”</w:t>
      </w:r>
      <w:r w:rsidR="00604FBF">
        <w:rPr>
          <w:rStyle w:val="FootnoteReference"/>
          <w:rFonts w:cs="Times New Roman"/>
          <w:color w:val="000000" w:themeColor="text1"/>
        </w:rPr>
        <w:footnoteReference w:id="84"/>
      </w:r>
      <w:r w:rsidR="00243DFA">
        <w:rPr>
          <w:rFonts w:cs="Times New Roman"/>
          <w:color w:val="000000" w:themeColor="text1"/>
        </w:rPr>
        <w:t xml:space="preserve"> </w:t>
      </w:r>
      <w:r w:rsidR="002E3EE6" w:rsidRPr="00196F93">
        <w:rPr>
          <w:rFonts w:cs="Times New Roman"/>
          <w:color w:val="000000" w:themeColor="text1"/>
        </w:rPr>
        <w:t xml:space="preserve">Unlike the EU, the U.S. has no comprehensive disclosure system outside the SEC’s regulation of public markets, and the SEC lacks </w:t>
      </w:r>
      <w:r w:rsidR="001454D8">
        <w:rPr>
          <w:rFonts w:cs="Times New Roman"/>
          <w:color w:val="000000" w:themeColor="text1"/>
        </w:rPr>
        <w:t xml:space="preserve">these </w:t>
      </w:r>
      <w:r w:rsidR="002E3EE6" w:rsidRPr="00196F93">
        <w:rPr>
          <w:rFonts w:cs="Times New Roman"/>
          <w:color w:val="000000" w:themeColor="text1"/>
        </w:rPr>
        <w:t>policy priorities to provide information to consumers and other stakeholders. As Lipton notes, at various times in history activists and politicians attempted to “enact corporate disclosure schemes in order to make businesses more accountable to society at large… and [every] time, these efforts were redirected toward investor audiences, in the expectation that investors could serve as a proxy for the broader society.”</w:t>
      </w:r>
      <w:r w:rsidR="002E3EE6" w:rsidRPr="00196F93">
        <w:rPr>
          <w:rStyle w:val="FootnoteReference"/>
          <w:rFonts w:cs="Times New Roman"/>
          <w:color w:val="000000" w:themeColor="text1"/>
        </w:rPr>
        <w:footnoteReference w:id="85"/>
      </w:r>
      <w:r w:rsidR="002E3EE6">
        <w:rPr>
          <w:rFonts w:cs="Times New Roman"/>
          <w:color w:val="000000" w:themeColor="text1"/>
        </w:rPr>
        <w:t xml:space="preserve"> </w:t>
      </w:r>
      <w:r w:rsidR="002E3EE6" w:rsidRPr="00196F93">
        <w:rPr>
          <w:rFonts w:cs="Times New Roman"/>
          <w:color w:val="000000" w:themeColor="text1"/>
        </w:rPr>
        <w:t>Given corporations have “generalized disclosure obligations only to investor audiences</w:t>
      </w:r>
      <w:r w:rsidR="00B0141F">
        <w:rPr>
          <w:rFonts w:cs="Times New Roman"/>
          <w:color w:val="000000" w:themeColor="text1"/>
        </w:rPr>
        <w:t xml:space="preserve">… </w:t>
      </w:r>
      <w:r w:rsidR="002E3EE6" w:rsidRPr="00196F93">
        <w:rPr>
          <w:rFonts w:cs="Times New Roman"/>
          <w:color w:val="000000" w:themeColor="text1"/>
        </w:rPr>
        <w:t>if the public demands information about firms’ environmental impact, their treatment of workers, their political activity, and their use of customer data, corporations are under no obligation to provide it absent a showing of relevance to an investor audience</w:t>
      </w:r>
      <w:r w:rsidR="00A1225D">
        <w:rPr>
          <w:rFonts w:cs="Times New Roman"/>
          <w:color w:val="000000" w:themeColor="text1"/>
        </w:rPr>
        <w:t>.</w:t>
      </w:r>
      <w:r w:rsidR="002E3EE6" w:rsidRPr="00196F93">
        <w:rPr>
          <w:rFonts w:cs="Times New Roman"/>
          <w:color w:val="000000" w:themeColor="text1"/>
        </w:rPr>
        <w:t>”</w:t>
      </w:r>
      <w:r w:rsidR="002E3EE6" w:rsidRPr="00196F93">
        <w:rPr>
          <w:rStyle w:val="FootnoteReference"/>
          <w:rFonts w:cs="Times New Roman"/>
          <w:color w:val="000000" w:themeColor="text1"/>
        </w:rPr>
        <w:footnoteReference w:id="86"/>
      </w:r>
      <w:r w:rsidR="002E3EE6" w:rsidRPr="00196F93">
        <w:rPr>
          <w:rFonts w:cs="Times New Roman"/>
          <w:color w:val="000000" w:themeColor="text1"/>
        </w:rPr>
        <w:t xml:space="preserve"> Securities laws are not designed to make business transparent to public, but rather are designed to “provide full and fair disclosure of the character of securities sold in interstate and foreign commerce</w:t>
      </w:r>
      <w:r w:rsidR="00B0141F">
        <w:rPr>
          <w:rFonts w:cs="Times New Roman"/>
          <w:color w:val="000000" w:themeColor="text1"/>
        </w:rPr>
        <w:t>.</w:t>
      </w:r>
      <w:r w:rsidR="002E3EE6" w:rsidRPr="00196F93">
        <w:rPr>
          <w:rFonts w:cs="Times New Roman"/>
          <w:color w:val="000000" w:themeColor="text1"/>
        </w:rPr>
        <w:t>”</w:t>
      </w:r>
      <w:r w:rsidR="002E3EE6" w:rsidRPr="00B71A8C">
        <w:rPr>
          <w:rStyle w:val="FootnoteReference"/>
          <w:rFonts w:cs="Times New Roman"/>
          <w:color w:val="000000" w:themeColor="text1"/>
        </w:rPr>
        <w:footnoteReference w:id="87"/>
      </w:r>
      <w:r w:rsidR="00B0141F" w:rsidRPr="000E7994">
        <w:rPr>
          <w:rFonts w:cs="Times New Roman"/>
          <w:color w:val="000000" w:themeColor="text1"/>
        </w:rPr>
        <w:t xml:space="preserve"> </w:t>
      </w:r>
      <w:r w:rsidR="002E3EE6" w:rsidRPr="00196F93">
        <w:rPr>
          <w:rFonts w:cs="Times New Roman"/>
          <w:color w:val="000000" w:themeColor="text1"/>
        </w:rPr>
        <w:t xml:space="preserve">As a result, the U.S. and </w:t>
      </w:r>
      <w:r w:rsidR="000E7994">
        <w:rPr>
          <w:rFonts w:cs="Times New Roman"/>
          <w:color w:val="000000" w:themeColor="text1"/>
        </w:rPr>
        <w:t>its’</w:t>
      </w:r>
      <w:r w:rsidR="002E3EE6" w:rsidRPr="00196F93">
        <w:rPr>
          <w:rFonts w:cs="Times New Roman"/>
          <w:color w:val="000000" w:themeColor="text1"/>
        </w:rPr>
        <w:t xml:space="preserve"> SEC are myopically investor-focused</w:t>
      </w:r>
      <w:r w:rsidR="000E7994">
        <w:rPr>
          <w:rFonts w:cs="Times New Roman"/>
          <w:color w:val="000000" w:themeColor="text1"/>
        </w:rPr>
        <w:t>, and almost</w:t>
      </w:r>
      <w:r w:rsidR="002E3EE6" w:rsidRPr="00196F93">
        <w:rPr>
          <w:rFonts w:cs="Times New Roman"/>
          <w:color w:val="000000" w:themeColor="text1"/>
        </w:rPr>
        <w:t xml:space="preserve"> all </w:t>
      </w:r>
      <w:r w:rsidR="001454D8">
        <w:rPr>
          <w:rFonts w:cs="Times New Roman"/>
          <w:color w:val="000000" w:themeColor="text1"/>
        </w:rPr>
        <w:t xml:space="preserve">federal </w:t>
      </w:r>
      <w:r w:rsidR="002E3EE6" w:rsidRPr="00196F93">
        <w:rPr>
          <w:rFonts w:cs="Times New Roman"/>
          <w:color w:val="000000" w:themeColor="text1"/>
        </w:rPr>
        <w:t xml:space="preserve">generalized disclosure </w:t>
      </w:r>
      <w:r w:rsidR="000E7994">
        <w:rPr>
          <w:rFonts w:cs="Times New Roman"/>
          <w:color w:val="000000" w:themeColor="text1"/>
        </w:rPr>
        <w:t xml:space="preserve">requirements </w:t>
      </w:r>
      <w:r w:rsidR="002E3EE6" w:rsidRPr="00196F93">
        <w:rPr>
          <w:rFonts w:cs="Times New Roman"/>
          <w:color w:val="000000" w:themeColor="text1"/>
        </w:rPr>
        <w:t xml:space="preserve">are </w:t>
      </w:r>
      <w:r w:rsidR="001454D8">
        <w:rPr>
          <w:rFonts w:cs="Times New Roman"/>
          <w:color w:val="000000" w:themeColor="text1"/>
        </w:rPr>
        <w:t xml:space="preserve">effectively </w:t>
      </w:r>
      <w:r w:rsidR="002E3EE6" w:rsidRPr="00196F93">
        <w:rPr>
          <w:rFonts w:cs="Times New Roman"/>
          <w:color w:val="000000" w:themeColor="text1"/>
        </w:rPr>
        <w:t xml:space="preserve">tied exclusively to public investment. </w:t>
      </w:r>
    </w:p>
    <w:p w14:paraId="21581815" w14:textId="0C143436" w:rsidR="00604FBF" w:rsidRDefault="00D06CE6" w:rsidP="00B71A8C">
      <w:pPr>
        <w:spacing w:line="480" w:lineRule="auto"/>
        <w:ind w:firstLine="1080"/>
        <w:contextualSpacing/>
        <w:rPr>
          <w:rFonts w:cs="Times New Roman"/>
          <w:color w:val="000000" w:themeColor="text1"/>
        </w:rPr>
      </w:pPr>
      <w:r>
        <w:rPr>
          <w:rFonts w:cs="Times New Roman"/>
          <w:color w:val="000000" w:themeColor="text1"/>
        </w:rPr>
        <w:t>The distinct approaches between the EU and U.S. have been described as “</w:t>
      </w:r>
      <w:r w:rsidRPr="00842E95">
        <w:rPr>
          <w:rFonts w:cs="Times New Roman"/>
          <w:color w:val="000000" w:themeColor="text1"/>
        </w:rPr>
        <w:t>reflecting diverse regulatory frameworks, cultural considerations, and stakeholder expectations</w:t>
      </w:r>
      <w:r>
        <w:rPr>
          <w:rFonts w:cs="Times New Roman"/>
          <w:color w:val="000000" w:themeColor="text1"/>
        </w:rPr>
        <w:t>.”</w:t>
      </w:r>
      <w:r>
        <w:rPr>
          <w:rStyle w:val="FootnoteReference"/>
          <w:rFonts w:cs="Times New Roman"/>
          <w:color w:val="000000" w:themeColor="text1"/>
        </w:rPr>
        <w:footnoteReference w:id="88"/>
      </w:r>
      <w:r w:rsidR="00604FBF">
        <w:rPr>
          <w:rFonts w:cs="Times New Roman"/>
          <w:color w:val="000000" w:themeColor="text1"/>
        </w:rPr>
        <w:t xml:space="preserve"> The U.S. </w:t>
      </w:r>
      <w:r w:rsidR="008C46C9">
        <w:rPr>
          <w:rFonts w:cs="Times New Roman"/>
          <w:color w:val="000000" w:themeColor="text1"/>
        </w:rPr>
        <w:t>has pursued a</w:t>
      </w:r>
      <w:r w:rsidR="00604FBF">
        <w:rPr>
          <w:rFonts w:cs="Times New Roman"/>
          <w:color w:val="000000" w:themeColor="text1"/>
        </w:rPr>
        <w:t xml:space="preserve"> market-based </w:t>
      </w:r>
      <w:r w:rsidR="008C46C9">
        <w:rPr>
          <w:rFonts w:cs="Times New Roman"/>
          <w:color w:val="000000" w:themeColor="text1"/>
        </w:rPr>
        <w:t>philosophy toward corporate disclosure at the federal level</w:t>
      </w:r>
      <w:r w:rsidR="00604FBF">
        <w:rPr>
          <w:rFonts w:cs="Times New Roman"/>
          <w:color w:val="000000" w:themeColor="text1"/>
        </w:rPr>
        <w:t xml:space="preserve"> </w:t>
      </w:r>
      <w:r w:rsidR="008C46C9">
        <w:rPr>
          <w:rFonts w:cs="Times New Roman"/>
          <w:color w:val="000000" w:themeColor="text1"/>
        </w:rPr>
        <w:t>by</w:t>
      </w:r>
      <w:r w:rsidR="00D8041F">
        <w:rPr>
          <w:rFonts w:cs="Times New Roman"/>
          <w:color w:val="000000" w:themeColor="text1"/>
        </w:rPr>
        <w:t xml:space="preserve"> </w:t>
      </w:r>
      <w:r w:rsidR="008C46C9">
        <w:rPr>
          <w:rFonts w:cs="Times New Roman"/>
          <w:color w:val="000000" w:themeColor="text1"/>
        </w:rPr>
        <w:t>only utilizing</w:t>
      </w:r>
      <w:r w:rsidR="00D8041F">
        <w:rPr>
          <w:rFonts w:cs="Times New Roman"/>
          <w:color w:val="000000" w:themeColor="text1"/>
        </w:rPr>
        <w:t xml:space="preserve"> the SEC, with its correspondingly narrower mandate over public markets, as the primary vehicle to drive </w:t>
      </w:r>
      <w:r w:rsidR="008C46C9">
        <w:rPr>
          <w:rFonts w:cs="Times New Roman"/>
          <w:color w:val="000000" w:themeColor="text1"/>
        </w:rPr>
        <w:t xml:space="preserve">comprehensive </w:t>
      </w:r>
      <w:r w:rsidR="00D8041F">
        <w:rPr>
          <w:rFonts w:cs="Times New Roman"/>
          <w:color w:val="000000" w:themeColor="text1"/>
        </w:rPr>
        <w:t>information production</w:t>
      </w:r>
      <w:r w:rsidR="008C46C9">
        <w:rPr>
          <w:rFonts w:cs="Times New Roman"/>
          <w:color w:val="000000" w:themeColor="text1"/>
        </w:rPr>
        <w:t>—when necessary or beneficial enough to public capital markets to outweigh the financial costs imposed on businesses</w:t>
      </w:r>
      <w:r w:rsidR="008C46C9" w:rsidRPr="00196F93">
        <w:rPr>
          <w:rFonts w:cs="Times New Roman"/>
          <w:color w:val="000000" w:themeColor="text1"/>
        </w:rPr>
        <w:t>.</w:t>
      </w:r>
      <w:r w:rsidR="008C46C9" w:rsidRPr="00152F71">
        <w:rPr>
          <w:rFonts w:cs="Times New Roman"/>
          <w:color w:val="000000" w:themeColor="text1"/>
        </w:rPr>
        <w:t xml:space="preserve"> </w:t>
      </w:r>
      <w:r w:rsidR="00D8041F">
        <w:rPr>
          <w:rFonts w:cs="Times New Roman"/>
          <w:color w:val="000000" w:themeColor="text1"/>
        </w:rPr>
        <w:t xml:space="preserve">Accordingly, the introduction of traditionally “non-financial” information like emissions and other ESG disclosures must be bounded by the mandate of investor protection and market-efficiency. </w:t>
      </w:r>
      <w:r w:rsidR="00A72A57">
        <w:rPr>
          <w:rFonts w:cs="Times New Roman"/>
          <w:color w:val="000000" w:themeColor="text1"/>
        </w:rPr>
        <w:t>In the U.S “</w:t>
      </w:r>
      <w:r w:rsidR="00A72A57" w:rsidRPr="00842E95">
        <w:rPr>
          <w:rFonts w:cs="Times New Roman"/>
          <w:color w:val="000000" w:themeColor="text1"/>
        </w:rPr>
        <w:t>sustainability reporting is predominantly driven by voluntary initiatives and market forces</w:t>
      </w:r>
      <w:r w:rsidR="00A72A57">
        <w:rPr>
          <w:rFonts w:cs="Times New Roman"/>
          <w:color w:val="000000" w:themeColor="text1"/>
        </w:rPr>
        <w:t xml:space="preserve">…[leading to a] </w:t>
      </w:r>
      <w:r w:rsidR="00A72A57" w:rsidRPr="00842E95">
        <w:rPr>
          <w:rFonts w:cs="Times New Roman"/>
          <w:color w:val="000000" w:themeColor="text1"/>
        </w:rPr>
        <w:t>heterogeneous landscape of reporting methodologies</w:t>
      </w:r>
      <w:r w:rsidR="00A72A57">
        <w:rPr>
          <w:rFonts w:cs="Times New Roman"/>
          <w:color w:val="000000" w:themeColor="text1"/>
        </w:rPr>
        <w:t>,” i</w:t>
      </w:r>
      <w:r w:rsidR="00A72A57" w:rsidRPr="00842E95">
        <w:rPr>
          <w:rFonts w:cs="Times New Roman"/>
          <w:color w:val="000000" w:themeColor="text1"/>
        </w:rPr>
        <w:t>n contrast</w:t>
      </w:r>
      <w:r w:rsidR="00A72A57">
        <w:rPr>
          <w:rFonts w:cs="Times New Roman"/>
          <w:color w:val="000000" w:themeColor="text1"/>
        </w:rPr>
        <w:t xml:space="preserve"> to the “</w:t>
      </w:r>
      <w:r w:rsidR="00A72A57" w:rsidRPr="00842E95">
        <w:rPr>
          <w:rFonts w:cs="Times New Roman"/>
          <w:color w:val="000000" w:themeColor="text1"/>
        </w:rPr>
        <w:t>structured and regulatory-driven approach</w:t>
      </w:r>
      <w:r w:rsidR="00A72A57">
        <w:rPr>
          <w:rFonts w:cs="Times New Roman"/>
          <w:color w:val="000000" w:themeColor="text1"/>
        </w:rPr>
        <w:t>” of Europe.</w:t>
      </w:r>
      <w:r w:rsidR="00A72A57">
        <w:rPr>
          <w:rStyle w:val="FootnoteReference"/>
          <w:rFonts w:cs="Times New Roman"/>
          <w:color w:val="000000" w:themeColor="text1"/>
        </w:rPr>
        <w:footnoteReference w:id="89"/>
      </w:r>
      <w:r w:rsidR="00A72A57">
        <w:rPr>
          <w:rFonts w:cs="Times New Roman"/>
          <w:color w:val="000000" w:themeColor="text1"/>
        </w:rPr>
        <w:t xml:space="preserve"> </w:t>
      </w:r>
      <w:r w:rsidR="00152F71">
        <w:rPr>
          <w:rFonts w:cs="Times New Roman"/>
          <w:color w:val="000000" w:themeColor="text1"/>
        </w:rPr>
        <w:t>H</w:t>
      </w:r>
      <w:r w:rsidR="00152F71" w:rsidRPr="00196F93">
        <w:rPr>
          <w:rFonts w:cs="Times New Roman"/>
          <w:color w:val="000000" w:themeColor="text1"/>
        </w:rPr>
        <w:t xml:space="preserve">owever, </w:t>
      </w:r>
      <w:r w:rsidR="001454D8">
        <w:rPr>
          <w:rFonts w:cs="Times New Roman"/>
          <w:color w:val="000000" w:themeColor="text1"/>
        </w:rPr>
        <w:t>it must be noted this</w:t>
      </w:r>
      <w:r w:rsidR="00152F71" w:rsidRPr="00196F93">
        <w:rPr>
          <w:rFonts w:cs="Times New Roman"/>
          <w:color w:val="000000" w:themeColor="text1"/>
        </w:rPr>
        <w:t xml:space="preserve"> </w:t>
      </w:r>
      <w:r w:rsidR="00152F71">
        <w:rPr>
          <w:rFonts w:cs="Times New Roman"/>
          <w:color w:val="000000" w:themeColor="text1"/>
        </w:rPr>
        <w:t>does not preclude</w:t>
      </w:r>
      <w:r w:rsidR="00152F71" w:rsidRPr="00196F93">
        <w:rPr>
          <w:rFonts w:cs="Times New Roman"/>
          <w:color w:val="000000" w:themeColor="text1"/>
        </w:rPr>
        <w:t xml:space="preserve"> Congress </w:t>
      </w:r>
      <w:r w:rsidR="00152F71">
        <w:rPr>
          <w:rFonts w:cs="Times New Roman"/>
          <w:color w:val="000000" w:themeColor="text1"/>
        </w:rPr>
        <w:t>from</w:t>
      </w:r>
      <w:r w:rsidR="00152F71" w:rsidRPr="00196F93">
        <w:rPr>
          <w:rFonts w:cs="Times New Roman"/>
          <w:color w:val="000000" w:themeColor="text1"/>
        </w:rPr>
        <w:t xml:space="preserve"> provid</w:t>
      </w:r>
      <w:r w:rsidR="00152F71">
        <w:rPr>
          <w:rFonts w:cs="Times New Roman"/>
          <w:color w:val="000000" w:themeColor="text1"/>
        </w:rPr>
        <w:t xml:space="preserve">ing </w:t>
      </w:r>
      <w:r w:rsidR="00152F71" w:rsidRPr="00196F93">
        <w:rPr>
          <w:rFonts w:cs="Times New Roman"/>
          <w:color w:val="000000" w:themeColor="text1"/>
        </w:rPr>
        <w:t>such authority through legislation</w:t>
      </w:r>
      <w:r w:rsidR="00152F71">
        <w:rPr>
          <w:rFonts w:cs="Times New Roman"/>
          <w:color w:val="000000" w:themeColor="text1"/>
        </w:rPr>
        <w:t>,</w:t>
      </w:r>
      <w:r w:rsidR="00152F71" w:rsidRPr="00196F93">
        <w:rPr>
          <w:rFonts w:cs="Times New Roman"/>
          <w:color w:val="000000" w:themeColor="text1"/>
        </w:rPr>
        <w:t xml:space="preserve"> or another federal agency </w:t>
      </w:r>
      <w:r w:rsidR="00152F71">
        <w:rPr>
          <w:rFonts w:cs="Times New Roman"/>
          <w:color w:val="000000" w:themeColor="text1"/>
        </w:rPr>
        <w:t>(i.e. EPA</w:t>
      </w:r>
      <w:r w:rsidR="00152F71" w:rsidRPr="00196F93">
        <w:rPr>
          <w:rFonts w:cs="Times New Roman"/>
          <w:color w:val="000000" w:themeColor="text1"/>
        </w:rPr>
        <w:t xml:space="preserve">) could regulate </w:t>
      </w:r>
      <w:r w:rsidR="00152F71">
        <w:rPr>
          <w:rFonts w:cs="Times New Roman"/>
          <w:color w:val="000000" w:themeColor="text1"/>
        </w:rPr>
        <w:t>climate</w:t>
      </w:r>
      <w:r w:rsidR="00152F71" w:rsidRPr="00196F93">
        <w:rPr>
          <w:rFonts w:cs="Times New Roman"/>
          <w:color w:val="000000" w:themeColor="text1"/>
        </w:rPr>
        <w:t xml:space="preserve"> and </w:t>
      </w:r>
      <w:r w:rsidR="00152F71">
        <w:rPr>
          <w:rFonts w:cs="Times New Roman"/>
          <w:color w:val="000000" w:themeColor="text1"/>
        </w:rPr>
        <w:t>emissions</w:t>
      </w:r>
      <w:r w:rsidR="00152F71" w:rsidRPr="00196F93">
        <w:rPr>
          <w:rFonts w:cs="Times New Roman"/>
          <w:color w:val="000000" w:themeColor="text1"/>
        </w:rPr>
        <w:t xml:space="preserve"> disclosures under their </w:t>
      </w:r>
      <w:r w:rsidR="00152F71">
        <w:rPr>
          <w:rFonts w:cs="Times New Roman"/>
          <w:color w:val="000000" w:themeColor="text1"/>
        </w:rPr>
        <w:t xml:space="preserve">own </w:t>
      </w:r>
      <w:r w:rsidR="00152F71" w:rsidRPr="00196F93">
        <w:rPr>
          <w:rFonts w:cs="Times New Roman"/>
          <w:color w:val="000000" w:themeColor="text1"/>
        </w:rPr>
        <w:t xml:space="preserve">regulatory </w:t>
      </w:r>
      <w:r w:rsidR="00152F71">
        <w:rPr>
          <w:rFonts w:cs="Times New Roman"/>
          <w:color w:val="000000" w:themeColor="text1"/>
        </w:rPr>
        <w:t xml:space="preserve">authority. Although it is possible for Congress, a body more parallel to the EC and EP, to also require broader environmental and social disclosures through legislation, it has continued not to—and seems even less likely to in the coming years and </w:t>
      </w:r>
      <w:r w:rsidR="00152F71" w:rsidRPr="008C46C9">
        <w:rPr>
          <w:rFonts w:cs="Times New Roman"/>
          <w:color w:val="000000" w:themeColor="text1"/>
        </w:rPr>
        <w:t>administration.</w:t>
      </w:r>
      <w:bookmarkStart w:id="74" w:name="OLE_LINK80"/>
      <w:r w:rsidR="00152F71" w:rsidRPr="008C46C9">
        <w:rPr>
          <w:rStyle w:val="FootnoteReference"/>
          <w:rFonts w:cs="Times New Roman"/>
          <w:color w:val="000000" w:themeColor="text1"/>
        </w:rPr>
        <w:footnoteReference w:id="90"/>
      </w:r>
      <w:bookmarkEnd w:id="74"/>
      <w:r w:rsidR="002A6D69" w:rsidRPr="008C46C9">
        <w:rPr>
          <w:rFonts w:cs="Times New Roman"/>
          <w:color w:val="000000" w:themeColor="text1"/>
        </w:rPr>
        <w:t xml:space="preserve"> This raises much broader questions for future research around why the U.S.’s only comprehensive disclosure regime runs through securit</w:t>
      </w:r>
      <w:r w:rsidR="008C46C9" w:rsidRPr="00B71A8C">
        <w:rPr>
          <w:rFonts w:cs="Times New Roman"/>
          <w:color w:val="000000" w:themeColor="text1"/>
        </w:rPr>
        <w:t>ies</w:t>
      </w:r>
      <w:r w:rsidR="002A6D69" w:rsidRPr="008C46C9">
        <w:rPr>
          <w:rFonts w:cs="Times New Roman"/>
          <w:color w:val="000000" w:themeColor="text1"/>
        </w:rPr>
        <w:t xml:space="preserve"> law</w:t>
      </w:r>
      <w:r w:rsidR="008C46C9" w:rsidRPr="00B71A8C">
        <w:rPr>
          <w:rFonts w:cs="Times New Roman"/>
          <w:color w:val="000000" w:themeColor="text1"/>
        </w:rPr>
        <w:t xml:space="preserve"> and the SEC</w:t>
      </w:r>
      <w:r w:rsidR="002A6D69" w:rsidRPr="008C46C9">
        <w:rPr>
          <w:rFonts w:cs="Times New Roman"/>
          <w:color w:val="000000" w:themeColor="text1"/>
        </w:rPr>
        <w:t xml:space="preserve">, however, further analysis behind this </w:t>
      </w:r>
      <w:r w:rsidR="008C46C9" w:rsidRPr="00B71A8C">
        <w:rPr>
          <w:rFonts w:cs="Times New Roman"/>
          <w:color w:val="000000" w:themeColor="text1"/>
        </w:rPr>
        <w:t xml:space="preserve">broader </w:t>
      </w:r>
      <w:r w:rsidR="002A6D69" w:rsidRPr="008C46C9">
        <w:rPr>
          <w:rFonts w:cs="Times New Roman"/>
          <w:color w:val="000000" w:themeColor="text1"/>
        </w:rPr>
        <w:t xml:space="preserve">existing </w:t>
      </w:r>
      <w:r w:rsidR="008C46C9" w:rsidRPr="00B71A8C">
        <w:rPr>
          <w:rFonts w:cs="Times New Roman"/>
          <w:color w:val="000000" w:themeColor="text1"/>
        </w:rPr>
        <w:t>cultural or political orientation towards corporate transparency is</w:t>
      </w:r>
      <w:r w:rsidR="002A6D69" w:rsidRPr="008C46C9">
        <w:rPr>
          <w:rFonts w:cs="Times New Roman"/>
          <w:color w:val="000000" w:themeColor="text1"/>
        </w:rPr>
        <w:t xml:space="preserve"> beyond the scope of this paper.</w:t>
      </w:r>
    </w:p>
    <w:p w14:paraId="1829BE09" w14:textId="29409C19" w:rsidR="00801244" w:rsidRPr="001771DF" w:rsidRDefault="00B0141F" w:rsidP="001771DF">
      <w:pPr>
        <w:spacing w:line="480" w:lineRule="auto"/>
        <w:ind w:firstLine="1080"/>
        <w:contextualSpacing/>
        <w:rPr>
          <w:rFonts w:cs="Times New Roman"/>
          <w:color w:val="C00000"/>
        </w:rPr>
      </w:pPr>
      <w:r w:rsidRPr="00196F93">
        <w:rPr>
          <w:rFonts w:cs="Times New Roman"/>
          <w:color w:val="000000" w:themeColor="text1"/>
        </w:rPr>
        <w:t>Even with an investor</w:t>
      </w:r>
      <w:r>
        <w:rPr>
          <w:rFonts w:cs="Times New Roman"/>
          <w:color w:val="000000" w:themeColor="text1"/>
        </w:rPr>
        <w:t xml:space="preserve">-centric </w:t>
      </w:r>
      <w:r w:rsidRPr="00196F93">
        <w:rPr>
          <w:rFonts w:cs="Times New Roman"/>
          <w:color w:val="000000" w:themeColor="text1"/>
        </w:rPr>
        <w:t>focus</w:t>
      </w:r>
      <w:r>
        <w:rPr>
          <w:rFonts w:cs="Times New Roman"/>
          <w:color w:val="000000" w:themeColor="text1"/>
        </w:rPr>
        <w:t xml:space="preserve"> </w:t>
      </w:r>
      <w:r w:rsidRPr="00196F93">
        <w:rPr>
          <w:rFonts w:cs="Times New Roman"/>
          <w:color w:val="000000" w:themeColor="text1"/>
        </w:rPr>
        <w:t xml:space="preserve">on financial materiality, the </w:t>
      </w:r>
      <w:r w:rsidR="001454D8">
        <w:rPr>
          <w:rFonts w:cs="Times New Roman"/>
          <w:color w:val="000000" w:themeColor="text1"/>
        </w:rPr>
        <w:t>SEC Climate Rule</w:t>
      </w:r>
      <w:r w:rsidRPr="00196F93">
        <w:rPr>
          <w:rFonts w:cs="Times New Roman"/>
          <w:color w:val="000000" w:themeColor="text1"/>
        </w:rPr>
        <w:t xml:space="preserve"> </w:t>
      </w:r>
      <w:r w:rsidR="001454D8">
        <w:rPr>
          <w:rFonts w:cs="Times New Roman"/>
          <w:color w:val="000000" w:themeColor="text1"/>
        </w:rPr>
        <w:t>is</w:t>
      </w:r>
      <w:r w:rsidRPr="00196F93">
        <w:rPr>
          <w:rFonts w:cs="Times New Roman"/>
          <w:color w:val="000000" w:themeColor="text1"/>
        </w:rPr>
        <w:t xml:space="preserve"> currently stayed by litigation</w:t>
      </w:r>
      <w:r>
        <w:rPr>
          <w:rFonts w:cs="Times New Roman"/>
          <w:color w:val="000000" w:themeColor="text1"/>
        </w:rPr>
        <w:t xml:space="preserve"> in the courts</w:t>
      </w:r>
      <w:r w:rsidRPr="00196F93">
        <w:rPr>
          <w:rFonts w:cs="Times New Roman"/>
          <w:color w:val="000000" w:themeColor="text1"/>
        </w:rPr>
        <w:t xml:space="preserve">. The SEC received a record number of </w:t>
      </w:r>
      <w:r>
        <w:rPr>
          <w:rFonts w:cs="Times New Roman"/>
          <w:color w:val="000000" w:themeColor="text1"/>
        </w:rPr>
        <w:t>responses</w:t>
      </w:r>
      <w:r w:rsidRPr="00196F93">
        <w:rPr>
          <w:rFonts w:cs="Times New Roman"/>
          <w:color w:val="000000" w:themeColor="text1"/>
        </w:rPr>
        <w:t xml:space="preserve"> to the propose</w:t>
      </w:r>
      <w:r>
        <w:rPr>
          <w:rFonts w:cs="Times New Roman"/>
          <w:color w:val="000000" w:themeColor="text1"/>
        </w:rPr>
        <w:t>d</w:t>
      </w:r>
      <w:r w:rsidRPr="00196F93">
        <w:rPr>
          <w:rFonts w:cs="Times New Roman"/>
          <w:color w:val="000000" w:themeColor="text1"/>
        </w:rPr>
        <w:t xml:space="preserve"> rule </w:t>
      </w:r>
      <w:r>
        <w:rPr>
          <w:rFonts w:cs="Times New Roman"/>
          <w:color w:val="000000" w:themeColor="text1"/>
        </w:rPr>
        <w:t>with over</w:t>
      </w:r>
      <w:r w:rsidRPr="00196F93">
        <w:rPr>
          <w:rFonts w:cs="Times New Roman"/>
          <w:color w:val="000000" w:themeColor="text1"/>
        </w:rPr>
        <w:t xml:space="preserve"> 24,000 letters and 4,500 unique letters</w:t>
      </w:r>
      <w:r w:rsidRPr="00196F93">
        <w:rPr>
          <w:rStyle w:val="FootnoteReference"/>
          <w:rFonts w:cs="Times New Roman"/>
          <w:color w:val="000000" w:themeColor="text1"/>
        </w:rPr>
        <w:footnoteReference w:id="91"/>
      </w:r>
      <w:r w:rsidRPr="00196F93">
        <w:rPr>
          <w:rFonts w:cs="Times New Roman"/>
          <w:color w:val="000000" w:themeColor="text1"/>
        </w:rPr>
        <w:t xml:space="preserve"> (compared to 92 comments per SEC rule on average before 2014)</w:t>
      </w:r>
      <w:r>
        <w:rPr>
          <w:rFonts w:cs="Times New Roman"/>
          <w:color w:val="000000" w:themeColor="text1"/>
        </w:rPr>
        <w:t>.</w:t>
      </w:r>
      <w:r w:rsidRPr="00196F93">
        <w:rPr>
          <w:rStyle w:val="FootnoteReference"/>
          <w:rFonts w:cs="Times New Roman"/>
          <w:color w:val="000000" w:themeColor="text1"/>
        </w:rPr>
        <w:footnoteReference w:id="92"/>
      </w:r>
      <w:r w:rsidRPr="00196F93">
        <w:rPr>
          <w:rFonts w:cs="Times New Roman"/>
          <w:color w:val="000000" w:themeColor="text1"/>
        </w:rPr>
        <w:t xml:space="preserve"> Litigation emerged challenging the SEC’s “statutory authority to regulate climate disclosure” where “ten Republican-led states, led by </w:t>
      </w:r>
      <w:bookmarkStart w:id="77" w:name="OLE_LINK102"/>
      <w:r w:rsidRPr="00196F93">
        <w:rPr>
          <w:rFonts w:cs="Times New Roman"/>
          <w:color w:val="000000" w:themeColor="text1"/>
        </w:rPr>
        <w:t>West Virginia and Georgia, petitioned the Eleventh Circuit to review the rule on the premise that the SEC lacks the authority to enact climate regulation because it is a financial regulator</w:t>
      </w:r>
      <w:r w:rsidR="00781EFF">
        <w:rPr>
          <w:rFonts w:cs="Times New Roman"/>
          <w:color w:val="000000" w:themeColor="text1"/>
        </w:rPr>
        <w:t>.</w:t>
      </w:r>
      <w:r w:rsidRPr="00196F93">
        <w:rPr>
          <w:rFonts w:cs="Times New Roman"/>
          <w:color w:val="000000" w:themeColor="text1"/>
        </w:rPr>
        <w:t>”</w:t>
      </w:r>
      <w:r w:rsidRPr="00196F93">
        <w:rPr>
          <w:rStyle w:val="FootnoteReference"/>
          <w:rFonts w:cs="Times New Roman"/>
          <w:color w:val="000000" w:themeColor="text1"/>
        </w:rPr>
        <w:footnoteReference w:id="93"/>
      </w:r>
      <w:r w:rsidRPr="00196F93">
        <w:rPr>
          <w:rFonts w:cs="Times New Roman"/>
          <w:color w:val="000000" w:themeColor="text1"/>
        </w:rPr>
        <w:t xml:space="preserve"> Louisiana, Texas and Mississippi </w:t>
      </w:r>
      <w:bookmarkEnd w:id="77"/>
      <w:r w:rsidRPr="00196F93">
        <w:rPr>
          <w:rFonts w:cs="Times New Roman"/>
          <w:color w:val="000000" w:themeColor="text1"/>
        </w:rPr>
        <w:t>brought another legal challenge in the Fifth Circuit.</w:t>
      </w:r>
      <w:r w:rsidRPr="00196F93">
        <w:rPr>
          <w:rStyle w:val="FootnoteReference"/>
          <w:rFonts w:cs="Times New Roman"/>
          <w:color w:val="000000" w:themeColor="text1"/>
        </w:rPr>
        <w:footnoteReference w:id="94"/>
      </w:r>
      <w:r w:rsidRPr="00196F93">
        <w:rPr>
          <w:rFonts w:cs="Times New Roman"/>
          <w:color w:val="000000" w:themeColor="text1"/>
        </w:rPr>
        <w:t xml:space="preserve"> Depending on how this litigation is resolved, </w:t>
      </w:r>
      <w:r>
        <w:rPr>
          <w:rFonts w:cs="Times New Roman"/>
          <w:color w:val="000000" w:themeColor="text1"/>
        </w:rPr>
        <w:t xml:space="preserve">compelling corporate disclosure and action on certain climate and ESG matters may be beyond the </w:t>
      </w:r>
      <w:r w:rsidRPr="00196F93">
        <w:rPr>
          <w:rFonts w:cs="Times New Roman"/>
          <w:color w:val="000000" w:themeColor="text1"/>
        </w:rPr>
        <w:t>authority of the SEC as a non-partisan capital markets regulator</w:t>
      </w:r>
      <w:r w:rsidR="00152F71">
        <w:rPr>
          <w:rFonts w:cs="Times New Roman"/>
          <w:color w:val="000000" w:themeColor="text1"/>
        </w:rPr>
        <w:t xml:space="preserve">—which appears even more likely after the Supreme Court </w:t>
      </w:r>
      <w:r w:rsidR="00152F71" w:rsidRPr="00B71A8C">
        <w:rPr>
          <w:rFonts w:cs="Times New Roman"/>
          <w:i/>
          <w:iCs/>
          <w:color w:val="000000" w:themeColor="text1"/>
        </w:rPr>
        <w:t>Loper Bright</w:t>
      </w:r>
      <w:r w:rsidR="00152F71">
        <w:rPr>
          <w:rFonts w:cs="Times New Roman"/>
          <w:color w:val="000000" w:themeColor="text1"/>
        </w:rPr>
        <w:t xml:space="preserve"> decision overturned </w:t>
      </w:r>
      <w:r w:rsidR="00152F71" w:rsidRPr="00B71A8C">
        <w:rPr>
          <w:rFonts w:cs="Times New Roman"/>
          <w:i/>
          <w:iCs/>
          <w:color w:val="000000" w:themeColor="text1"/>
        </w:rPr>
        <w:t>Chevron</w:t>
      </w:r>
      <w:r w:rsidR="00152F71">
        <w:rPr>
          <w:rFonts w:cs="Times New Roman"/>
          <w:color w:val="000000" w:themeColor="text1"/>
        </w:rPr>
        <w:t xml:space="preserve"> and the deference it awarded to agencies like the SEC</w:t>
      </w:r>
      <w:r w:rsidRPr="00196F93">
        <w:rPr>
          <w:rFonts w:cs="Times New Roman"/>
          <w:color w:val="000000" w:themeColor="text1"/>
        </w:rPr>
        <w:t>.</w:t>
      </w:r>
      <w:r w:rsidR="00152F71">
        <w:rPr>
          <w:rStyle w:val="FootnoteReference"/>
          <w:rFonts w:cs="Times New Roman"/>
          <w:color w:val="000000" w:themeColor="text1"/>
        </w:rPr>
        <w:footnoteReference w:id="95"/>
      </w:r>
      <w:r w:rsidRPr="00196F93">
        <w:rPr>
          <w:rFonts w:cs="Times New Roman"/>
          <w:color w:val="000000" w:themeColor="text1"/>
        </w:rPr>
        <w:t xml:space="preserve"> </w:t>
      </w:r>
      <w:r w:rsidR="00781EFF">
        <w:rPr>
          <w:rFonts w:cs="Times New Roman"/>
          <w:color w:val="000000" w:themeColor="text1"/>
        </w:rPr>
        <w:t>G</w:t>
      </w:r>
      <w:r w:rsidR="001F47FC">
        <w:rPr>
          <w:rFonts w:cs="Times New Roman"/>
          <w:color w:val="000000" w:themeColor="text1"/>
        </w:rPr>
        <w:t xml:space="preserve">iven the posture of the incoming Trump administration and his likely SEC pick, Paul Atkins, declaring their intent to scrap the SEC Climate Rule, it appears </w:t>
      </w:r>
      <w:r w:rsidR="0010567D">
        <w:rPr>
          <w:rFonts w:cs="Times New Roman"/>
          <w:color w:val="000000" w:themeColor="text1"/>
        </w:rPr>
        <w:t xml:space="preserve">unlikely the SEC </w:t>
      </w:r>
      <w:r w:rsidR="0010567D" w:rsidRPr="001454D8">
        <w:rPr>
          <w:rFonts w:cs="Times New Roman"/>
          <w:color w:val="000000" w:themeColor="text1"/>
        </w:rPr>
        <w:t>S1 and S2 disclosure requirements will be implemented in the near future regardless of the litigation.</w:t>
      </w:r>
      <w:r w:rsidR="001F47FC" w:rsidRPr="001454D8">
        <w:rPr>
          <w:rFonts w:cs="Times New Roman"/>
          <w:color w:val="000000" w:themeColor="text1"/>
        </w:rPr>
        <w:t xml:space="preserve"> </w:t>
      </w:r>
      <w:r w:rsidR="00120F42" w:rsidRPr="001454D8">
        <w:rPr>
          <w:rFonts w:cs="Times New Roman"/>
          <w:color w:val="000000" w:themeColor="text1"/>
        </w:rPr>
        <w:t>Th</w:t>
      </w:r>
      <w:r w:rsidR="0010567D" w:rsidRPr="001454D8">
        <w:rPr>
          <w:rFonts w:cs="Times New Roman"/>
          <w:color w:val="000000" w:themeColor="text1"/>
        </w:rPr>
        <w:t xml:space="preserve">e divergence in national political and policy postures towards climate disclosures may be partially explained by each jurisdictions unique context and political economy, further discussed </w:t>
      </w:r>
      <w:r w:rsidR="00781EFF" w:rsidRPr="001454D8">
        <w:rPr>
          <w:rFonts w:cs="Times New Roman"/>
          <w:color w:val="000000" w:themeColor="text1"/>
        </w:rPr>
        <w:t xml:space="preserve">later </w:t>
      </w:r>
      <w:r w:rsidR="0094563B" w:rsidRPr="001454D8">
        <w:rPr>
          <w:rFonts w:cs="Times New Roman"/>
          <w:color w:val="000000" w:themeColor="text1"/>
        </w:rPr>
        <w:t>in this paper</w:t>
      </w:r>
      <w:r w:rsidR="0010567D" w:rsidRPr="001454D8">
        <w:rPr>
          <w:rFonts w:cs="Times New Roman"/>
          <w:color w:val="000000" w:themeColor="text1"/>
        </w:rPr>
        <w:t xml:space="preserve">. </w:t>
      </w:r>
      <w:r w:rsidR="00942415" w:rsidRPr="001454D8">
        <w:rPr>
          <w:rFonts w:cs="Times New Roman"/>
          <w:color w:val="000000" w:themeColor="text1"/>
        </w:rPr>
        <w:t xml:space="preserve">However, with its emphasis on limited big federal government and </w:t>
      </w:r>
      <w:r w:rsidR="0010567D" w:rsidRPr="001454D8">
        <w:rPr>
          <w:rFonts w:cs="Times New Roman"/>
          <w:color w:val="000000" w:themeColor="text1"/>
        </w:rPr>
        <w:t xml:space="preserve">principles of </w:t>
      </w:r>
      <w:r w:rsidR="00942415" w:rsidRPr="001454D8">
        <w:rPr>
          <w:rFonts w:cs="Times New Roman"/>
          <w:color w:val="000000" w:themeColor="text1"/>
        </w:rPr>
        <w:t xml:space="preserve">federalism, </w:t>
      </w:r>
      <w:r w:rsidR="00942415" w:rsidRPr="00B71A8C">
        <w:rPr>
          <w:rFonts w:cs="Times New Roman"/>
          <w:color w:val="000000" w:themeColor="text1"/>
        </w:rPr>
        <w:t xml:space="preserve">the U.S. approach may instead </w:t>
      </w:r>
      <w:r w:rsidR="0094563B" w:rsidRPr="00B71A8C">
        <w:rPr>
          <w:rFonts w:cs="Times New Roman"/>
          <w:color w:val="000000" w:themeColor="text1"/>
        </w:rPr>
        <w:t xml:space="preserve">potentially </w:t>
      </w:r>
      <w:r w:rsidR="00942415" w:rsidRPr="00B71A8C">
        <w:rPr>
          <w:rFonts w:cs="Times New Roman"/>
          <w:color w:val="000000" w:themeColor="text1"/>
        </w:rPr>
        <w:t>open the door for more localized state-based legislation as is being tested in California.</w:t>
      </w:r>
    </w:p>
    <w:p w14:paraId="51D04CD5" w14:textId="77777777" w:rsidR="00215695" w:rsidRPr="00215695" w:rsidRDefault="00215695" w:rsidP="001771DF">
      <w:pPr>
        <w:spacing w:line="480" w:lineRule="auto"/>
        <w:ind w:firstLine="1080"/>
        <w:contextualSpacing/>
        <w:rPr>
          <w:rFonts w:cs="Times New Roman"/>
          <w:color w:val="000000" w:themeColor="text1"/>
          <w:sz w:val="2"/>
          <w:szCs w:val="2"/>
        </w:rPr>
      </w:pPr>
    </w:p>
    <w:p w14:paraId="3CC21DFF" w14:textId="3B460985" w:rsidR="00826842" w:rsidRPr="00196F93" w:rsidRDefault="00826842" w:rsidP="001771DF">
      <w:pPr>
        <w:pStyle w:val="Heading3"/>
        <w:spacing w:before="0"/>
        <w:contextualSpacing/>
      </w:pPr>
      <w:r w:rsidRPr="00B71A8C">
        <w:rPr>
          <w:u w:val="single"/>
        </w:rPr>
        <w:t>California</w:t>
      </w:r>
      <w:r w:rsidRPr="00196F93">
        <w:t>: State-Led Innovation</w:t>
      </w:r>
      <w:r w:rsidR="00801244">
        <w:t xml:space="preserve"> </w:t>
      </w:r>
    </w:p>
    <w:p w14:paraId="2DC369D5" w14:textId="27F72CF4" w:rsidR="004620AD" w:rsidRDefault="0071569C" w:rsidP="001771DF">
      <w:pPr>
        <w:spacing w:line="480" w:lineRule="auto"/>
        <w:ind w:firstLine="1080"/>
        <w:contextualSpacing/>
        <w:rPr>
          <w:rFonts w:cs="Times New Roman"/>
          <w:color w:val="000000" w:themeColor="text1"/>
        </w:rPr>
      </w:pPr>
      <w:r w:rsidRPr="00196F93">
        <w:rPr>
          <w:rFonts w:cs="Times New Roman"/>
          <w:color w:val="000000" w:themeColor="text1"/>
        </w:rPr>
        <w:t xml:space="preserve">The California legislature is empowered </w:t>
      </w:r>
      <w:r w:rsidR="00423193">
        <w:rPr>
          <w:rFonts w:cs="Times New Roman"/>
          <w:color w:val="000000" w:themeColor="text1"/>
        </w:rPr>
        <w:t>to</w:t>
      </w:r>
      <w:r w:rsidR="00423193" w:rsidRPr="00196F93">
        <w:rPr>
          <w:rFonts w:cs="Times New Roman"/>
          <w:color w:val="000000" w:themeColor="text1"/>
        </w:rPr>
        <w:t xml:space="preserve"> </w:t>
      </w:r>
      <w:r w:rsidRPr="00196F93">
        <w:rPr>
          <w:rFonts w:cs="Times New Roman"/>
          <w:color w:val="000000" w:themeColor="text1"/>
        </w:rPr>
        <w:t xml:space="preserve">enact laws and regulations </w:t>
      </w:r>
      <w:r w:rsidR="00423193">
        <w:rPr>
          <w:rFonts w:cs="Times New Roman"/>
          <w:color w:val="000000" w:themeColor="text1"/>
        </w:rPr>
        <w:t>impos</w:t>
      </w:r>
      <w:r w:rsidR="00C1125B">
        <w:rPr>
          <w:rFonts w:cs="Times New Roman"/>
          <w:color w:val="000000" w:themeColor="text1"/>
        </w:rPr>
        <w:t>ing</w:t>
      </w:r>
      <w:r w:rsidR="00423193" w:rsidRPr="00196F93">
        <w:rPr>
          <w:rFonts w:cs="Times New Roman"/>
          <w:color w:val="000000" w:themeColor="text1"/>
        </w:rPr>
        <w:t xml:space="preserve"> </w:t>
      </w:r>
      <w:r w:rsidRPr="00196F93">
        <w:rPr>
          <w:rFonts w:cs="Times New Roman"/>
          <w:color w:val="000000" w:themeColor="text1"/>
        </w:rPr>
        <w:t xml:space="preserve">obligations on businesses </w:t>
      </w:r>
      <w:r w:rsidR="00423193">
        <w:rPr>
          <w:rFonts w:cs="Times New Roman"/>
          <w:color w:val="000000" w:themeColor="text1"/>
        </w:rPr>
        <w:t xml:space="preserve">incorporated or </w:t>
      </w:r>
      <w:r w:rsidRPr="00196F93">
        <w:rPr>
          <w:rFonts w:cs="Times New Roman"/>
          <w:color w:val="000000" w:themeColor="text1"/>
        </w:rPr>
        <w:t>operating within the state.</w:t>
      </w:r>
      <w:r w:rsidR="006D41F6" w:rsidRPr="00196F93">
        <w:rPr>
          <w:rFonts w:cs="Times New Roman"/>
          <w:color w:val="000000" w:themeColor="text1"/>
        </w:rPr>
        <w:t xml:space="preserve"> Although federal securities laws regulate </w:t>
      </w:r>
      <w:r w:rsidR="00C1125B">
        <w:rPr>
          <w:rFonts w:cs="Times New Roman"/>
          <w:color w:val="000000" w:themeColor="text1"/>
        </w:rPr>
        <w:t>most</w:t>
      </w:r>
      <w:r w:rsidR="00C1125B" w:rsidRPr="00196F93">
        <w:rPr>
          <w:rFonts w:cs="Times New Roman"/>
          <w:color w:val="000000" w:themeColor="text1"/>
        </w:rPr>
        <w:t xml:space="preserve"> </w:t>
      </w:r>
      <w:r w:rsidR="006D41F6" w:rsidRPr="00196F93">
        <w:rPr>
          <w:rFonts w:cs="Times New Roman"/>
          <w:color w:val="000000" w:themeColor="text1"/>
        </w:rPr>
        <w:t xml:space="preserve">of the </w:t>
      </w:r>
      <w:r w:rsidR="00801244">
        <w:rPr>
          <w:rFonts w:cs="Times New Roman"/>
          <w:color w:val="000000" w:themeColor="text1"/>
        </w:rPr>
        <w:t xml:space="preserve">comprehensive </w:t>
      </w:r>
      <w:r w:rsidR="006D41F6" w:rsidRPr="00196F93">
        <w:rPr>
          <w:rFonts w:cs="Times New Roman"/>
          <w:color w:val="000000" w:themeColor="text1"/>
        </w:rPr>
        <w:t xml:space="preserve">disclosure requirements for </w:t>
      </w:r>
      <w:proofErr w:type="gramStart"/>
      <w:r w:rsidR="006D41F6" w:rsidRPr="00196F93">
        <w:rPr>
          <w:rFonts w:cs="Times New Roman"/>
          <w:color w:val="000000" w:themeColor="text1"/>
        </w:rPr>
        <w:t>publicly-traded</w:t>
      </w:r>
      <w:proofErr w:type="gramEnd"/>
      <w:r w:rsidR="006D41F6" w:rsidRPr="00196F93">
        <w:rPr>
          <w:rFonts w:cs="Times New Roman"/>
          <w:color w:val="000000" w:themeColor="text1"/>
        </w:rPr>
        <w:t xml:space="preserve"> companies</w:t>
      </w:r>
      <w:r w:rsidR="0072398B">
        <w:rPr>
          <w:rFonts w:cs="Times New Roman"/>
          <w:color w:val="000000" w:themeColor="text1"/>
        </w:rPr>
        <w:t>, s</w:t>
      </w:r>
      <w:r w:rsidR="006D41F6" w:rsidRPr="00196F93">
        <w:rPr>
          <w:rFonts w:cs="Times New Roman"/>
          <w:color w:val="000000" w:themeColor="text1"/>
        </w:rPr>
        <w:t>tates also have power</w:t>
      </w:r>
      <w:r w:rsidR="00C1125B">
        <w:rPr>
          <w:rFonts w:cs="Times New Roman"/>
          <w:color w:val="000000" w:themeColor="text1"/>
        </w:rPr>
        <w:t>s</w:t>
      </w:r>
      <w:r w:rsidR="006D41F6" w:rsidRPr="00196F93">
        <w:rPr>
          <w:rFonts w:cs="Times New Roman"/>
          <w:color w:val="000000" w:themeColor="text1"/>
        </w:rPr>
        <w:t xml:space="preserve"> to regulate businesses operating within their state boundaries and can mandate disclosures and compliance with other regulatory requirements. </w:t>
      </w:r>
    </w:p>
    <w:p w14:paraId="3A61DDBC" w14:textId="6622B931" w:rsidR="00120F42" w:rsidRDefault="00120F42" w:rsidP="00B71A8C">
      <w:pPr>
        <w:spacing w:line="480" w:lineRule="auto"/>
        <w:ind w:firstLine="720"/>
        <w:contextualSpacing/>
        <w:rPr>
          <w:rFonts w:cs="Times New Roman"/>
          <w:color w:val="000000" w:themeColor="text1"/>
        </w:rPr>
      </w:pPr>
      <w:r w:rsidRPr="001454D8">
        <w:rPr>
          <w:rFonts w:cs="Times New Roman"/>
          <w:color w:val="000000" w:themeColor="text1"/>
        </w:rPr>
        <w:t>California’s focus is directed at state-specific environmental and economic vulnerabilities</w:t>
      </w:r>
      <w:r w:rsidR="00FC7714" w:rsidRPr="001454D8">
        <w:rPr>
          <w:rFonts w:cs="Times New Roman"/>
          <w:color w:val="000000" w:themeColor="text1"/>
        </w:rPr>
        <w:t xml:space="preserve"> </w:t>
      </w:r>
      <w:r w:rsidR="00C1125B" w:rsidRPr="001454D8">
        <w:rPr>
          <w:rFonts w:cs="Times New Roman"/>
          <w:color w:val="000000" w:themeColor="text1"/>
        </w:rPr>
        <w:t>with the stated purpose</w:t>
      </w:r>
      <w:r w:rsidRPr="001454D8">
        <w:rPr>
          <w:rFonts w:cs="Times New Roman"/>
          <w:color w:val="000000" w:themeColor="text1"/>
        </w:rPr>
        <w:t xml:space="preserve"> “to increase transparency and corporate accountability in an effort to move California towards a net-zero carbon economy</w:t>
      </w:r>
      <w:r w:rsidR="001F47FC" w:rsidRPr="001454D8">
        <w:rPr>
          <w:rFonts w:cs="Times New Roman"/>
          <w:color w:val="000000" w:themeColor="text1"/>
        </w:rPr>
        <w:t>.</w:t>
      </w:r>
      <w:r w:rsidRPr="001454D8">
        <w:rPr>
          <w:rFonts w:cs="Times New Roman"/>
          <w:color w:val="000000" w:themeColor="text1"/>
        </w:rPr>
        <w:t>”</w:t>
      </w:r>
      <w:r w:rsidRPr="001454D8">
        <w:rPr>
          <w:rStyle w:val="FootnoteReference"/>
          <w:rFonts w:cs="Times New Roman"/>
          <w:color w:val="000000" w:themeColor="text1"/>
        </w:rPr>
        <w:footnoteReference w:id="96"/>
      </w:r>
      <w:r w:rsidRPr="001454D8">
        <w:rPr>
          <w:rFonts w:cs="Times New Roman"/>
          <w:color w:val="000000" w:themeColor="text1"/>
        </w:rPr>
        <w:t xml:space="preserve"> The lack of materiality requirement in the California law and extended safe harbors for S3 emissions reflect </w:t>
      </w:r>
      <w:r w:rsidR="00C1125B" w:rsidRPr="001454D8">
        <w:rPr>
          <w:rFonts w:cs="Times New Roman"/>
          <w:color w:val="000000" w:themeColor="text1"/>
        </w:rPr>
        <w:t xml:space="preserve">these </w:t>
      </w:r>
      <w:r w:rsidRPr="001454D8">
        <w:rPr>
          <w:rFonts w:cs="Times New Roman"/>
          <w:color w:val="000000" w:themeColor="text1"/>
        </w:rPr>
        <w:t xml:space="preserve">broader climate transition goals, versus the narrower and financial-specific focus </w:t>
      </w:r>
      <w:r w:rsidRPr="00196F93">
        <w:rPr>
          <w:rFonts w:cs="Times New Roman"/>
          <w:color w:val="000000" w:themeColor="text1"/>
        </w:rPr>
        <w:t>of the SEC.</w:t>
      </w:r>
      <w:r w:rsidR="00D52CD1">
        <w:rPr>
          <w:rStyle w:val="FootnoteReference"/>
          <w:rFonts w:cs="Times New Roman"/>
          <w:color w:val="000000" w:themeColor="text1"/>
        </w:rPr>
        <w:footnoteReference w:id="97"/>
      </w:r>
      <w:r w:rsidRPr="00196F93">
        <w:rPr>
          <w:rFonts w:cs="Times New Roman"/>
          <w:color w:val="000000" w:themeColor="text1"/>
        </w:rPr>
        <w:t xml:space="preserve"> The California and EU approaches both contain explicit impact goals of advancing their respective economies transitions to net-zero and more sustainable economic systems.</w:t>
      </w:r>
      <w:r w:rsidR="00D52CD1">
        <w:rPr>
          <w:rStyle w:val="FootnoteReference"/>
          <w:rFonts w:cs="Times New Roman"/>
          <w:color w:val="000000" w:themeColor="text1"/>
        </w:rPr>
        <w:footnoteReference w:id="98"/>
      </w:r>
      <w:r w:rsidRPr="00196F93">
        <w:rPr>
          <w:rFonts w:cs="Times New Roman"/>
          <w:color w:val="000000" w:themeColor="text1"/>
        </w:rPr>
        <w:t xml:space="preserve"> California has </w:t>
      </w:r>
      <w:r w:rsidR="00C1125B">
        <w:rPr>
          <w:rFonts w:cs="Times New Roman"/>
          <w:color w:val="000000" w:themeColor="text1"/>
        </w:rPr>
        <w:t xml:space="preserve">also </w:t>
      </w:r>
      <w:r w:rsidR="001454D8">
        <w:rPr>
          <w:rFonts w:cs="Times New Roman"/>
          <w:color w:val="000000" w:themeColor="text1"/>
        </w:rPr>
        <w:t>started</w:t>
      </w:r>
      <w:r w:rsidR="001454D8" w:rsidRPr="00196F93">
        <w:rPr>
          <w:rFonts w:cs="Times New Roman"/>
          <w:color w:val="000000" w:themeColor="text1"/>
        </w:rPr>
        <w:t xml:space="preserve"> </w:t>
      </w:r>
      <w:r w:rsidRPr="00196F93">
        <w:rPr>
          <w:rFonts w:cs="Times New Roman"/>
          <w:color w:val="000000" w:themeColor="text1"/>
        </w:rPr>
        <w:t>to mandate disclosure</w:t>
      </w:r>
      <w:r w:rsidR="001454D8">
        <w:rPr>
          <w:rFonts w:cs="Times New Roman"/>
          <w:color w:val="000000" w:themeColor="text1"/>
        </w:rPr>
        <w:t>s</w:t>
      </w:r>
      <w:r w:rsidRPr="00196F93">
        <w:rPr>
          <w:rFonts w:cs="Times New Roman"/>
          <w:color w:val="000000" w:themeColor="text1"/>
        </w:rPr>
        <w:t xml:space="preserve"> </w:t>
      </w:r>
      <w:r w:rsidR="001454D8">
        <w:rPr>
          <w:rFonts w:cs="Times New Roman"/>
          <w:color w:val="000000" w:themeColor="text1"/>
        </w:rPr>
        <w:t>over</w:t>
      </w:r>
      <w:r w:rsidRPr="00196F93">
        <w:rPr>
          <w:rFonts w:cs="Times New Roman"/>
          <w:color w:val="000000" w:themeColor="text1"/>
        </w:rPr>
        <w:t xml:space="preserve"> social </w:t>
      </w:r>
      <w:r w:rsidR="001454D8">
        <w:rPr>
          <w:rFonts w:cs="Times New Roman"/>
          <w:color w:val="000000" w:themeColor="text1"/>
        </w:rPr>
        <w:t xml:space="preserve">and </w:t>
      </w:r>
      <w:r w:rsidRPr="00196F93">
        <w:rPr>
          <w:rFonts w:cs="Times New Roman"/>
          <w:color w:val="000000" w:themeColor="text1"/>
        </w:rPr>
        <w:t>human rights</w:t>
      </w:r>
      <w:r w:rsidR="001454D8">
        <w:rPr>
          <w:rFonts w:cs="Times New Roman"/>
          <w:color w:val="000000" w:themeColor="text1"/>
        </w:rPr>
        <w:t xml:space="preserve"> issues with</w:t>
      </w:r>
      <w:r w:rsidR="00C1125B">
        <w:rPr>
          <w:rFonts w:cs="Times New Roman"/>
          <w:color w:val="000000" w:themeColor="text1"/>
        </w:rPr>
        <w:t xml:space="preserve"> </w:t>
      </w:r>
      <w:r w:rsidRPr="00196F93">
        <w:rPr>
          <w:rFonts w:cs="Times New Roman"/>
          <w:color w:val="000000" w:themeColor="text1"/>
        </w:rPr>
        <w:t xml:space="preserve">the 2010 Transparency in Supply Chains Act </w:t>
      </w:r>
      <w:r w:rsidR="00C1125B">
        <w:rPr>
          <w:rFonts w:cs="Times New Roman"/>
          <w:color w:val="000000" w:themeColor="text1"/>
        </w:rPr>
        <w:t>requir</w:t>
      </w:r>
      <w:r w:rsidR="001454D8">
        <w:rPr>
          <w:rFonts w:cs="Times New Roman"/>
          <w:color w:val="000000" w:themeColor="text1"/>
        </w:rPr>
        <w:t xml:space="preserve">ing </w:t>
      </w:r>
      <w:r w:rsidRPr="00196F93">
        <w:rPr>
          <w:rFonts w:cs="Times New Roman"/>
          <w:color w:val="000000" w:themeColor="text1"/>
        </w:rPr>
        <w:t>large businesses operating in California to disclose efforts to eradicate slavery and human trafficking from the direct supply chains of goods offered for sale within the state.</w:t>
      </w:r>
      <w:bookmarkStart w:id="82" w:name="OLE_LINK103"/>
      <w:r w:rsidRPr="00196F93">
        <w:rPr>
          <w:rStyle w:val="FootnoteReference"/>
          <w:rFonts w:cs="Times New Roman"/>
          <w:color w:val="000000" w:themeColor="text1"/>
        </w:rPr>
        <w:footnoteReference w:id="99"/>
      </w:r>
      <w:r w:rsidRPr="00196F93">
        <w:rPr>
          <w:rFonts w:cs="Times New Roman"/>
          <w:color w:val="000000" w:themeColor="text1"/>
        </w:rPr>
        <w:t xml:space="preserve"> </w:t>
      </w:r>
      <w:bookmarkEnd w:id="82"/>
      <w:r w:rsidRPr="00196F93">
        <w:rPr>
          <w:rFonts w:cs="Times New Roman"/>
          <w:color w:val="000000" w:themeColor="text1"/>
        </w:rPr>
        <w:t>The SEC, however, contains no explicit goals to advance any such social change across, but is rather to provide investors with truthful and accurate disclosure of information</w:t>
      </w:r>
      <w:r w:rsidR="00C1125B">
        <w:rPr>
          <w:rFonts w:cs="Times New Roman"/>
          <w:color w:val="000000" w:themeColor="text1"/>
        </w:rPr>
        <w:t xml:space="preserve"> </w:t>
      </w:r>
      <w:r w:rsidRPr="00196F93">
        <w:rPr>
          <w:rFonts w:cs="Times New Roman"/>
          <w:color w:val="000000" w:themeColor="text1"/>
        </w:rPr>
        <w:t>directly related to financial materiality. Thus, the SEC</w:t>
      </w:r>
      <w:r>
        <w:rPr>
          <w:rFonts w:cs="Times New Roman"/>
          <w:color w:val="000000" w:themeColor="text1"/>
        </w:rPr>
        <w:t xml:space="preserve">’s </w:t>
      </w:r>
      <w:r w:rsidRPr="00196F93">
        <w:rPr>
          <w:rFonts w:cs="Times New Roman"/>
          <w:color w:val="000000" w:themeColor="text1"/>
        </w:rPr>
        <w:t>paramount goal of investor protection without imposing undue costs</w:t>
      </w:r>
      <w:r>
        <w:rPr>
          <w:rFonts w:cs="Times New Roman"/>
          <w:color w:val="000000" w:themeColor="text1"/>
        </w:rPr>
        <w:t xml:space="preserve"> </w:t>
      </w:r>
      <w:r w:rsidRPr="00196F93">
        <w:rPr>
          <w:rFonts w:cs="Times New Roman"/>
          <w:color w:val="000000" w:themeColor="text1"/>
        </w:rPr>
        <w:t xml:space="preserve">on companies </w:t>
      </w:r>
      <w:r w:rsidR="0094563B">
        <w:rPr>
          <w:rFonts w:cs="Times New Roman"/>
          <w:color w:val="000000" w:themeColor="text1"/>
        </w:rPr>
        <w:t xml:space="preserve">and capital markets </w:t>
      </w:r>
      <w:r w:rsidRPr="00196F93">
        <w:rPr>
          <w:rFonts w:cs="Times New Roman"/>
          <w:color w:val="000000" w:themeColor="text1"/>
        </w:rPr>
        <w:t>stands in contrast to the California and EU approach that is willing to impose greater S3 and other disclosure burdens on companies to meet additional policy priorities beyond capital markets scale and efficiency.</w:t>
      </w:r>
    </w:p>
    <w:p w14:paraId="1636EA75" w14:textId="28D38FF8" w:rsidR="001771DF" w:rsidRDefault="004620AD" w:rsidP="001771DF">
      <w:pPr>
        <w:spacing w:line="480" w:lineRule="auto"/>
        <w:ind w:firstLine="1080"/>
        <w:contextualSpacing/>
        <w:rPr>
          <w:rFonts w:cs="Times New Roman"/>
          <w:color w:val="000000" w:themeColor="text1"/>
        </w:rPr>
      </w:pPr>
      <w:r>
        <w:rPr>
          <w:rFonts w:cs="Times New Roman"/>
          <w:color w:val="000000" w:themeColor="text1"/>
        </w:rPr>
        <w:t xml:space="preserve">Measuring </w:t>
      </w:r>
      <w:r w:rsidRPr="00196F93">
        <w:rPr>
          <w:rFonts w:cs="Times New Roman"/>
          <w:color w:val="000000" w:themeColor="text1"/>
        </w:rPr>
        <w:t xml:space="preserve">S3 emissions </w:t>
      </w:r>
      <w:r>
        <w:rPr>
          <w:rFonts w:cs="Times New Roman"/>
          <w:color w:val="000000" w:themeColor="text1"/>
        </w:rPr>
        <w:t xml:space="preserve">across the value chain, however, </w:t>
      </w:r>
      <w:r w:rsidRPr="00196F93">
        <w:rPr>
          <w:rFonts w:cs="Times New Roman"/>
          <w:color w:val="000000" w:themeColor="text1"/>
        </w:rPr>
        <w:t xml:space="preserve">will </w:t>
      </w:r>
      <w:r>
        <w:rPr>
          <w:rFonts w:cs="Times New Roman"/>
          <w:color w:val="000000" w:themeColor="text1"/>
        </w:rPr>
        <w:t>require compelling</w:t>
      </w:r>
      <w:r w:rsidRPr="00196F93">
        <w:rPr>
          <w:rFonts w:cs="Times New Roman"/>
          <w:color w:val="000000" w:themeColor="text1"/>
        </w:rPr>
        <w:t xml:space="preserve"> corporate investigation and disclosure among subsidiaries across state and global borders.</w:t>
      </w:r>
      <w:r>
        <w:rPr>
          <w:rStyle w:val="FootnoteReference"/>
          <w:rFonts w:cs="Times New Roman"/>
          <w:color w:val="000000" w:themeColor="text1"/>
        </w:rPr>
        <w:footnoteReference w:id="100"/>
      </w:r>
      <w:r w:rsidRPr="00196F93">
        <w:rPr>
          <w:rFonts w:cs="Times New Roman"/>
          <w:color w:val="000000" w:themeColor="text1"/>
        </w:rPr>
        <w:t xml:space="preserve"> This has brought front tensions between state autonomy and federal preemption, as the role of </w:t>
      </w:r>
      <w:bookmarkStart w:id="83" w:name="OLE_LINK94"/>
      <w:r>
        <w:rPr>
          <w:rFonts w:cs="Times New Roman"/>
          <w:color w:val="000000" w:themeColor="text1"/>
        </w:rPr>
        <w:t xml:space="preserve">the </w:t>
      </w:r>
      <w:r w:rsidRPr="00196F93">
        <w:rPr>
          <w:rFonts w:cs="Times New Roman"/>
          <w:color w:val="000000" w:themeColor="text1"/>
        </w:rPr>
        <w:t>CARB</w:t>
      </w:r>
      <w:bookmarkEnd w:id="83"/>
      <w:r>
        <w:rPr>
          <w:rFonts w:cs="Times New Roman"/>
          <w:color w:val="000000" w:themeColor="text1"/>
        </w:rPr>
        <w:t xml:space="preserve">—the </w:t>
      </w:r>
      <w:r w:rsidR="00D52CD1">
        <w:rPr>
          <w:rFonts w:cs="Times New Roman"/>
          <w:color w:val="000000" w:themeColor="text1"/>
        </w:rPr>
        <w:t xml:space="preserve">state </w:t>
      </w:r>
      <w:r>
        <w:rPr>
          <w:rFonts w:cs="Times New Roman"/>
          <w:color w:val="000000" w:themeColor="text1"/>
        </w:rPr>
        <w:t xml:space="preserve">agency empowered to enforce </w:t>
      </w:r>
      <w:r w:rsidR="001454D8">
        <w:rPr>
          <w:rFonts w:cs="Times New Roman"/>
          <w:color w:val="000000" w:themeColor="text1"/>
        </w:rPr>
        <w:t>the laws’</w:t>
      </w:r>
      <w:r>
        <w:rPr>
          <w:rFonts w:cs="Times New Roman"/>
          <w:color w:val="000000" w:themeColor="text1"/>
        </w:rPr>
        <w:t xml:space="preserve"> provisions—</w:t>
      </w:r>
      <w:r w:rsidRPr="00196F93">
        <w:rPr>
          <w:rFonts w:cs="Times New Roman"/>
          <w:color w:val="000000" w:themeColor="text1"/>
        </w:rPr>
        <w:t>may overlap</w:t>
      </w:r>
      <w:r>
        <w:rPr>
          <w:rFonts w:cs="Times New Roman"/>
          <w:color w:val="000000" w:themeColor="text1"/>
        </w:rPr>
        <w:t xml:space="preserve"> </w:t>
      </w:r>
      <w:r w:rsidRPr="00196F93">
        <w:rPr>
          <w:rFonts w:cs="Times New Roman"/>
          <w:color w:val="000000" w:themeColor="text1"/>
        </w:rPr>
        <w:t>federal</w:t>
      </w:r>
      <w:r>
        <w:rPr>
          <w:rFonts w:cs="Times New Roman"/>
          <w:color w:val="000000" w:themeColor="text1"/>
        </w:rPr>
        <w:t xml:space="preserve"> authority over</w:t>
      </w:r>
      <w:r w:rsidRPr="00196F93">
        <w:rPr>
          <w:rFonts w:cs="Times New Roman"/>
          <w:color w:val="000000" w:themeColor="text1"/>
        </w:rPr>
        <w:t xml:space="preserve"> environmental goals</w:t>
      </w:r>
      <w:r>
        <w:rPr>
          <w:rFonts w:cs="Times New Roman"/>
          <w:color w:val="000000" w:themeColor="text1"/>
        </w:rPr>
        <w:t xml:space="preserve"> and </w:t>
      </w:r>
      <w:r w:rsidRPr="00196F93">
        <w:rPr>
          <w:rFonts w:cs="Times New Roman"/>
          <w:color w:val="000000" w:themeColor="text1"/>
        </w:rPr>
        <w:t>policy</w:t>
      </w:r>
      <w:r>
        <w:rPr>
          <w:rFonts w:cs="Times New Roman"/>
          <w:color w:val="000000" w:themeColor="text1"/>
        </w:rPr>
        <w:t>.</w:t>
      </w:r>
      <w:r w:rsidRPr="00196F93">
        <w:rPr>
          <w:rStyle w:val="FootnoteReference"/>
          <w:rFonts w:cs="Times New Roman"/>
          <w:color w:val="000000" w:themeColor="text1"/>
        </w:rPr>
        <w:footnoteReference w:id="101"/>
      </w:r>
      <w:r w:rsidRPr="00196F93">
        <w:rPr>
          <w:rFonts w:cs="Times New Roman"/>
          <w:color w:val="000000" w:themeColor="text1"/>
        </w:rPr>
        <w:t xml:space="preserve"> </w:t>
      </w:r>
      <w:r w:rsidR="00C1125B">
        <w:rPr>
          <w:rFonts w:cs="Times New Roman"/>
          <w:color w:val="000000" w:themeColor="text1"/>
        </w:rPr>
        <w:t>T</w:t>
      </w:r>
      <w:r w:rsidRPr="00196F93">
        <w:rPr>
          <w:rFonts w:cs="Times New Roman"/>
          <w:color w:val="000000" w:themeColor="text1"/>
        </w:rPr>
        <w:t>he U.S. Chamber of Commerce filed suit challenging the laws on First Amendment (compelled speech), Supremacy Clause (Clean Air Act preemption), and extraterritorial regulation grounds.</w:t>
      </w:r>
      <w:r w:rsidRPr="00196F93">
        <w:rPr>
          <w:rStyle w:val="FootnoteReference"/>
          <w:rFonts w:cs="Times New Roman"/>
          <w:color w:val="000000" w:themeColor="text1"/>
        </w:rPr>
        <w:footnoteReference w:id="102"/>
      </w:r>
      <w:r>
        <w:rPr>
          <w:rFonts w:cs="Times New Roman"/>
          <w:color w:val="000000" w:themeColor="text1"/>
        </w:rPr>
        <w:t xml:space="preserve"> </w:t>
      </w:r>
      <w:r w:rsidRPr="00196F93">
        <w:rPr>
          <w:rFonts w:cs="Times New Roman"/>
          <w:color w:val="000000" w:themeColor="text1"/>
        </w:rPr>
        <w:t xml:space="preserve">Depending on how the litigation is resolved it remains to be seen whether new uses </w:t>
      </w:r>
      <w:r>
        <w:rPr>
          <w:rFonts w:cs="Times New Roman"/>
          <w:color w:val="000000" w:themeColor="text1"/>
        </w:rPr>
        <w:t>of</w:t>
      </w:r>
      <w:r w:rsidRPr="00196F93">
        <w:rPr>
          <w:rFonts w:cs="Times New Roman"/>
          <w:color w:val="000000" w:themeColor="text1"/>
        </w:rPr>
        <w:t xml:space="preserve"> state law</w:t>
      </w:r>
      <w:r>
        <w:rPr>
          <w:rFonts w:cs="Times New Roman"/>
          <w:color w:val="000000" w:themeColor="text1"/>
        </w:rPr>
        <w:t xml:space="preserve">, and SEC rulemaking authority, </w:t>
      </w:r>
      <w:r w:rsidRPr="00196F93">
        <w:rPr>
          <w:rFonts w:cs="Times New Roman"/>
          <w:color w:val="000000" w:themeColor="text1"/>
        </w:rPr>
        <w:t xml:space="preserve">to compel corporate disclosure of </w:t>
      </w:r>
      <w:r>
        <w:rPr>
          <w:rFonts w:cs="Times New Roman"/>
          <w:color w:val="000000" w:themeColor="text1"/>
        </w:rPr>
        <w:t>more extensive climate and ESG</w:t>
      </w:r>
      <w:r w:rsidRPr="00196F93">
        <w:rPr>
          <w:rFonts w:cs="Times New Roman"/>
          <w:color w:val="000000" w:themeColor="text1"/>
        </w:rPr>
        <w:t xml:space="preserve"> information is within the regulatory purview of each authority.</w:t>
      </w:r>
      <w:r w:rsidR="00D52CD1">
        <w:rPr>
          <w:rFonts w:cs="Times New Roman"/>
          <w:color w:val="000000" w:themeColor="text1"/>
        </w:rPr>
        <w:t xml:space="preserve"> The EU on the other hand, with its constitutional structure and broader mandate, will remain empowered to mandate disclosure and compliance on a far wider range of issues as a result. </w:t>
      </w:r>
      <w:r>
        <w:rPr>
          <w:rFonts w:cs="Times New Roman"/>
          <w:color w:val="000000" w:themeColor="text1"/>
        </w:rPr>
        <w:t xml:space="preserve"> </w:t>
      </w:r>
    </w:p>
    <w:p w14:paraId="405CEA17" w14:textId="77777777" w:rsidR="00826842" w:rsidRPr="00196F93" w:rsidRDefault="00826842" w:rsidP="001771DF">
      <w:pPr>
        <w:pStyle w:val="Heading2"/>
      </w:pPr>
      <w:r w:rsidRPr="00196F93">
        <w:t>Political Economy Context</w:t>
      </w:r>
    </w:p>
    <w:p w14:paraId="162D7D58" w14:textId="0319096A" w:rsidR="002B3958" w:rsidRPr="00B71A8C" w:rsidRDefault="00711BC8" w:rsidP="001771DF">
      <w:pPr>
        <w:spacing w:line="480" w:lineRule="auto"/>
        <w:ind w:firstLine="720"/>
        <w:contextualSpacing/>
        <w:rPr>
          <w:rFonts w:cs="Times New Roman"/>
          <w:color w:val="000000" w:themeColor="text1"/>
        </w:rPr>
      </w:pPr>
      <w:r w:rsidRPr="00196F93">
        <w:rPr>
          <w:rFonts w:cs="Times New Roman"/>
          <w:color w:val="000000" w:themeColor="text1"/>
        </w:rPr>
        <w:t>These difference</w:t>
      </w:r>
      <w:r w:rsidR="00A17191" w:rsidRPr="00196F93">
        <w:rPr>
          <w:rFonts w:cs="Times New Roman"/>
          <w:color w:val="000000" w:themeColor="text1"/>
        </w:rPr>
        <w:t xml:space="preserve"> in </w:t>
      </w:r>
      <w:r w:rsidR="0088392D">
        <w:rPr>
          <w:rFonts w:cs="Times New Roman"/>
          <w:color w:val="000000" w:themeColor="text1"/>
        </w:rPr>
        <w:t>mandates and policy priorities across regulatory bodies</w:t>
      </w:r>
      <w:r w:rsidR="00A17191" w:rsidRPr="00196F93">
        <w:rPr>
          <w:rFonts w:cs="Times New Roman"/>
          <w:color w:val="000000" w:themeColor="text1"/>
        </w:rPr>
        <w:t xml:space="preserve"> may partially explain </w:t>
      </w:r>
      <w:r w:rsidR="0088392D">
        <w:rPr>
          <w:rFonts w:cs="Times New Roman"/>
          <w:color w:val="000000" w:themeColor="text1"/>
        </w:rPr>
        <w:t>some of the</w:t>
      </w:r>
      <w:r w:rsidR="0088392D" w:rsidRPr="00196F93">
        <w:rPr>
          <w:rFonts w:cs="Times New Roman"/>
          <w:color w:val="000000" w:themeColor="text1"/>
        </w:rPr>
        <w:t xml:space="preserve"> </w:t>
      </w:r>
      <w:r w:rsidR="001F23FC">
        <w:rPr>
          <w:rFonts w:cs="Times New Roman"/>
          <w:color w:val="000000" w:themeColor="text1"/>
        </w:rPr>
        <w:t xml:space="preserve">observed </w:t>
      </w:r>
      <w:r w:rsidR="00A17191" w:rsidRPr="00196F93">
        <w:rPr>
          <w:rFonts w:cs="Times New Roman"/>
          <w:color w:val="000000" w:themeColor="text1"/>
        </w:rPr>
        <w:t>divergence, however, it does not explain why</w:t>
      </w:r>
      <w:r w:rsidRPr="00196F93">
        <w:rPr>
          <w:rFonts w:cs="Times New Roman"/>
          <w:color w:val="000000" w:themeColor="text1"/>
        </w:rPr>
        <w:t xml:space="preserve"> </w:t>
      </w:r>
      <w:r w:rsidR="00A17191" w:rsidRPr="00196F93">
        <w:rPr>
          <w:rFonts w:cs="Times New Roman"/>
          <w:color w:val="000000" w:themeColor="text1"/>
        </w:rPr>
        <w:t xml:space="preserve">these </w:t>
      </w:r>
      <w:r w:rsidR="0088392D">
        <w:rPr>
          <w:rFonts w:cs="Times New Roman"/>
          <w:color w:val="000000" w:themeColor="text1"/>
        </w:rPr>
        <w:t xml:space="preserve">broader </w:t>
      </w:r>
      <w:r w:rsidR="00A17191" w:rsidRPr="00196F93">
        <w:rPr>
          <w:rFonts w:cs="Times New Roman"/>
          <w:color w:val="000000" w:themeColor="text1"/>
        </w:rPr>
        <w:t xml:space="preserve">policy differences exist between </w:t>
      </w:r>
      <w:r w:rsidR="003C730D" w:rsidRPr="0094563B">
        <w:rPr>
          <w:rFonts w:cs="Times New Roman"/>
          <w:color w:val="000000" w:themeColor="text1"/>
        </w:rPr>
        <w:t>similarly situated</w:t>
      </w:r>
      <w:r w:rsidR="00A17191" w:rsidRPr="0094563B">
        <w:rPr>
          <w:rFonts w:cs="Times New Roman"/>
          <w:color w:val="000000" w:themeColor="text1"/>
        </w:rPr>
        <w:t xml:space="preserve"> economie</w:t>
      </w:r>
      <w:r w:rsidR="0088392D" w:rsidRPr="0094563B">
        <w:rPr>
          <w:rFonts w:cs="Times New Roman"/>
          <w:color w:val="000000" w:themeColor="text1"/>
        </w:rPr>
        <w:t xml:space="preserve">s in relation to climate and ESG transparency. </w:t>
      </w:r>
      <w:r w:rsidRPr="0094563B">
        <w:rPr>
          <w:rFonts w:cs="Times New Roman"/>
          <w:color w:val="000000" w:themeColor="text1"/>
        </w:rPr>
        <w:t xml:space="preserve">This section </w:t>
      </w:r>
      <w:r w:rsidR="00BB53E3" w:rsidRPr="0094563B">
        <w:rPr>
          <w:rFonts w:cs="Times New Roman"/>
          <w:color w:val="000000" w:themeColor="text1"/>
        </w:rPr>
        <w:t>builds upon Gord</w:t>
      </w:r>
      <w:r w:rsidR="0097615B">
        <w:rPr>
          <w:rFonts w:cs="Times New Roman"/>
          <w:color w:val="000000" w:themeColor="text1"/>
        </w:rPr>
        <w:t>o</w:t>
      </w:r>
      <w:r w:rsidR="00BB53E3" w:rsidRPr="0094563B">
        <w:rPr>
          <w:rFonts w:cs="Times New Roman"/>
          <w:color w:val="000000" w:themeColor="text1"/>
        </w:rPr>
        <w:t>n’s</w:t>
      </w:r>
      <w:r w:rsidR="00AB2AED">
        <w:rPr>
          <w:rStyle w:val="FootnoteReference"/>
          <w:rFonts w:cs="Times New Roman"/>
          <w:color w:val="000000" w:themeColor="text1"/>
        </w:rPr>
        <w:footnoteReference w:id="103"/>
      </w:r>
      <w:r w:rsidR="00BB53E3" w:rsidRPr="0094563B">
        <w:rPr>
          <w:rFonts w:cs="Times New Roman"/>
          <w:color w:val="000000" w:themeColor="text1"/>
        </w:rPr>
        <w:t xml:space="preserve"> </w:t>
      </w:r>
      <w:r w:rsidR="002627D8" w:rsidRPr="0094563B">
        <w:rPr>
          <w:rFonts w:cs="Times New Roman"/>
          <w:color w:val="000000" w:themeColor="text1"/>
        </w:rPr>
        <w:t xml:space="preserve">political economy </w:t>
      </w:r>
      <w:r w:rsidR="00BB53E3" w:rsidRPr="0094563B">
        <w:rPr>
          <w:rFonts w:cs="Times New Roman"/>
          <w:color w:val="000000" w:themeColor="text1"/>
        </w:rPr>
        <w:t xml:space="preserve">analysis of </w:t>
      </w:r>
      <w:r w:rsidR="002627D8" w:rsidRPr="0094563B">
        <w:rPr>
          <w:rFonts w:cs="Times New Roman"/>
          <w:color w:val="000000" w:themeColor="text1"/>
        </w:rPr>
        <w:t xml:space="preserve">fossil fuel dependency and </w:t>
      </w:r>
      <w:r w:rsidR="004C039E" w:rsidRPr="00B71A8C">
        <w:rPr>
          <w:rFonts w:cs="Times New Roman"/>
          <w:color w:val="000000" w:themeColor="text1"/>
        </w:rPr>
        <w:t>Gelter</w:t>
      </w:r>
      <w:r w:rsidR="00AB2AED">
        <w:rPr>
          <w:rStyle w:val="FootnoteReference"/>
          <w:rFonts w:cs="Times New Roman"/>
          <w:color w:val="000000" w:themeColor="text1"/>
        </w:rPr>
        <w:footnoteReference w:id="104"/>
      </w:r>
      <w:r w:rsidR="00AB2AED">
        <w:rPr>
          <w:rFonts w:cs="Times New Roman"/>
          <w:color w:val="000000" w:themeColor="text1"/>
        </w:rPr>
        <w:t xml:space="preserve"> </w:t>
      </w:r>
      <w:r w:rsidR="002627D8" w:rsidRPr="0094563B">
        <w:rPr>
          <w:rFonts w:cs="Times New Roman"/>
          <w:color w:val="000000" w:themeColor="text1"/>
        </w:rPr>
        <w:t xml:space="preserve">exposure of retirement savings to financial </w:t>
      </w:r>
      <w:proofErr w:type="gramStart"/>
      <w:r w:rsidR="002627D8" w:rsidRPr="0094563B">
        <w:rPr>
          <w:rFonts w:cs="Times New Roman"/>
          <w:color w:val="000000" w:themeColor="text1"/>
        </w:rPr>
        <w:t>markets, but</w:t>
      </w:r>
      <w:proofErr w:type="gramEnd"/>
      <w:r w:rsidR="002627D8" w:rsidRPr="0094563B">
        <w:rPr>
          <w:rFonts w:cs="Times New Roman"/>
          <w:color w:val="000000" w:themeColor="text1"/>
        </w:rPr>
        <w:t xml:space="preserve"> extends it to consider the interplay of these factors with lobbying in the context of the specific institutional political designs underpinning each regulatory authority. </w:t>
      </w:r>
    </w:p>
    <w:p w14:paraId="478D4F51" w14:textId="77777777" w:rsidR="00826842" w:rsidRPr="00196F93" w:rsidRDefault="00826842" w:rsidP="00C807C8">
      <w:pPr>
        <w:pStyle w:val="Heading3"/>
        <w:numPr>
          <w:ilvl w:val="0"/>
          <w:numId w:val="6"/>
        </w:numPr>
        <w:spacing w:before="0"/>
        <w:contextualSpacing/>
      </w:pPr>
      <w:bookmarkStart w:id="84" w:name="OLE_LINK15"/>
      <w:r w:rsidRPr="00196F93">
        <w:t>Fossil Fuel Dependency</w:t>
      </w:r>
    </w:p>
    <w:bookmarkEnd w:id="84"/>
    <w:p w14:paraId="6AF44F46" w14:textId="22675FDE" w:rsidR="00711BC8" w:rsidRPr="00196F93" w:rsidRDefault="00A17191" w:rsidP="00B71A8C">
      <w:pPr>
        <w:spacing w:line="480" w:lineRule="auto"/>
        <w:ind w:firstLine="1080"/>
        <w:contextualSpacing/>
        <w:rPr>
          <w:rFonts w:cs="Times New Roman"/>
          <w:color w:val="000000" w:themeColor="text1"/>
        </w:rPr>
      </w:pPr>
      <w:r w:rsidRPr="00196F93">
        <w:rPr>
          <w:rFonts w:cs="Times New Roman"/>
          <w:color w:val="000000" w:themeColor="text1"/>
        </w:rPr>
        <w:t>One</w:t>
      </w:r>
      <w:r w:rsidR="00711BC8" w:rsidRPr="00196F93">
        <w:rPr>
          <w:rFonts w:cs="Times New Roman"/>
          <w:color w:val="000000" w:themeColor="text1"/>
        </w:rPr>
        <w:t xml:space="preserve"> </w:t>
      </w:r>
      <w:r w:rsidR="006A27AF">
        <w:rPr>
          <w:rFonts w:cs="Times New Roman"/>
          <w:color w:val="000000" w:themeColor="text1"/>
        </w:rPr>
        <w:t xml:space="preserve">potential </w:t>
      </w:r>
      <w:r w:rsidR="00711BC8" w:rsidRPr="00196F93">
        <w:rPr>
          <w:rFonts w:cs="Times New Roman"/>
          <w:color w:val="000000" w:themeColor="text1"/>
        </w:rPr>
        <w:t xml:space="preserve">political economy </w:t>
      </w:r>
      <w:r w:rsidR="006A27AF">
        <w:rPr>
          <w:rFonts w:cs="Times New Roman"/>
          <w:color w:val="000000" w:themeColor="text1"/>
        </w:rPr>
        <w:t xml:space="preserve">driver of this </w:t>
      </w:r>
      <w:r w:rsidR="00711BC8" w:rsidRPr="00196F93">
        <w:rPr>
          <w:rFonts w:cs="Times New Roman"/>
          <w:color w:val="000000" w:themeColor="text1"/>
        </w:rPr>
        <w:t>divergen</w:t>
      </w:r>
      <w:r w:rsidR="006A27AF">
        <w:rPr>
          <w:rFonts w:cs="Times New Roman"/>
          <w:color w:val="000000" w:themeColor="text1"/>
        </w:rPr>
        <w:t>ce</w:t>
      </w:r>
      <w:r w:rsidR="00711BC8" w:rsidRPr="00196F93">
        <w:rPr>
          <w:rFonts w:cs="Times New Roman"/>
          <w:color w:val="000000" w:themeColor="text1"/>
        </w:rPr>
        <w:t xml:space="preserve"> may lie in </w:t>
      </w:r>
      <w:r w:rsidR="006A27AF">
        <w:rPr>
          <w:rFonts w:cs="Times New Roman"/>
          <w:color w:val="000000" w:themeColor="text1"/>
        </w:rPr>
        <w:t xml:space="preserve">ones’ </w:t>
      </w:r>
      <w:r w:rsidRPr="00196F93">
        <w:rPr>
          <w:rFonts w:cs="Times New Roman"/>
          <w:color w:val="000000" w:themeColor="text1"/>
        </w:rPr>
        <w:t xml:space="preserve">economic </w:t>
      </w:r>
      <w:r w:rsidR="00711BC8" w:rsidRPr="00196F93">
        <w:rPr>
          <w:rFonts w:cs="Times New Roman"/>
          <w:color w:val="000000" w:themeColor="text1"/>
        </w:rPr>
        <w:t>exposure to fossil fuels</w:t>
      </w:r>
      <w:r w:rsidR="006A27AF">
        <w:rPr>
          <w:rFonts w:cs="Times New Roman"/>
          <w:color w:val="000000" w:themeColor="text1"/>
        </w:rPr>
        <w:t xml:space="preserve"> where </w:t>
      </w:r>
      <w:r w:rsidR="00711BC8" w:rsidRPr="00196F93">
        <w:rPr>
          <w:rFonts w:cs="Times New Roman"/>
          <w:color w:val="000000" w:themeColor="text1"/>
        </w:rPr>
        <w:t>the U.S. is a petro-state in stark contrast to the EU.</w:t>
      </w:r>
      <w:r w:rsidR="00FE7370" w:rsidRPr="00196F93">
        <w:rPr>
          <w:rStyle w:val="FootnoteReference"/>
          <w:rFonts w:cs="Times New Roman"/>
          <w:color w:val="000000" w:themeColor="text1"/>
        </w:rPr>
        <w:footnoteReference w:id="105"/>
      </w:r>
      <w:r w:rsidR="00711BC8" w:rsidRPr="00196F93">
        <w:rPr>
          <w:rFonts w:cs="Times New Roman"/>
          <w:color w:val="000000" w:themeColor="text1"/>
        </w:rPr>
        <w:t xml:space="preserve"> No major EU state has the same dependence and interest in protecting crude oil extraction after the departure of the UK from the EU, and very few “businesses have a long-term stake in a high level of energy produced from fossil fuels… [and thus], one would expect the political economy dynamics in the EU to facilitate a transition away from crude oil and other fossil fuel products</w:t>
      </w:r>
      <w:r w:rsidR="00FE7370">
        <w:rPr>
          <w:rFonts w:cs="Times New Roman"/>
          <w:color w:val="000000" w:themeColor="text1"/>
        </w:rPr>
        <w:t>.</w:t>
      </w:r>
      <w:r w:rsidR="00711BC8" w:rsidRPr="00196F93">
        <w:rPr>
          <w:rFonts w:cs="Times New Roman"/>
          <w:color w:val="000000" w:themeColor="text1"/>
        </w:rPr>
        <w:t>”</w:t>
      </w:r>
      <w:bookmarkStart w:id="86" w:name="OLE_LINK36"/>
      <w:r w:rsidR="00711BC8" w:rsidRPr="00196F93">
        <w:rPr>
          <w:rStyle w:val="FootnoteReference"/>
          <w:rFonts w:cs="Times New Roman"/>
          <w:color w:val="000000" w:themeColor="text1"/>
        </w:rPr>
        <w:footnoteReference w:id="106"/>
      </w:r>
      <w:bookmarkEnd w:id="86"/>
      <w:r w:rsidRPr="00196F93">
        <w:rPr>
          <w:rFonts w:cs="Times New Roman"/>
          <w:color w:val="000000" w:themeColor="text1"/>
        </w:rPr>
        <w:t xml:space="preserve"> The </w:t>
      </w:r>
      <w:r w:rsidR="004D77A0" w:rsidRPr="00196F93">
        <w:rPr>
          <w:rFonts w:cs="Times New Roman"/>
          <w:color w:val="000000" w:themeColor="text1"/>
        </w:rPr>
        <w:t xml:space="preserve">outsized </w:t>
      </w:r>
      <w:r w:rsidRPr="00196F93">
        <w:rPr>
          <w:rFonts w:cs="Times New Roman"/>
          <w:color w:val="000000" w:themeColor="text1"/>
        </w:rPr>
        <w:t xml:space="preserve">economic exposure of </w:t>
      </w:r>
      <w:r w:rsidR="004D77A0" w:rsidRPr="00196F93">
        <w:rPr>
          <w:rFonts w:cs="Times New Roman"/>
          <w:color w:val="000000" w:themeColor="text1"/>
        </w:rPr>
        <w:t xml:space="preserve">U.S. </w:t>
      </w:r>
      <w:r w:rsidRPr="00196F93">
        <w:rPr>
          <w:rFonts w:cs="Times New Roman"/>
          <w:color w:val="000000" w:themeColor="text1"/>
        </w:rPr>
        <w:t>financial markets, national employment, economic output to fossil fuels</w:t>
      </w:r>
      <w:r w:rsidR="00E4279F">
        <w:rPr>
          <w:rFonts w:cs="Times New Roman"/>
          <w:color w:val="000000" w:themeColor="text1"/>
        </w:rPr>
        <w:t>, on the other hand,</w:t>
      </w:r>
      <w:r w:rsidR="004D77A0" w:rsidRPr="00196F93">
        <w:rPr>
          <w:rFonts w:cs="Times New Roman"/>
          <w:color w:val="000000" w:themeColor="text1"/>
        </w:rPr>
        <w:t xml:space="preserve"> </w:t>
      </w:r>
      <w:r w:rsidR="005F43E8">
        <w:rPr>
          <w:rFonts w:cs="Times New Roman"/>
          <w:color w:val="000000" w:themeColor="text1"/>
        </w:rPr>
        <w:t>creates incentives</w:t>
      </w:r>
      <w:r w:rsidR="006A27AF">
        <w:rPr>
          <w:rFonts w:cs="Times New Roman"/>
          <w:color w:val="000000" w:themeColor="text1"/>
        </w:rPr>
        <w:t xml:space="preserve"> tilting</w:t>
      </w:r>
      <w:r w:rsidR="005F43E8" w:rsidRPr="00196F93">
        <w:rPr>
          <w:rFonts w:cs="Times New Roman"/>
          <w:color w:val="000000" w:themeColor="text1"/>
        </w:rPr>
        <w:t xml:space="preserve"> </w:t>
      </w:r>
      <w:r w:rsidR="004D77A0" w:rsidRPr="00196F93">
        <w:rPr>
          <w:rFonts w:cs="Times New Roman"/>
          <w:color w:val="000000" w:themeColor="text1"/>
        </w:rPr>
        <w:t>voting-citizens policy preferences towards preserv</w:t>
      </w:r>
      <w:r w:rsidR="005F43E8">
        <w:rPr>
          <w:rFonts w:cs="Times New Roman"/>
          <w:color w:val="000000" w:themeColor="text1"/>
        </w:rPr>
        <w:t>ing</w:t>
      </w:r>
      <w:r w:rsidR="004D77A0" w:rsidRPr="00196F93">
        <w:rPr>
          <w:rFonts w:cs="Times New Roman"/>
          <w:color w:val="000000" w:themeColor="text1"/>
        </w:rPr>
        <w:t xml:space="preserve"> the basis of their economic security</w:t>
      </w:r>
      <w:r w:rsidR="005F43E8">
        <w:rPr>
          <w:rFonts w:cs="Times New Roman"/>
          <w:color w:val="000000" w:themeColor="text1"/>
        </w:rPr>
        <w:t>—</w:t>
      </w:r>
      <w:r w:rsidR="00E4279F">
        <w:rPr>
          <w:rFonts w:cs="Times New Roman"/>
          <w:color w:val="000000" w:themeColor="text1"/>
        </w:rPr>
        <w:t xml:space="preserve">highly exposed to </w:t>
      </w:r>
      <w:r w:rsidR="005F43E8">
        <w:rPr>
          <w:rFonts w:cs="Times New Roman"/>
          <w:color w:val="000000" w:themeColor="text1"/>
        </w:rPr>
        <w:t>fossil</w:t>
      </w:r>
      <w:r w:rsidR="00E4279F">
        <w:rPr>
          <w:rFonts w:cs="Times New Roman"/>
          <w:color w:val="000000" w:themeColor="text1"/>
        </w:rPr>
        <w:t xml:space="preserve"> fuels</w:t>
      </w:r>
      <w:r w:rsidR="004D77A0" w:rsidRPr="00196F93">
        <w:rPr>
          <w:rFonts w:cs="Times New Roman"/>
          <w:color w:val="000000" w:themeColor="text1"/>
        </w:rPr>
        <w:t xml:space="preserve">. </w:t>
      </w:r>
      <w:r w:rsidR="00812730" w:rsidRPr="00E4279F">
        <w:rPr>
          <w:rFonts w:cs="Times New Roman"/>
          <w:color w:val="000000" w:themeColor="text1"/>
        </w:rPr>
        <w:t>Moreover, regional fossil fuel exposure within the U.S. may also help explain some of the variation observed across states.</w:t>
      </w:r>
      <w:r w:rsidR="00812730">
        <w:rPr>
          <w:rFonts w:cs="Times New Roman"/>
          <w:color w:val="000000" w:themeColor="text1"/>
        </w:rPr>
        <w:t xml:space="preserve"> </w:t>
      </w:r>
    </w:p>
    <w:p w14:paraId="1627B252" w14:textId="4F13692E" w:rsidR="002B3958" w:rsidRDefault="00711BC8" w:rsidP="00B71A8C">
      <w:pPr>
        <w:spacing w:line="480" w:lineRule="auto"/>
        <w:ind w:firstLine="1080"/>
        <w:contextualSpacing/>
        <w:rPr>
          <w:rFonts w:cs="Times New Roman"/>
          <w:color w:val="000000" w:themeColor="text1"/>
        </w:rPr>
      </w:pPr>
      <w:r w:rsidRPr="00196F93">
        <w:rPr>
          <w:rFonts w:cs="Times New Roman"/>
          <w:color w:val="000000" w:themeColor="text1"/>
        </w:rPr>
        <w:t xml:space="preserve">The U.S. is the world’s leading </w:t>
      </w:r>
      <w:r w:rsidRPr="008439E1">
        <w:rPr>
          <w:rFonts w:cs="Times New Roman"/>
          <w:color w:val="000000" w:themeColor="text1"/>
        </w:rPr>
        <w:t>producer</w:t>
      </w:r>
      <w:r w:rsidRPr="00196F93">
        <w:rPr>
          <w:rFonts w:cs="Times New Roman"/>
          <w:color w:val="000000" w:themeColor="text1"/>
        </w:rPr>
        <w:t xml:space="preserve"> of oil </w:t>
      </w:r>
      <w:r w:rsidR="008439E1">
        <w:rPr>
          <w:rFonts w:cs="Times New Roman"/>
          <w:color w:val="000000" w:themeColor="text1"/>
        </w:rPr>
        <w:t>with an output of</w:t>
      </w:r>
      <w:r w:rsidRPr="00196F93">
        <w:rPr>
          <w:rFonts w:cs="Times New Roman"/>
          <w:color w:val="000000" w:themeColor="text1"/>
        </w:rPr>
        <w:t xml:space="preserve"> 8.5 billion barrels of oil </w:t>
      </w:r>
      <w:r w:rsidR="001076AC">
        <w:rPr>
          <w:rFonts w:cs="Times New Roman"/>
          <w:color w:val="000000" w:themeColor="text1"/>
        </w:rPr>
        <w:t>in 2023</w:t>
      </w:r>
      <w:r w:rsidRPr="00196F93">
        <w:rPr>
          <w:rFonts w:cs="Times New Roman"/>
          <w:color w:val="000000" w:themeColor="text1"/>
        </w:rPr>
        <w:t xml:space="preserve">, compared to only 119 million barrels across all </w:t>
      </w:r>
      <w:r w:rsidR="00812730">
        <w:rPr>
          <w:rFonts w:cs="Times New Roman"/>
          <w:color w:val="000000" w:themeColor="text1"/>
        </w:rPr>
        <w:t xml:space="preserve">27 </w:t>
      </w:r>
      <w:r w:rsidRPr="00196F93">
        <w:rPr>
          <w:rFonts w:cs="Times New Roman"/>
          <w:color w:val="000000" w:themeColor="text1"/>
        </w:rPr>
        <w:t>EU member</w:t>
      </w:r>
      <w:r w:rsidR="001076AC">
        <w:rPr>
          <w:rFonts w:cs="Times New Roman"/>
          <w:color w:val="000000" w:themeColor="text1"/>
        </w:rPr>
        <w:t xml:space="preserve"> states</w:t>
      </w:r>
      <w:r w:rsidRPr="00196F93">
        <w:rPr>
          <w:rFonts w:cs="Times New Roman"/>
          <w:color w:val="000000" w:themeColor="text1"/>
        </w:rPr>
        <w:t>.</w:t>
      </w:r>
      <w:r w:rsidRPr="00196F93">
        <w:rPr>
          <w:rStyle w:val="FootnoteReference"/>
          <w:rFonts w:cs="Times New Roman"/>
          <w:bCs/>
          <w:color w:val="000000" w:themeColor="text1"/>
        </w:rPr>
        <w:footnoteReference w:id="107"/>
      </w:r>
      <w:r w:rsidRPr="00196F93">
        <w:rPr>
          <w:rFonts w:cs="Times New Roman"/>
          <w:color w:val="000000" w:themeColor="text1"/>
        </w:rPr>
        <w:t xml:space="preserve"> While the U.S. is a major </w:t>
      </w:r>
      <w:r w:rsidR="00812730">
        <w:rPr>
          <w:rFonts w:cs="Times New Roman"/>
          <w:color w:val="000000" w:themeColor="text1"/>
        </w:rPr>
        <w:t xml:space="preserve">fossil fuel </w:t>
      </w:r>
      <w:r w:rsidRPr="00196F93">
        <w:rPr>
          <w:rFonts w:cs="Times New Roman"/>
          <w:color w:val="000000" w:themeColor="text1"/>
        </w:rPr>
        <w:t>exporter</w:t>
      </w:r>
      <w:r w:rsidR="00B82697">
        <w:rPr>
          <w:rFonts w:cs="Times New Roman"/>
          <w:color w:val="000000" w:themeColor="text1"/>
        </w:rPr>
        <w:t xml:space="preserve"> on aggregate—certain states like California discussed below remain reliant on imports—</w:t>
      </w:r>
      <w:r w:rsidRPr="00196F93">
        <w:rPr>
          <w:rFonts w:cs="Times New Roman"/>
          <w:color w:val="000000" w:themeColor="text1"/>
        </w:rPr>
        <w:t>the EU</w:t>
      </w:r>
      <w:r w:rsidR="00812730">
        <w:rPr>
          <w:rFonts w:cs="Times New Roman"/>
          <w:color w:val="000000" w:themeColor="text1"/>
        </w:rPr>
        <w:t xml:space="preserve"> remains heavily reliant on foreign sources</w:t>
      </w:r>
      <w:r w:rsidRPr="00196F93">
        <w:rPr>
          <w:rFonts w:cs="Times New Roman"/>
          <w:color w:val="000000" w:themeColor="text1"/>
        </w:rPr>
        <w:t xml:space="preserve"> importing over 4.6 billion barrels last year.</w:t>
      </w:r>
      <w:r w:rsidRPr="00196F93">
        <w:rPr>
          <w:rStyle w:val="FootnoteReference"/>
          <w:rFonts w:cs="Times New Roman"/>
          <w:bCs/>
          <w:color w:val="000000" w:themeColor="text1"/>
        </w:rPr>
        <w:footnoteReference w:id="108"/>
      </w:r>
      <w:r w:rsidRPr="00196F93">
        <w:rPr>
          <w:rFonts w:cs="Times New Roman"/>
          <w:color w:val="000000" w:themeColor="text1"/>
        </w:rPr>
        <w:t xml:space="preserve"> EU crude oil production is down 50% from its 2002-04 peak, while U.S. production is at record highs and is only expected to grow more over future years.</w:t>
      </w:r>
      <w:r w:rsidRPr="00196F93">
        <w:rPr>
          <w:rStyle w:val="FootnoteReference"/>
          <w:rFonts w:cs="Times New Roman"/>
          <w:bCs/>
          <w:color w:val="000000" w:themeColor="text1"/>
        </w:rPr>
        <w:footnoteReference w:id="109"/>
      </w:r>
      <w:r w:rsidRPr="00196F93">
        <w:rPr>
          <w:rFonts w:cs="Times New Roman"/>
          <w:color w:val="000000" w:themeColor="text1"/>
        </w:rPr>
        <w:t xml:space="preserve"> </w:t>
      </w:r>
      <w:r w:rsidR="00F072FC" w:rsidRPr="00196F93">
        <w:rPr>
          <w:rFonts w:cs="Times New Roman"/>
          <w:color w:val="000000" w:themeColor="text1"/>
        </w:rPr>
        <w:t>America’s oil and gas industry supports over 10.3 million jobs in the U.S. and approximately 8% of the national GDP—over $2 trillion.</w:t>
      </w:r>
      <w:r w:rsidR="00F072FC" w:rsidRPr="00196F93">
        <w:rPr>
          <w:rStyle w:val="FootnoteReference"/>
          <w:rFonts w:cs="Times New Roman"/>
          <w:bCs/>
          <w:color w:val="000000" w:themeColor="text1"/>
        </w:rPr>
        <w:footnoteReference w:id="110"/>
      </w:r>
      <w:r w:rsidR="00F072FC" w:rsidRPr="00196F93">
        <w:rPr>
          <w:rFonts w:cs="Times New Roman"/>
          <w:color w:val="000000" w:themeColor="text1"/>
        </w:rPr>
        <w:t xml:space="preserve"> There is additional</w:t>
      </w:r>
      <w:r w:rsidR="00F072FC">
        <w:rPr>
          <w:rFonts w:cs="Times New Roman"/>
          <w:color w:val="000000" w:themeColor="text1"/>
        </w:rPr>
        <w:t>ly</w:t>
      </w:r>
      <w:r w:rsidR="00F072FC" w:rsidRPr="00196F93">
        <w:rPr>
          <w:rFonts w:cs="Times New Roman"/>
          <w:color w:val="000000" w:themeColor="text1"/>
        </w:rPr>
        <w:t xml:space="preserve"> very high levels of concentration in the U.S. across certain states like Texas, across the Southwest, and across Rocky Mountain States.</w:t>
      </w:r>
      <w:r w:rsidR="00F072FC" w:rsidRPr="00196F93">
        <w:rPr>
          <w:rStyle w:val="FootnoteReference"/>
          <w:rFonts w:cs="Times New Roman"/>
          <w:bCs/>
          <w:color w:val="000000" w:themeColor="text1"/>
        </w:rPr>
        <w:footnoteReference w:id="111"/>
      </w:r>
      <w:r w:rsidR="00F072FC" w:rsidRPr="00196F93">
        <w:rPr>
          <w:rFonts w:cs="Times New Roman"/>
          <w:color w:val="000000" w:themeColor="text1"/>
        </w:rPr>
        <w:t xml:space="preserve"> As of 2023, U.S. crude oil reserves are </w:t>
      </w:r>
      <w:r w:rsidR="000E76AD">
        <w:rPr>
          <w:rFonts w:cs="Times New Roman"/>
          <w:color w:val="000000" w:themeColor="text1"/>
        </w:rPr>
        <w:t xml:space="preserve">at a record high </w:t>
      </w:r>
      <w:r w:rsidR="00F072FC" w:rsidRPr="00196F93">
        <w:rPr>
          <w:rFonts w:cs="Times New Roman"/>
          <w:color w:val="000000" w:themeColor="text1"/>
        </w:rPr>
        <w:t>above 47.7 billion barrels</w:t>
      </w:r>
      <w:r w:rsidR="000E76AD">
        <w:rPr>
          <w:rFonts w:cs="Times New Roman"/>
          <w:color w:val="000000" w:themeColor="text1"/>
        </w:rPr>
        <w:t>.</w:t>
      </w:r>
      <w:r w:rsidR="00F072FC" w:rsidRPr="00196F93">
        <w:rPr>
          <w:rStyle w:val="FootnoteReference"/>
          <w:rFonts w:cs="Times New Roman"/>
          <w:bCs/>
          <w:color w:val="000000" w:themeColor="text1"/>
        </w:rPr>
        <w:footnoteReference w:id="112"/>
      </w:r>
      <w:r w:rsidR="00F072FC" w:rsidRPr="00196F93">
        <w:rPr>
          <w:rFonts w:cs="Times New Roman"/>
          <w:color w:val="000000" w:themeColor="text1"/>
        </w:rPr>
        <w:t xml:space="preserve"> Fossil fuel companies </w:t>
      </w:r>
      <w:r w:rsidR="000E76AD">
        <w:rPr>
          <w:rFonts w:cs="Times New Roman"/>
          <w:color w:val="000000" w:themeColor="text1"/>
        </w:rPr>
        <w:t>comprise</w:t>
      </w:r>
      <w:r w:rsidR="00F072FC" w:rsidRPr="00196F93">
        <w:rPr>
          <w:rFonts w:cs="Times New Roman"/>
          <w:color w:val="000000" w:themeColor="text1"/>
        </w:rPr>
        <w:t xml:space="preserve"> 5-10% of the S&amp;P 500 market capitalization in recent years, with much higher exposures across other large market indices and ETFs.</w:t>
      </w:r>
      <w:r w:rsidR="00F072FC" w:rsidRPr="00196F93">
        <w:rPr>
          <w:rStyle w:val="FootnoteReference"/>
          <w:rFonts w:cs="Times New Roman"/>
          <w:bCs/>
          <w:color w:val="000000" w:themeColor="text1"/>
        </w:rPr>
        <w:footnoteReference w:id="113"/>
      </w:r>
      <w:r w:rsidR="00F072FC">
        <w:rPr>
          <w:rFonts w:cs="Times New Roman"/>
          <w:color w:val="000000" w:themeColor="text1"/>
        </w:rPr>
        <w:t xml:space="preserve"> EU economies lack this level of </w:t>
      </w:r>
      <w:r w:rsidR="000E76AD">
        <w:rPr>
          <w:rFonts w:cs="Times New Roman"/>
          <w:color w:val="000000" w:themeColor="text1"/>
        </w:rPr>
        <w:t xml:space="preserve">deep economic </w:t>
      </w:r>
      <w:r w:rsidR="00F072FC">
        <w:rPr>
          <w:rFonts w:cs="Times New Roman"/>
          <w:color w:val="000000" w:themeColor="text1"/>
        </w:rPr>
        <w:t>exposure</w:t>
      </w:r>
      <w:r w:rsidR="000E76AD">
        <w:rPr>
          <w:rFonts w:cs="Times New Roman"/>
          <w:color w:val="000000" w:themeColor="text1"/>
        </w:rPr>
        <w:t>,</w:t>
      </w:r>
      <w:r w:rsidR="00F072FC">
        <w:rPr>
          <w:rFonts w:cs="Times New Roman"/>
          <w:color w:val="000000" w:themeColor="text1"/>
        </w:rPr>
        <w:t xml:space="preserve"> and thus </w:t>
      </w:r>
      <w:r w:rsidR="000E76AD">
        <w:rPr>
          <w:rFonts w:cs="Times New Roman"/>
          <w:color w:val="000000" w:themeColor="text1"/>
        </w:rPr>
        <w:t xml:space="preserve">face </w:t>
      </w:r>
      <w:r w:rsidRPr="00196F93">
        <w:rPr>
          <w:rFonts w:cs="Times New Roman"/>
          <w:color w:val="000000" w:themeColor="text1"/>
        </w:rPr>
        <w:t xml:space="preserve">a </w:t>
      </w:r>
      <w:r w:rsidR="000E76AD">
        <w:rPr>
          <w:rFonts w:cs="Times New Roman"/>
          <w:color w:val="000000" w:themeColor="text1"/>
        </w:rPr>
        <w:t xml:space="preserve">relatively </w:t>
      </w:r>
      <w:r w:rsidR="00B82697">
        <w:rPr>
          <w:rFonts w:cs="Times New Roman"/>
          <w:color w:val="000000" w:themeColor="text1"/>
        </w:rPr>
        <w:t xml:space="preserve">much </w:t>
      </w:r>
      <w:r w:rsidRPr="00196F93">
        <w:rPr>
          <w:rFonts w:cs="Times New Roman"/>
          <w:color w:val="000000" w:themeColor="text1"/>
        </w:rPr>
        <w:t xml:space="preserve">smaller scale </w:t>
      </w:r>
      <w:r w:rsidR="002B3958">
        <w:rPr>
          <w:rFonts w:cs="Times New Roman"/>
          <w:color w:val="000000" w:themeColor="text1"/>
        </w:rPr>
        <w:t xml:space="preserve">transition </w:t>
      </w:r>
      <w:r w:rsidR="00B82697">
        <w:rPr>
          <w:rFonts w:cs="Times New Roman"/>
          <w:color w:val="000000" w:themeColor="text1"/>
        </w:rPr>
        <w:t xml:space="preserve">that will largely </w:t>
      </w:r>
      <w:r w:rsidR="000E76AD">
        <w:rPr>
          <w:rFonts w:cs="Times New Roman"/>
          <w:color w:val="000000" w:themeColor="text1"/>
        </w:rPr>
        <w:t>consist of a</w:t>
      </w:r>
      <w:r w:rsidR="00B82697">
        <w:rPr>
          <w:rFonts w:cs="Times New Roman"/>
          <w:color w:val="000000" w:themeColor="text1"/>
        </w:rPr>
        <w:t xml:space="preserve"> </w:t>
      </w:r>
      <w:r w:rsidRPr="00196F93">
        <w:rPr>
          <w:rFonts w:cs="Times New Roman"/>
          <w:color w:val="000000" w:themeColor="text1"/>
        </w:rPr>
        <w:t>shift in energy-mix input</w:t>
      </w:r>
      <w:r w:rsidR="000E76AD">
        <w:rPr>
          <w:rFonts w:cs="Times New Roman"/>
          <w:color w:val="000000" w:themeColor="text1"/>
        </w:rPr>
        <w:t>s</w:t>
      </w:r>
      <w:r w:rsidRPr="00196F93">
        <w:rPr>
          <w:rFonts w:cs="Times New Roman"/>
          <w:color w:val="000000" w:themeColor="text1"/>
        </w:rPr>
        <w:t xml:space="preserve"> use</w:t>
      </w:r>
      <w:r w:rsidR="000E76AD">
        <w:rPr>
          <w:rFonts w:cs="Times New Roman"/>
          <w:color w:val="000000" w:themeColor="text1"/>
        </w:rPr>
        <w:t>d</w:t>
      </w:r>
      <w:r w:rsidRPr="00196F93">
        <w:rPr>
          <w:rFonts w:cs="Times New Roman"/>
          <w:color w:val="000000" w:themeColor="text1"/>
        </w:rPr>
        <w:t xml:space="preserve"> </w:t>
      </w:r>
      <w:r w:rsidR="000E76AD">
        <w:rPr>
          <w:rFonts w:cs="Times New Roman"/>
          <w:color w:val="000000" w:themeColor="text1"/>
        </w:rPr>
        <w:t>by</w:t>
      </w:r>
      <w:r w:rsidR="000E76AD" w:rsidRPr="00196F93">
        <w:rPr>
          <w:rFonts w:cs="Times New Roman"/>
          <w:color w:val="000000" w:themeColor="text1"/>
        </w:rPr>
        <w:t xml:space="preserve"> </w:t>
      </w:r>
      <w:r w:rsidRPr="00196F93">
        <w:rPr>
          <w:rFonts w:cs="Times New Roman"/>
          <w:color w:val="000000" w:themeColor="text1"/>
        </w:rPr>
        <w:t>companies</w:t>
      </w:r>
      <w:r w:rsidR="00B82697">
        <w:rPr>
          <w:rFonts w:cs="Times New Roman"/>
          <w:color w:val="000000" w:themeColor="text1"/>
        </w:rPr>
        <w:t>—</w:t>
      </w:r>
      <w:r w:rsidR="00E4279F">
        <w:rPr>
          <w:rFonts w:cs="Times New Roman"/>
          <w:color w:val="000000" w:themeColor="text1"/>
        </w:rPr>
        <w:t>which is</w:t>
      </w:r>
      <w:r w:rsidR="000E76AD">
        <w:rPr>
          <w:rFonts w:cs="Times New Roman"/>
          <w:color w:val="000000" w:themeColor="text1"/>
        </w:rPr>
        <w:t xml:space="preserve"> further </w:t>
      </w:r>
      <w:r w:rsidR="00B82697">
        <w:rPr>
          <w:rFonts w:cs="Times New Roman"/>
          <w:color w:val="000000" w:themeColor="text1"/>
        </w:rPr>
        <w:t xml:space="preserve">economically </w:t>
      </w:r>
      <w:r w:rsidR="000E76AD">
        <w:rPr>
          <w:rFonts w:cs="Times New Roman"/>
          <w:color w:val="000000" w:themeColor="text1"/>
        </w:rPr>
        <w:t xml:space="preserve">incentivized </w:t>
      </w:r>
      <w:r w:rsidR="00B82697">
        <w:rPr>
          <w:rFonts w:cs="Times New Roman"/>
          <w:color w:val="000000" w:themeColor="text1"/>
        </w:rPr>
        <w:t>as</w:t>
      </w:r>
      <w:r w:rsidR="002B3958">
        <w:rPr>
          <w:rFonts w:cs="Times New Roman"/>
          <w:color w:val="000000" w:themeColor="text1"/>
        </w:rPr>
        <w:t xml:space="preserve"> “reducing oil consumption is favorable from a balance of trade perspective”</w:t>
      </w:r>
      <w:r w:rsidR="00764655">
        <w:rPr>
          <w:rFonts w:cs="Times New Roman"/>
          <w:color w:val="000000" w:themeColor="text1"/>
        </w:rPr>
        <w:t xml:space="preserve"> as well.</w:t>
      </w:r>
      <w:r w:rsidR="002B3958">
        <w:rPr>
          <w:rStyle w:val="FootnoteReference"/>
          <w:rFonts w:cs="Times New Roman"/>
          <w:color w:val="000000" w:themeColor="text1"/>
        </w:rPr>
        <w:footnoteReference w:id="114"/>
      </w:r>
      <w:r w:rsidRPr="00196F93">
        <w:rPr>
          <w:rFonts w:cs="Times New Roman"/>
          <w:color w:val="000000" w:themeColor="text1"/>
        </w:rPr>
        <w:t xml:space="preserve"> In contrast, a widespread transition away from fossil fuels in the U.S. </w:t>
      </w:r>
      <w:r w:rsidR="00F072FC">
        <w:rPr>
          <w:rFonts w:cs="Times New Roman"/>
          <w:color w:val="000000" w:themeColor="text1"/>
        </w:rPr>
        <w:t>is not a</w:t>
      </w:r>
      <w:r w:rsidR="00764655">
        <w:rPr>
          <w:rFonts w:cs="Times New Roman"/>
          <w:color w:val="000000" w:themeColor="text1"/>
        </w:rPr>
        <w:t>s simple as the EU</w:t>
      </w:r>
      <w:r w:rsidR="00F072FC">
        <w:rPr>
          <w:rFonts w:cs="Times New Roman"/>
          <w:color w:val="000000" w:themeColor="text1"/>
        </w:rPr>
        <w:t xml:space="preserve"> transition of shifting industry consumption patterns, but rather will require </w:t>
      </w:r>
      <w:r w:rsidRPr="00196F93">
        <w:rPr>
          <w:rFonts w:cs="Times New Roman"/>
          <w:color w:val="000000" w:themeColor="text1"/>
        </w:rPr>
        <w:t xml:space="preserve">a seismic </w:t>
      </w:r>
      <w:r w:rsidR="00F072FC">
        <w:rPr>
          <w:rFonts w:cs="Times New Roman"/>
          <w:color w:val="000000" w:themeColor="text1"/>
        </w:rPr>
        <w:t>shift that “</w:t>
      </w:r>
      <w:r w:rsidR="002B3958" w:rsidRPr="002B3958">
        <w:rPr>
          <w:rFonts w:cs="Times New Roman"/>
          <w:color w:val="000000" w:themeColor="text1"/>
        </w:rPr>
        <w:t>entails potentially a massive shift in wealth with far reaching political economy consequences</w:t>
      </w:r>
      <w:r w:rsidR="002B3958">
        <w:rPr>
          <w:rFonts w:cs="Times New Roman"/>
          <w:color w:val="000000" w:themeColor="text1"/>
        </w:rPr>
        <w:t>.”</w:t>
      </w:r>
      <w:bookmarkStart w:id="90" w:name="OLE_LINK73"/>
      <w:r w:rsidR="002B3958">
        <w:rPr>
          <w:rStyle w:val="FootnoteReference"/>
          <w:rFonts w:cs="Times New Roman"/>
          <w:color w:val="000000" w:themeColor="text1"/>
        </w:rPr>
        <w:footnoteReference w:id="115"/>
      </w:r>
      <w:bookmarkEnd w:id="90"/>
    </w:p>
    <w:p w14:paraId="20BE0B42" w14:textId="7717DB8A" w:rsidR="00711BC8" w:rsidRPr="00B71A8C" w:rsidRDefault="00711BC8" w:rsidP="00B71A8C">
      <w:pPr>
        <w:spacing w:line="480" w:lineRule="auto"/>
        <w:ind w:firstLine="1080"/>
        <w:contextualSpacing/>
        <w:rPr>
          <w:rFonts w:cs="Times New Roman"/>
          <w:color w:val="000000" w:themeColor="text1"/>
          <w:highlight w:val="cyan"/>
        </w:rPr>
      </w:pPr>
      <w:r w:rsidRPr="00196F93">
        <w:rPr>
          <w:rFonts w:cs="Times New Roman"/>
          <w:color w:val="000000" w:themeColor="text1"/>
        </w:rPr>
        <w:t>The fossil fuel dependence argument may also</w:t>
      </w:r>
      <w:r w:rsidR="00764655">
        <w:rPr>
          <w:rFonts w:cs="Times New Roman"/>
          <w:color w:val="000000" w:themeColor="text1"/>
        </w:rPr>
        <w:t xml:space="preserve"> help</w:t>
      </w:r>
      <w:r w:rsidRPr="00196F93">
        <w:rPr>
          <w:rFonts w:cs="Times New Roman"/>
          <w:color w:val="000000" w:themeColor="text1"/>
        </w:rPr>
        <w:t xml:space="preserve"> explain California</w:t>
      </w:r>
      <w:r w:rsidR="00E4279F">
        <w:rPr>
          <w:rFonts w:cs="Times New Roman"/>
          <w:color w:val="000000" w:themeColor="text1"/>
        </w:rPr>
        <w:t>’s</w:t>
      </w:r>
      <w:r w:rsidRPr="00196F93">
        <w:rPr>
          <w:rFonts w:cs="Times New Roman"/>
          <w:color w:val="000000" w:themeColor="text1"/>
        </w:rPr>
        <w:t xml:space="preserve"> </w:t>
      </w:r>
      <w:r w:rsidR="00E4279F">
        <w:rPr>
          <w:rFonts w:cs="Times New Roman"/>
          <w:color w:val="000000" w:themeColor="text1"/>
        </w:rPr>
        <w:t>divergence from the broader U.S. posture</w:t>
      </w:r>
      <w:r w:rsidRPr="00196F93">
        <w:rPr>
          <w:rFonts w:cs="Times New Roman"/>
          <w:color w:val="000000" w:themeColor="text1"/>
        </w:rPr>
        <w:t>. The state is the 7</w:t>
      </w:r>
      <w:r w:rsidRPr="00196F93">
        <w:rPr>
          <w:rFonts w:cs="Times New Roman"/>
          <w:color w:val="000000" w:themeColor="text1"/>
          <w:vertAlign w:val="superscript"/>
        </w:rPr>
        <w:t>th</w:t>
      </w:r>
      <w:r w:rsidRPr="00196F93">
        <w:rPr>
          <w:rFonts w:cs="Times New Roman"/>
          <w:color w:val="000000" w:themeColor="text1"/>
        </w:rPr>
        <w:t xml:space="preserve"> largest producer in the U.S., third in crude oil refining capacity, but it needs to import almost 3 times as much as it produces to meet its immense energy demand—Californias pay over $25 billion annually to impor</w:t>
      </w:r>
      <w:r w:rsidR="00D73DF3">
        <w:rPr>
          <w:rFonts w:cs="Times New Roman"/>
          <w:color w:val="000000" w:themeColor="text1"/>
        </w:rPr>
        <w:t>t</w:t>
      </w:r>
      <w:r w:rsidRPr="00196F93">
        <w:rPr>
          <w:rFonts w:cs="Times New Roman"/>
          <w:color w:val="000000" w:themeColor="text1"/>
        </w:rPr>
        <w:t xml:space="preserve"> oil.</w:t>
      </w:r>
      <w:r w:rsidRPr="00196F93">
        <w:rPr>
          <w:rStyle w:val="FootnoteReference"/>
          <w:rFonts w:cs="Times New Roman"/>
          <w:color w:val="000000" w:themeColor="text1"/>
        </w:rPr>
        <w:footnoteReference w:id="116"/>
      </w:r>
      <w:r w:rsidRPr="00196F93">
        <w:rPr>
          <w:rFonts w:cs="Times New Roman"/>
          <w:color w:val="000000" w:themeColor="text1"/>
        </w:rPr>
        <w:t xml:space="preserve"> Despite the U.S. becoming a </w:t>
      </w:r>
      <w:r w:rsidR="000E76AD">
        <w:rPr>
          <w:rFonts w:cs="Times New Roman"/>
          <w:color w:val="000000" w:themeColor="text1"/>
        </w:rPr>
        <w:t xml:space="preserve">massive </w:t>
      </w:r>
      <w:r w:rsidRPr="00196F93">
        <w:rPr>
          <w:rFonts w:cs="Times New Roman"/>
          <w:color w:val="000000" w:themeColor="text1"/>
        </w:rPr>
        <w:t>net exporter of crude oil, California’s crude oil imports increased from 5% in 1992 to over 60.7% in 2023.</w:t>
      </w:r>
      <w:r w:rsidRPr="00196F93">
        <w:rPr>
          <w:rStyle w:val="FootnoteReference"/>
          <w:rFonts w:cs="Times New Roman"/>
          <w:color w:val="000000" w:themeColor="text1"/>
        </w:rPr>
        <w:footnoteReference w:id="117"/>
      </w:r>
      <w:r w:rsidRPr="00196F93">
        <w:rPr>
          <w:rFonts w:cs="Times New Roman"/>
          <w:color w:val="000000" w:themeColor="text1"/>
        </w:rPr>
        <w:t xml:space="preserve"> </w:t>
      </w:r>
      <w:r w:rsidR="00E4279F" w:rsidRPr="00196F93">
        <w:rPr>
          <w:rFonts w:cs="Times New Roman"/>
          <w:color w:val="000000" w:themeColor="text1"/>
        </w:rPr>
        <w:t>California is the second-largest “energy consumer among the states, after Texas, but imports more electricity than any other state… [and is the] largest consumer of jet fuel and second-largest consumer of motor gasoline in the U.S</w:t>
      </w:r>
      <w:r w:rsidR="00E4279F">
        <w:rPr>
          <w:rFonts w:cs="Times New Roman"/>
          <w:color w:val="000000" w:themeColor="text1"/>
        </w:rPr>
        <w:t>.”</w:t>
      </w:r>
      <w:r w:rsidR="00E4279F" w:rsidRPr="00196F93">
        <w:rPr>
          <w:rStyle w:val="FootnoteReference"/>
          <w:rFonts w:cs="Times New Roman"/>
          <w:color w:val="000000" w:themeColor="text1"/>
        </w:rPr>
        <w:footnoteReference w:id="118"/>
      </w:r>
      <w:r w:rsidR="00E4279F" w:rsidRPr="00196F93">
        <w:rPr>
          <w:rFonts w:cs="Times New Roman"/>
          <w:color w:val="000000" w:themeColor="text1"/>
        </w:rPr>
        <w:t xml:space="preserve"> </w:t>
      </w:r>
      <w:r w:rsidRPr="00196F93">
        <w:rPr>
          <w:rFonts w:cs="Times New Roman"/>
          <w:color w:val="000000" w:themeColor="text1"/>
        </w:rPr>
        <w:t>Bordered between the Pacific Ocean and the Sierra Nevada Mountains, California has no pipeline access t</w:t>
      </w:r>
      <w:r w:rsidR="00764655">
        <w:rPr>
          <w:rFonts w:cs="Times New Roman"/>
          <w:color w:val="000000" w:themeColor="text1"/>
        </w:rPr>
        <w:t>o t</w:t>
      </w:r>
      <w:r w:rsidRPr="00196F93">
        <w:rPr>
          <w:rFonts w:cs="Times New Roman"/>
          <w:color w:val="000000" w:themeColor="text1"/>
        </w:rPr>
        <w:t>he oil shale boom across the mountains, and thus “any crude oil needs from the rest of the country for California must to go through the Panama Canal to reach California ports.</w:t>
      </w:r>
      <w:bookmarkStart w:id="91" w:name="OLE_LINK1"/>
      <w:r w:rsidRPr="00196F93">
        <w:rPr>
          <w:rStyle w:val="FootnoteReference"/>
          <w:rFonts w:cs="Times New Roman"/>
          <w:color w:val="000000" w:themeColor="text1"/>
        </w:rPr>
        <w:footnoteReference w:id="119"/>
      </w:r>
      <w:bookmarkEnd w:id="91"/>
      <w:r w:rsidRPr="00196F93">
        <w:rPr>
          <w:rFonts w:cs="Times New Roman"/>
          <w:color w:val="000000" w:themeColor="text1"/>
        </w:rPr>
        <w:t xml:space="preserve"> In 2023, renewable resources supplied 54% of in-state electricity generation, while </w:t>
      </w:r>
      <w:r w:rsidR="00C75F1C" w:rsidRPr="00196F93">
        <w:rPr>
          <w:rFonts w:cs="Times New Roman"/>
          <w:color w:val="000000" w:themeColor="text1"/>
        </w:rPr>
        <w:t>n</w:t>
      </w:r>
      <w:r w:rsidRPr="00196F93">
        <w:rPr>
          <w:rFonts w:cs="Times New Roman"/>
          <w:color w:val="000000" w:themeColor="text1"/>
        </w:rPr>
        <w:t xml:space="preserve">atural </w:t>
      </w:r>
      <w:r w:rsidRPr="000E76AD">
        <w:rPr>
          <w:rFonts w:cs="Times New Roman"/>
          <w:color w:val="000000" w:themeColor="text1"/>
        </w:rPr>
        <w:t>gas fueled 39%.</w:t>
      </w:r>
      <w:r w:rsidRPr="000E76AD">
        <w:rPr>
          <w:rStyle w:val="FootnoteReference"/>
          <w:rFonts w:cs="Times New Roman"/>
          <w:color w:val="000000" w:themeColor="text1"/>
        </w:rPr>
        <w:footnoteReference w:id="120"/>
      </w:r>
      <w:r w:rsidRPr="000E76AD">
        <w:rPr>
          <w:rFonts w:cs="Times New Roman"/>
          <w:color w:val="000000" w:themeColor="text1"/>
        </w:rPr>
        <w:t xml:space="preserve"> Clean energy jobs in California employ nearly six times more workers than fossil fuel jobs.</w:t>
      </w:r>
      <w:r w:rsidRPr="000E76AD">
        <w:rPr>
          <w:rStyle w:val="FootnoteReference"/>
          <w:rFonts w:cs="Times New Roman"/>
          <w:color w:val="000000" w:themeColor="text1"/>
        </w:rPr>
        <w:footnoteReference w:id="121"/>
      </w:r>
      <w:r w:rsidRPr="000E76AD">
        <w:rPr>
          <w:rFonts w:cs="Times New Roman"/>
          <w:color w:val="000000" w:themeColor="text1"/>
        </w:rPr>
        <w:t xml:space="preserve"> While the U.S. is able to insulate most states from global supply-driven pricing impacts with reserves, California remains highly exposed to the </w:t>
      </w:r>
      <w:r w:rsidR="000E76AD" w:rsidRPr="00B71A8C">
        <w:rPr>
          <w:rFonts w:cs="Times New Roman"/>
          <w:color w:val="000000" w:themeColor="text1"/>
        </w:rPr>
        <w:t xml:space="preserve">pricing </w:t>
      </w:r>
      <w:r w:rsidRPr="000E76AD">
        <w:rPr>
          <w:rFonts w:cs="Times New Roman"/>
          <w:color w:val="000000" w:themeColor="text1"/>
        </w:rPr>
        <w:t xml:space="preserve">volatilities of foreign oil imports with </w:t>
      </w:r>
      <w:r w:rsidR="000E76AD" w:rsidRPr="00B71A8C">
        <w:rPr>
          <w:rFonts w:cs="Times New Roman"/>
          <w:color w:val="000000" w:themeColor="text1"/>
        </w:rPr>
        <w:t>great</w:t>
      </w:r>
      <w:r w:rsidR="000E76AD" w:rsidRPr="000E76AD">
        <w:rPr>
          <w:rFonts w:cs="Times New Roman"/>
          <w:color w:val="000000" w:themeColor="text1"/>
        </w:rPr>
        <w:t xml:space="preserve"> </w:t>
      </w:r>
      <w:r w:rsidRPr="000E76AD">
        <w:rPr>
          <w:rFonts w:cs="Times New Roman"/>
          <w:color w:val="000000" w:themeColor="text1"/>
        </w:rPr>
        <w:t xml:space="preserve">financial costs on the economy. Thus, </w:t>
      </w:r>
      <w:r w:rsidR="000E76AD" w:rsidRPr="00B71A8C">
        <w:rPr>
          <w:rFonts w:cs="Times New Roman"/>
          <w:color w:val="000000" w:themeColor="text1"/>
        </w:rPr>
        <w:t>t</w:t>
      </w:r>
      <w:r w:rsidRPr="000E76AD">
        <w:rPr>
          <w:rFonts w:cs="Times New Roman"/>
          <w:color w:val="000000" w:themeColor="text1"/>
        </w:rPr>
        <w:t xml:space="preserve">here </w:t>
      </w:r>
      <w:r w:rsidR="00E4279F">
        <w:rPr>
          <w:rFonts w:cs="Times New Roman"/>
          <w:color w:val="000000" w:themeColor="text1"/>
        </w:rPr>
        <w:t>are</w:t>
      </w:r>
      <w:r w:rsidR="00E4279F" w:rsidRPr="000E76AD">
        <w:rPr>
          <w:rFonts w:cs="Times New Roman"/>
          <w:color w:val="000000" w:themeColor="text1"/>
        </w:rPr>
        <w:t xml:space="preserve"> </w:t>
      </w:r>
      <w:r w:rsidRPr="000E76AD">
        <w:rPr>
          <w:rFonts w:cs="Times New Roman"/>
          <w:color w:val="000000" w:themeColor="text1"/>
        </w:rPr>
        <w:t xml:space="preserve">additional </w:t>
      </w:r>
      <w:r w:rsidR="00E4279F">
        <w:rPr>
          <w:rFonts w:cs="Times New Roman"/>
          <w:color w:val="000000" w:themeColor="text1"/>
        </w:rPr>
        <w:t xml:space="preserve">economic </w:t>
      </w:r>
      <w:r w:rsidRPr="000E76AD">
        <w:rPr>
          <w:rFonts w:cs="Times New Roman"/>
          <w:color w:val="000000" w:themeColor="text1"/>
        </w:rPr>
        <w:t xml:space="preserve">incentives to seek more reliable sources of lower cost renewable energy over long-term dependence on </w:t>
      </w:r>
      <w:r w:rsidR="00E4279F">
        <w:rPr>
          <w:rFonts w:cs="Times New Roman"/>
          <w:color w:val="000000" w:themeColor="text1"/>
        </w:rPr>
        <w:t xml:space="preserve">the volatilities of </w:t>
      </w:r>
      <w:r w:rsidRPr="000E76AD">
        <w:rPr>
          <w:rFonts w:cs="Times New Roman"/>
          <w:color w:val="000000" w:themeColor="text1"/>
        </w:rPr>
        <w:t xml:space="preserve">foreign oil markets. </w:t>
      </w:r>
    </w:p>
    <w:p w14:paraId="70C2E017" w14:textId="75FEE72A" w:rsidR="00FF7016" w:rsidRPr="00B71A8C" w:rsidRDefault="00086249" w:rsidP="00B71A8C">
      <w:pPr>
        <w:spacing w:line="480" w:lineRule="auto"/>
        <w:ind w:firstLine="1080"/>
        <w:contextualSpacing/>
        <w:rPr>
          <w:rFonts w:cs="Times New Roman"/>
          <w:color w:val="000000" w:themeColor="text1"/>
        </w:rPr>
      </w:pPr>
      <w:r w:rsidRPr="00B71A8C">
        <w:rPr>
          <w:rFonts w:cs="Times New Roman"/>
          <w:color w:val="000000" w:themeColor="text1"/>
        </w:rPr>
        <w:t xml:space="preserve">While the U.S. remains incredibly exposed to fossil fuels in aggregate, this exposure is concentrated among industries and geographically. An interesting facet to </w:t>
      </w:r>
      <w:r w:rsidR="00E4279F">
        <w:rPr>
          <w:rFonts w:cs="Times New Roman"/>
          <w:color w:val="000000" w:themeColor="text1"/>
        </w:rPr>
        <w:t xml:space="preserve">briefly </w:t>
      </w:r>
      <w:r w:rsidRPr="00B71A8C">
        <w:rPr>
          <w:rFonts w:cs="Times New Roman"/>
          <w:color w:val="000000" w:themeColor="text1"/>
        </w:rPr>
        <w:t>note</w:t>
      </w:r>
      <w:r w:rsidR="00F17368" w:rsidRPr="00B71A8C">
        <w:rPr>
          <w:rFonts w:cs="Times New Roman"/>
          <w:color w:val="000000" w:themeColor="text1"/>
        </w:rPr>
        <w:t>, perhaps unsurprisingly,</w:t>
      </w:r>
      <w:r w:rsidRPr="00B71A8C">
        <w:rPr>
          <w:rFonts w:cs="Times New Roman"/>
          <w:color w:val="000000" w:themeColor="text1"/>
        </w:rPr>
        <w:t xml:space="preserve"> is </w:t>
      </w:r>
      <w:r w:rsidR="00F17368" w:rsidRPr="00B71A8C">
        <w:rPr>
          <w:rFonts w:cs="Times New Roman"/>
          <w:color w:val="000000" w:themeColor="text1"/>
        </w:rPr>
        <w:t>there appears to be some correlation between a</w:t>
      </w:r>
      <w:r w:rsidRPr="00B71A8C">
        <w:rPr>
          <w:rFonts w:cs="Times New Roman"/>
          <w:color w:val="000000" w:themeColor="text1"/>
        </w:rPr>
        <w:t xml:space="preserve"> </w:t>
      </w:r>
      <w:r w:rsidR="00F17368" w:rsidRPr="00B71A8C">
        <w:rPr>
          <w:rFonts w:cs="Times New Roman"/>
          <w:color w:val="000000" w:themeColor="text1"/>
        </w:rPr>
        <w:t>state’s</w:t>
      </w:r>
      <w:r w:rsidRPr="00B71A8C">
        <w:rPr>
          <w:rFonts w:cs="Times New Roman"/>
          <w:color w:val="000000" w:themeColor="text1"/>
        </w:rPr>
        <w:t xml:space="preserve"> </w:t>
      </w:r>
      <w:r w:rsidR="00F17368" w:rsidRPr="00B71A8C">
        <w:rPr>
          <w:rFonts w:cs="Times New Roman"/>
          <w:color w:val="000000" w:themeColor="text1"/>
        </w:rPr>
        <w:t xml:space="preserve">degree of </w:t>
      </w:r>
      <w:r w:rsidRPr="00B71A8C">
        <w:rPr>
          <w:rFonts w:cs="Times New Roman"/>
          <w:color w:val="000000" w:themeColor="text1"/>
        </w:rPr>
        <w:t>fossil fuel exposure</w:t>
      </w:r>
      <w:r w:rsidR="00F17368" w:rsidRPr="00B71A8C">
        <w:rPr>
          <w:rFonts w:cs="Times New Roman"/>
          <w:color w:val="000000" w:themeColor="text1"/>
        </w:rPr>
        <w:t xml:space="preserve"> and their </w:t>
      </w:r>
      <w:r w:rsidR="000E76AD">
        <w:rPr>
          <w:rFonts w:cs="Times New Roman"/>
          <w:color w:val="000000" w:themeColor="text1"/>
        </w:rPr>
        <w:t xml:space="preserve">policy posture toward </w:t>
      </w:r>
      <w:r w:rsidR="00F17368" w:rsidRPr="00B71A8C">
        <w:rPr>
          <w:rFonts w:cs="Times New Roman"/>
          <w:color w:val="000000" w:themeColor="text1"/>
        </w:rPr>
        <w:t xml:space="preserve">climate </w:t>
      </w:r>
      <w:r w:rsidR="000E76AD">
        <w:rPr>
          <w:rFonts w:cs="Times New Roman"/>
          <w:color w:val="000000" w:themeColor="text1"/>
        </w:rPr>
        <w:t xml:space="preserve">and ESG </w:t>
      </w:r>
      <w:r w:rsidR="00F17368" w:rsidRPr="00B71A8C">
        <w:rPr>
          <w:rFonts w:cs="Times New Roman"/>
          <w:color w:val="000000" w:themeColor="text1"/>
        </w:rPr>
        <w:t>regulation</w:t>
      </w:r>
      <w:r w:rsidR="000E76AD">
        <w:rPr>
          <w:rFonts w:cs="Times New Roman"/>
          <w:color w:val="000000" w:themeColor="text1"/>
        </w:rPr>
        <w:t>s</w:t>
      </w:r>
      <w:r w:rsidR="00F17368" w:rsidRPr="00B71A8C">
        <w:rPr>
          <w:rFonts w:cs="Times New Roman"/>
          <w:color w:val="000000" w:themeColor="text1"/>
        </w:rPr>
        <w:t xml:space="preserve">. </w:t>
      </w:r>
      <w:r w:rsidR="0094563B" w:rsidRPr="00B71A8C">
        <w:rPr>
          <w:rFonts w:cs="Times New Roman"/>
          <w:color w:val="000000" w:themeColor="text1"/>
        </w:rPr>
        <w:t>As mentioned earlier, West Virginia, Georgia, Louisiana, Texas, and Mississippi are leading the litigation against the currently stayed SEC rules.</w:t>
      </w:r>
      <w:r w:rsidR="0094563B" w:rsidRPr="000E76AD">
        <w:rPr>
          <w:rStyle w:val="FootnoteReference"/>
          <w:rFonts w:cs="Times New Roman"/>
          <w:color w:val="000000" w:themeColor="text1"/>
        </w:rPr>
        <w:footnoteReference w:id="122"/>
      </w:r>
      <w:r w:rsidR="0094563B" w:rsidRPr="000E76AD">
        <w:rPr>
          <w:rFonts w:cs="Times New Roman"/>
          <w:color w:val="000000" w:themeColor="text1"/>
        </w:rPr>
        <w:t xml:space="preserve"> </w:t>
      </w:r>
      <w:r w:rsidRPr="000E76AD">
        <w:rPr>
          <w:rFonts w:cs="Times New Roman"/>
          <w:color w:val="000000" w:themeColor="text1"/>
        </w:rPr>
        <w:t xml:space="preserve">Commentators have noted Texas and West Virginia are </w:t>
      </w:r>
      <w:r w:rsidR="000578C4" w:rsidRPr="000E76AD">
        <w:rPr>
          <w:rFonts w:cs="Times New Roman"/>
          <w:color w:val="000000" w:themeColor="text1"/>
        </w:rPr>
        <w:t xml:space="preserve">the primary states </w:t>
      </w:r>
      <w:r w:rsidRPr="000E76AD">
        <w:rPr>
          <w:rFonts w:cs="Times New Roman"/>
          <w:color w:val="000000" w:themeColor="text1"/>
        </w:rPr>
        <w:t>leading the broader opposition to ESG regulations, while</w:t>
      </w:r>
      <w:r w:rsidR="0094563B" w:rsidRPr="000E76AD">
        <w:rPr>
          <w:rFonts w:cs="Times New Roman"/>
          <w:color w:val="000000" w:themeColor="text1"/>
        </w:rPr>
        <w:t xml:space="preserve"> states </w:t>
      </w:r>
      <w:bookmarkStart w:id="93" w:name="OLE_LINK106"/>
      <w:r w:rsidR="0094563B" w:rsidRPr="000E76AD">
        <w:rPr>
          <w:rFonts w:cs="Times New Roman"/>
          <w:color w:val="000000" w:themeColor="text1"/>
        </w:rPr>
        <w:t>California</w:t>
      </w:r>
      <w:r w:rsidRPr="000E76AD">
        <w:rPr>
          <w:rFonts w:cs="Times New Roman"/>
          <w:color w:val="000000" w:themeColor="text1"/>
        </w:rPr>
        <w:t xml:space="preserve"> and </w:t>
      </w:r>
      <w:r w:rsidR="0094563B" w:rsidRPr="000E76AD">
        <w:rPr>
          <w:rFonts w:cs="Times New Roman"/>
          <w:color w:val="000000" w:themeColor="text1"/>
        </w:rPr>
        <w:t>New York</w:t>
      </w:r>
      <w:r w:rsidRPr="000E76AD">
        <w:rPr>
          <w:rFonts w:cs="Times New Roman"/>
          <w:color w:val="000000" w:themeColor="text1"/>
        </w:rPr>
        <w:t xml:space="preserve"> are described as leading the charge towards more ESG and climate requirements.</w:t>
      </w:r>
      <w:r w:rsidRPr="000E76AD">
        <w:rPr>
          <w:rStyle w:val="FootnoteReference"/>
          <w:rFonts w:cs="Times New Roman"/>
          <w:color w:val="000000" w:themeColor="text1"/>
        </w:rPr>
        <w:footnoteReference w:id="123"/>
      </w:r>
      <w:r w:rsidR="000578C4" w:rsidRPr="000E76AD">
        <w:rPr>
          <w:rFonts w:cs="Times New Roman"/>
          <w:color w:val="000000" w:themeColor="text1"/>
        </w:rPr>
        <w:t xml:space="preserve"> </w:t>
      </w:r>
      <w:r w:rsidRPr="000E76AD">
        <w:rPr>
          <w:rFonts w:cs="Times New Roman"/>
          <w:color w:val="000000" w:themeColor="text1"/>
        </w:rPr>
        <w:t>There are data limitations towards comparing the exact level of fossil fuel exposure among these states</w:t>
      </w:r>
      <w:r>
        <w:rPr>
          <w:rFonts w:cs="Times New Roman"/>
          <w:color w:val="000000" w:themeColor="text1"/>
        </w:rPr>
        <w:t xml:space="preserve">, however, existing data seems to support some level of correlation between policy posture and exposure. For instance, the oppositional states contain </w:t>
      </w:r>
      <w:r w:rsidR="000578C4">
        <w:rPr>
          <w:rFonts w:cs="Times New Roman"/>
          <w:color w:val="000000" w:themeColor="text1"/>
        </w:rPr>
        <w:t xml:space="preserve">some of </w:t>
      </w:r>
      <w:r>
        <w:rPr>
          <w:rFonts w:cs="Times New Roman"/>
          <w:color w:val="000000" w:themeColor="text1"/>
        </w:rPr>
        <w:t>the highest level</w:t>
      </w:r>
      <w:r w:rsidR="000578C4">
        <w:rPr>
          <w:rFonts w:cs="Times New Roman"/>
          <w:color w:val="000000" w:themeColor="text1"/>
        </w:rPr>
        <w:t>s</w:t>
      </w:r>
      <w:r>
        <w:rPr>
          <w:rFonts w:cs="Times New Roman"/>
          <w:color w:val="000000" w:themeColor="text1"/>
        </w:rPr>
        <w:t xml:space="preserve"> of </w:t>
      </w:r>
      <w:r w:rsidR="00E4279F">
        <w:rPr>
          <w:rFonts w:cs="Times New Roman"/>
          <w:color w:val="000000" w:themeColor="text1"/>
        </w:rPr>
        <w:t xml:space="preserve">in-state electricity generation </w:t>
      </w:r>
      <w:r>
        <w:rPr>
          <w:rFonts w:cs="Times New Roman"/>
          <w:color w:val="000000" w:themeColor="text1"/>
        </w:rPr>
        <w:t>exposure</w:t>
      </w:r>
      <w:r w:rsidR="00E4279F">
        <w:rPr>
          <w:rFonts w:cs="Times New Roman"/>
          <w:color w:val="000000" w:themeColor="text1"/>
        </w:rPr>
        <w:t>s</w:t>
      </w:r>
      <w:r>
        <w:rPr>
          <w:rFonts w:cs="Times New Roman"/>
          <w:color w:val="000000" w:themeColor="text1"/>
        </w:rPr>
        <w:t xml:space="preserve"> to fossil fuels with West Virginia relying on 95.4% from fossil fuel sources, 92.1% in Louisiana, and 89.9% in Texas</w:t>
      </w:r>
      <w:r w:rsidR="00815257">
        <w:rPr>
          <w:rFonts w:cs="Times New Roman"/>
          <w:color w:val="000000" w:themeColor="text1"/>
        </w:rPr>
        <w:t xml:space="preserve"> in 2018</w:t>
      </w:r>
      <w:r>
        <w:rPr>
          <w:rFonts w:cs="Times New Roman"/>
          <w:color w:val="000000" w:themeColor="text1"/>
        </w:rPr>
        <w:t>.</w:t>
      </w:r>
      <w:r>
        <w:rPr>
          <w:rStyle w:val="FootnoteReference"/>
          <w:rFonts w:cs="Times New Roman"/>
          <w:color w:val="000000" w:themeColor="text1"/>
        </w:rPr>
        <w:footnoteReference w:id="124"/>
      </w:r>
      <w:r>
        <w:rPr>
          <w:rFonts w:cs="Times New Roman"/>
          <w:color w:val="000000" w:themeColor="text1"/>
        </w:rPr>
        <w:t xml:space="preserve"> In contrast, the most pro ESG states have some of the lowest dependencies with California </w:t>
      </w:r>
      <w:r w:rsidR="000578C4">
        <w:rPr>
          <w:rFonts w:cs="Times New Roman"/>
          <w:color w:val="000000" w:themeColor="text1"/>
        </w:rPr>
        <w:t>at</w:t>
      </w:r>
      <w:r>
        <w:rPr>
          <w:rFonts w:cs="Times New Roman"/>
          <w:color w:val="000000" w:themeColor="text1"/>
        </w:rPr>
        <w:t xml:space="preserve"> 73%, and New York </w:t>
      </w:r>
      <w:r w:rsidR="00E4279F">
        <w:rPr>
          <w:rFonts w:cs="Times New Roman"/>
          <w:color w:val="000000" w:themeColor="text1"/>
        </w:rPr>
        <w:t xml:space="preserve">with the national lowest </w:t>
      </w:r>
      <w:r>
        <w:rPr>
          <w:rFonts w:cs="Times New Roman"/>
          <w:color w:val="000000" w:themeColor="text1"/>
        </w:rPr>
        <w:t>at 67.6%</w:t>
      </w:r>
      <w:r w:rsidR="0000678A">
        <w:rPr>
          <w:rFonts w:cs="Times New Roman"/>
          <w:color w:val="000000" w:themeColor="text1"/>
        </w:rPr>
        <w:t>—</w:t>
      </w:r>
      <w:r w:rsidR="00815257">
        <w:rPr>
          <w:rFonts w:cs="Times New Roman"/>
          <w:color w:val="000000" w:themeColor="text1"/>
        </w:rPr>
        <w:t>compared to the U.S. total of ~80% in 2018</w:t>
      </w:r>
      <w:r>
        <w:rPr>
          <w:rFonts w:cs="Times New Roman"/>
          <w:color w:val="000000" w:themeColor="text1"/>
        </w:rPr>
        <w:t>.</w:t>
      </w:r>
      <w:r>
        <w:rPr>
          <w:rStyle w:val="FootnoteReference"/>
          <w:rFonts w:cs="Times New Roman"/>
          <w:color w:val="000000" w:themeColor="text1"/>
        </w:rPr>
        <w:footnoteReference w:id="125"/>
      </w:r>
      <w:r>
        <w:rPr>
          <w:rFonts w:cs="Times New Roman"/>
          <w:color w:val="000000" w:themeColor="text1"/>
        </w:rPr>
        <w:t xml:space="preserve"> Looking at the</w:t>
      </w:r>
      <w:r w:rsidR="00815257">
        <w:rPr>
          <w:rFonts w:cs="Times New Roman"/>
          <w:color w:val="000000" w:themeColor="text1"/>
        </w:rPr>
        <w:t xml:space="preserve"> percentage</w:t>
      </w:r>
      <w:r>
        <w:rPr>
          <w:rFonts w:cs="Times New Roman"/>
          <w:color w:val="000000" w:themeColor="text1"/>
        </w:rPr>
        <w:t xml:space="preserve"> of </w:t>
      </w:r>
      <w:r w:rsidR="00815257">
        <w:rPr>
          <w:rFonts w:cs="Times New Roman"/>
          <w:color w:val="000000" w:themeColor="text1"/>
        </w:rPr>
        <w:t>s</w:t>
      </w:r>
      <w:r>
        <w:rPr>
          <w:rFonts w:cs="Times New Roman"/>
          <w:color w:val="000000" w:themeColor="text1"/>
        </w:rPr>
        <w:t xml:space="preserve">tate GDP derived from </w:t>
      </w:r>
      <w:r w:rsidR="00815257">
        <w:rPr>
          <w:rFonts w:cs="Times New Roman"/>
          <w:color w:val="000000" w:themeColor="text1"/>
        </w:rPr>
        <w:t>oil and gas</w:t>
      </w:r>
      <w:r>
        <w:rPr>
          <w:rFonts w:cs="Times New Roman"/>
          <w:color w:val="000000" w:themeColor="text1"/>
        </w:rPr>
        <w:t xml:space="preserve">, </w:t>
      </w:r>
      <w:r w:rsidR="000F5537">
        <w:rPr>
          <w:rFonts w:cs="Times New Roman"/>
          <w:color w:val="000000" w:themeColor="text1"/>
        </w:rPr>
        <w:t xml:space="preserve">there are </w:t>
      </w:r>
      <w:r w:rsidR="000E76AD">
        <w:rPr>
          <w:rFonts w:cs="Times New Roman"/>
          <w:color w:val="000000" w:themeColor="text1"/>
        </w:rPr>
        <w:t xml:space="preserve">also </w:t>
      </w:r>
      <w:r w:rsidR="000F5537">
        <w:rPr>
          <w:rFonts w:cs="Times New Roman"/>
          <w:color w:val="000000" w:themeColor="text1"/>
        </w:rPr>
        <w:t xml:space="preserve">data and measurement challenges, but </w:t>
      </w:r>
      <w:r w:rsidR="00815257">
        <w:rPr>
          <w:rFonts w:cs="Times New Roman"/>
          <w:color w:val="000000" w:themeColor="text1"/>
        </w:rPr>
        <w:t>the Bureau of Economic Analysis estimate</w:t>
      </w:r>
      <w:r w:rsidR="00E4279F">
        <w:rPr>
          <w:rFonts w:cs="Times New Roman"/>
          <w:color w:val="000000" w:themeColor="text1"/>
        </w:rPr>
        <w:t>s</w:t>
      </w:r>
      <w:r w:rsidR="00815257">
        <w:rPr>
          <w:rFonts w:cs="Times New Roman"/>
          <w:color w:val="000000" w:themeColor="text1"/>
        </w:rPr>
        <w:t xml:space="preserve"> the industry </w:t>
      </w:r>
      <w:r w:rsidR="0000678A">
        <w:rPr>
          <w:rFonts w:cs="Times New Roman"/>
          <w:color w:val="000000" w:themeColor="text1"/>
        </w:rPr>
        <w:t xml:space="preserve">directly </w:t>
      </w:r>
      <w:r w:rsidR="000578C4">
        <w:rPr>
          <w:rFonts w:cs="Times New Roman"/>
          <w:color w:val="000000" w:themeColor="text1"/>
        </w:rPr>
        <w:t>contributed</w:t>
      </w:r>
      <w:r w:rsidR="00815257">
        <w:rPr>
          <w:rFonts w:cs="Times New Roman"/>
          <w:color w:val="000000" w:themeColor="text1"/>
        </w:rPr>
        <w:t xml:space="preserve"> </w:t>
      </w:r>
      <w:r w:rsidR="000E76AD">
        <w:rPr>
          <w:rFonts w:cs="Times New Roman"/>
          <w:color w:val="000000" w:themeColor="text1"/>
        </w:rPr>
        <w:t xml:space="preserve">to </w:t>
      </w:r>
      <w:r w:rsidR="00815257">
        <w:rPr>
          <w:rFonts w:cs="Times New Roman"/>
          <w:color w:val="000000" w:themeColor="text1"/>
        </w:rPr>
        <w:t xml:space="preserve">15% of Texas’ state GDP in 2019, </w:t>
      </w:r>
      <w:r w:rsidR="000578C4">
        <w:rPr>
          <w:rFonts w:cs="Times New Roman"/>
          <w:color w:val="000000" w:themeColor="text1"/>
        </w:rPr>
        <w:t>while other figures estimate 14% for Louisiana’s 2023 GDP</w:t>
      </w:r>
      <w:r w:rsidR="00E4279F">
        <w:rPr>
          <w:rFonts w:cs="Times New Roman"/>
          <w:color w:val="000000" w:themeColor="text1"/>
        </w:rPr>
        <w:t>,</w:t>
      </w:r>
      <w:r w:rsidR="000578C4">
        <w:rPr>
          <w:rFonts w:cs="Times New Roman"/>
          <w:color w:val="000000" w:themeColor="text1"/>
        </w:rPr>
        <w:t xml:space="preserve"> and ~15% for West Virginia’s 2022</w:t>
      </w:r>
      <w:r w:rsidR="00E4279F">
        <w:rPr>
          <w:rFonts w:cs="Times New Roman"/>
          <w:color w:val="000000" w:themeColor="text1"/>
        </w:rPr>
        <w:t xml:space="preserve"> GDP</w:t>
      </w:r>
      <w:r w:rsidR="000578C4">
        <w:rPr>
          <w:rFonts w:cs="Times New Roman"/>
          <w:color w:val="000000" w:themeColor="text1"/>
        </w:rPr>
        <w:t>.</w:t>
      </w:r>
      <w:r w:rsidR="000578C4">
        <w:rPr>
          <w:rStyle w:val="FootnoteReference"/>
          <w:rFonts w:cs="Times New Roman"/>
          <w:color w:val="000000" w:themeColor="text1"/>
        </w:rPr>
        <w:footnoteReference w:id="126"/>
      </w:r>
      <w:r w:rsidR="000578C4">
        <w:rPr>
          <w:rFonts w:cs="Times New Roman"/>
          <w:color w:val="000000" w:themeColor="text1"/>
        </w:rPr>
        <w:t xml:space="preserve"> </w:t>
      </w:r>
      <w:r w:rsidR="000E76AD">
        <w:rPr>
          <w:rFonts w:cs="Times New Roman"/>
          <w:color w:val="000000" w:themeColor="text1"/>
        </w:rPr>
        <w:t>Only ~</w:t>
      </w:r>
      <w:r w:rsidR="0000678A">
        <w:rPr>
          <w:rFonts w:cs="Times New Roman"/>
          <w:color w:val="000000" w:themeColor="text1"/>
        </w:rPr>
        <w:t>2.1%</w:t>
      </w:r>
      <w:r w:rsidR="00815257">
        <w:rPr>
          <w:rFonts w:cs="Times New Roman"/>
          <w:color w:val="000000" w:themeColor="text1"/>
        </w:rPr>
        <w:t xml:space="preserve"> </w:t>
      </w:r>
      <w:r w:rsidR="0000678A">
        <w:rPr>
          <w:rFonts w:cs="Times New Roman"/>
          <w:color w:val="000000" w:themeColor="text1"/>
        </w:rPr>
        <w:t>of</w:t>
      </w:r>
      <w:r w:rsidR="00815257">
        <w:rPr>
          <w:rFonts w:cs="Times New Roman"/>
          <w:color w:val="000000" w:themeColor="text1"/>
        </w:rPr>
        <w:t xml:space="preserve"> California’s GDP </w:t>
      </w:r>
      <w:r w:rsidR="000E76AD">
        <w:rPr>
          <w:rFonts w:cs="Times New Roman"/>
          <w:color w:val="000000" w:themeColor="text1"/>
        </w:rPr>
        <w:t>came from the</w:t>
      </w:r>
      <w:r w:rsidR="000578C4">
        <w:rPr>
          <w:rFonts w:cs="Times New Roman"/>
          <w:color w:val="000000" w:themeColor="text1"/>
        </w:rPr>
        <w:t xml:space="preserve"> fossil fuel</w:t>
      </w:r>
      <w:r w:rsidR="000E76AD">
        <w:rPr>
          <w:rFonts w:cs="Times New Roman"/>
          <w:color w:val="000000" w:themeColor="text1"/>
        </w:rPr>
        <w:t xml:space="preserve"> industry in </w:t>
      </w:r>
      <w:r w:rsidR="00815257">
        <w:rPr>
          <w:rFonts w:cs="Times New Roman"/>
          <w:color w:val="000000" w:themeColor="text1"/>
        </w:rPr>
        <w:t>2021—</w:t>
      </w:r>
      <w:r w:rsidR="000E76AD">
        <w:rPr>
          <w:rFonts w:cs="Times New Roman"/>
          <w:color w:val="000000" w:themeColor="text1"/>
        </w:rPr>
        <w:t>well below the 8% contribution of the industry to the U.S.’s aggregate national GDP.</w:t>
      </w:r>
      <w:r w:rsidR="00815257">
        <w:rPr>
          <w:rStyle w:val="FootnoteReference"/>
          <w:rFonts w:cs="Times New Roman"/>
          <w:color w:val="000000" w:themeColor="text1"/>
        </w:rPr>
        <w:footnoteReference w:id="127"/>
      </w:r>
      <w:r w:rsidR="00302048">
        <w:rPr>
          <w:rFonts w:cs="Times New Roman"/>
          <w:color w:val="000000" w:themeColor="text1"/>
        </w:rPr>
        <w:t xml:space="preserve"> </w:t>
      </w:r>
      <w:r w:rsidR="00FF7016">
        <w:rPr>
          <w:rFonts w:cs="Times New Roman"/>
          <w:color w:val="000000" w:themeColor="text1"/>
        </w:rPr>
        <w:t>Texas is the leading state in oil and gas jobs</w:t>
      </w:r>
      <w:r w:rsidR="008631F7">
        <w:rPr>
          <w:rFonts w:cs="Times New Roman"/>
          <w:color w:val="000000" w:themeColor="text1"/>
        </w:rPr>
        <w:t xml:space="preserve"> with the industry directly supporting ~3% of state employment, and total direct and </w:t>
      </w:r>
      <w:r w:rsidR="00CD3AD8">
        <w:rPr>
          <w:rFonts w:cs="Times New Roman"/>
          <w:color w:val="000000" w:themeColor="text1"/>
        </w:rPr>
        <w:t>indirect</w:t>
      </w:r>
      <w:r w:rsidR="008631F7">
        <w:rPr>
          <w:rFonts w:cs="Times New Roman"/>
          <w:color w:val="000000" w:themeColor="text1"/>
        </w:rPr>
        <w:t xml:space="preserve"> industry support of </w:t>
      </w:r>
      <w:r w:rsidR="00BD6CFB">
        <w:rPr>
          <w:rFonts w:cs="Times New Roman"/>
          <w:color w:val="000000" w:themeColor="text1"/>
        </w:rPr>
        <w:t>~</w:t>
      </w:r>
      <w:r w:rsidR="008631F7">
        <w:rPr>
          <w:rFonts w:cs="Times New Roman"/>
          <w:color w:val="000000" w:themeColor="text1"/>
        </w:rPr>
        <w:t>19%</w:t>
      </w:r>
      <w:r w:rsidR="00E4279F">
        <w:rPr>
          <w:rFonts w:cs="Times New Roman"/>
          <w:color w:val="000000" w:themeColor="text1"/>
        </w:rPr>
        <w:t xml:space="preserve"> of state employment</w:t>
      </w:r>
      <w:r w:rsidR="00BD6CFB">
        <w:rPr>
          <w:rFonts w:cs="Times New Roman"/>
          <w:color w:val="000000" w:themeColor="text1"/>
        </w:rPr>
        <w:t>; while West Virginia 2021 estimate</w:t>
      </w:r>
      <w:r w:rsidR="000E76AD">
        <w:rPr>
          <w:rFonts w:cs="Times New Roman"/>
          <w:color w:val="000000" w:themeColor="text1"/>
        </w:rPr>
        <w:t>s</w:t>
      </w:r>
      <w:r w:rsidR="00BD6CFB">
        <w:rPr>
          <w:rFonts w:cs="Times New Roman"/>
          <w:color w:val="000000" w:themeColor="text1"/>
        </w:rPr>
        <w:t xml:space="preserve"> are ~11.1% of state employment</w:t>
      </w:r>
      <w:r w:rsidR="008631F7">
        <w:rPr>
          <w:rFonts w:cs="Times New Roman"/>
          <w:color w:val="000000" w:themeColor="text1"/>
        </w:rPr>
        <w:t>.</w:t>
      </w:r>
      <w:r w:rsidR="008631F7">
        <w:rPr>
          <w:rStyle w:val="FootnoteReference"/>
          <w:rFonts w:cs="Times New Roman"/>
          <w:color w:val="000000" w:themeColor="text1"/>
        </w:rPr>
        <w:footnoteReference w:id="128"/>
      </w:r>
      <w:r w:rsidR="00815257">
        <w:rPr>
          <w:rFonts w:cs="Times New Roman"/>
          <w:color w:val="000000" w:themeColor="text1"/>
        </w:rPr>
        <w:t xml:space="preserve"> </w:t>
      </w:r>
      <w:r w:rsidR="008631F7">
        <w:rPr>
          <w:rFonts w:cs="Times New Roman"/>
          <w:color w:val="000000" w:themeColor="text1"/>
        </w:rPr>
        <w:t xml:space="preserve">Comparatively, the industry only </w:t>
      </w:r>
      <w:r w:rsidR="00CD3AD8">
        <w:rPr>
          <w:rFonts w:cs="Times New Roman"/>
          <w:color w:val="000000" w:themeColor="text1"/>
        </w:rPr>
        <w:t xml:space="preserve">supports ~.8% and ~1.9% and of direct and </w:t>
      </w:r>
      <w:r w:rsidR="00CD3AD8" w:rsidRPr="00E4279F">
        <w:rPr>
          <w:rFonts w:cs="Times New Roman"/>
          <w:color w:val="000000" w:themeColor="text1"/>
        </w:rPr>
        <w:t>indirect employment in California</w:t>
      </w:r>
      <w:r w:rsidR="000E76AD" w:rsidRPr="00E4279F">
        <w:rPr>
          <w:rFonts w:cs="Times New Roman"/>
          <w:color w:val="000000" w:themeColor="text1"/>
        </w:rPr>
        <w:t xml:space="preserve">, and even smaller </w:t>
      </w:r>
      <w:r w:rsidR="00E4279F" w:rsidRPr="00E4279F">
        <w:rPr>
          <w:rFonts w:cs="Times New Roman"/>
          <w:color w:val="000000" w:themeColor="text1"/>
        </w:rPr>
        <w:t xml:space="preserve">numbers </w:t>
      </w:r>
      <w:r w:rsidR="000E76AD" w:rsidRPr="00E4279F">
        <w:rPr>
          <w:rFonts w:cs="Times New Roman"/>
          <w:color w:val="000000" w:themeColor="text1"/>
        </w:rPr>
        <w:t>in New York</w:t>
      </w:r>
      <w:r w:rsidR="00BD6CFB" w:rsidRPr="00E4279F">
        <w:rPr>
          <w:rFonts w:cs="Times New Roman"/>
          <w:color w:val="000000" w:themeColor="text1"/>
        </w:rPr>
        <w:t xml:space="preserve">—versus a national figure of 5.6% of total employment </w:t>
      </w:r>
      <w:r w:rsidR="000E76AD" w:rsidRPr="00E4279F">
        <w:rPr>
          <w:rFonts w:cs="Times New Roman"/>
          <w:color w:val="000000" w:themeColor="text1"/>
        </w:rPr>
        <w:t>across</w:t>
      </w:r>
      <w:r w:rsidR="00BD6CFB" w:rsidRPr="00E4279F">
        <w:rPr>
          <w:rFonts w:cs="Times New Roman"/>
          <w:color w:val="000000" w:themeColor="text1"/>
        </w:rPr>
        <w:t xml:space="preserve"> the</w:t>
      </w:r>
      <w:r w:rsidR="000E76AD" w:rsidRPr="00E4279F">
        <w:rPr>
          <w:rFonts w:cs="Times New Roman"/>
          <w:color w:val="000000" w:themeColor="text1"/>
        </w:rPr>
        <w:t xml:space="preserve"> entire</w:t>
      </w:r>
      <w:r w:rsidR="00BD6CFB" w:rsidRPr="00E4279F">
        <w:rPr>
          <w:rFonts w:cs="Times New Roman"/>
          <w:color w:val="000000" w:themeColor="text1"/>
        </w:rPr>
        <w:t xml:space="preserve"> U.S</w:t>
      </w:r>
      <w:r w:rsidR="00CD3AD8" w:rsidRPr="00E4279F">
        <w:rPr>
          <w:rFonts w:cs="Times New Roman"/>
          <w:color w:val="000000" w:themeColor="text1"/>
        </w:rPr>
        <w:t>.</w:t>
      </w:r>
      <w:r w:rsidR="00CD3AD8" w:rsidRPr="00E4279F">
        <w:rPr>
          <w:rStyle w:val="FootnoteReference"/>
          <w:rFonts w:cs="Times New Roman"/>
          <w:color w:val="000000" w:themeColor="text1"/>
        </w:rPr>
        <w:footnoteReference w:id="129"/>
      </w:r>
      <w:r w:rsidR="00CD3AD8" w:rsidRPr="00E4279F">
        <w:rPr>
          <w:rFonts w:cs="Times New Roman"/>
          <w:color w:val="000000" w:themeColor="text1"/>
        </w:rPr>
        <w:t xml:space="preserve"> </w:t>
      </w:r>
    </w:p>
    <w:bookmarkEnd w:id="93"/>
    <w:p w14:paraId="3317B5C5" w14:textId="5E072C26" w:rsidR="00CA61F4" w:rsidRDefault="00E4279F" w:rsidP="00B71A8C">
      <w:pPr>
        <w:spacing w:line="480" w:lineRule="auto"/>
        <w:ind w:firstLine="1080"/>
        <w:contextualSpacing/>
        <w:rPr>
          <w:rFonts w:cs="Times New Roman"/>
          <w:color w:val="000000" w:themeColor="text1"/>
        </w:rPr>
      </w:pPr>
      <w:r w:rsidRPr="00B71A8C">
        <w:rPr>
          <w:rFonts w:cs="Times New Roman"/>
          <w:color w:val="000000" w:themeColor="text1"/>
        </w:rPr>
        <w:t xml:space="preserve">The wide divergence in the political economy contexts between the U.S. and the EU creates a very different set of challenges and incentives towards climate reporting. Additionally, state level impacts seem to also support this mechanism as </w:t>
      </w:r>
      <w:r w:rsidR="00341CA4" w:rsidRPr="00E4279F">
        <w:rPr>
          <w:rFonts w:cs="Times New Roman"/>
          <w:color w:val="000000" w:themeColor="text1"/>
        </w:rPr>
        <w:t>California</w:t>
      </w:r>
      <w:r w:rsidR="00341CA4" w:rsidRPr="00196F93">
        <w:rPr>
          <w:rFonts w:cs="Times New Roman"/>
          <w:color w:val="000000" w:themeColor="text1"/>
        </w:rPr>
        <w:t xml:space="preserve"> exists in </w:t>
      </w:r>
      <w:r w:rsidR="000E76AD">
        <w:rPr>
          <w:rFonts w:cs="Times New Roman"/>
          <w:color w:val="000000" w:themeColor="text1"/>
        </w:rPr>
        <w:t>a</w:t>
      </w:r>
      <w:r w:rsidR="000E76AD" w:rsidRPr="00196F93">
        <w:rPr>
          <w:rFonts w:cs="Times New Roman"/>
          <w:color w:val="000000" w:themeColor="text1"/>
        </w:rPr>
        <w:t xml:space="preserve"> </w:t>
      </w:r>
      <w:r w:rsidR="00341CA4" w:rsidRPr="00196F93">
        <w:rPr>
          <w:rFonts w:cs="Times New Roman"/>
          <w:color w:val="000000" w:themeColor="text1"/>
        </w:rPr>
        <w:t xml:space="preserve">space </w:t>
      </w:r>
      <w:r>
        <w:rPr>
          <w:rFonts w:cs="Times New Roman"/>
          <w:color w:val="000000" w:themeColor="text1"/>
        </w:rPr>
        <w:t>with immense exposure to</w:t>
      </w:r>
      <w:r w:rsidRPr="000E76AD">
        <w:rPr>
          <w:rFonts w:cs="Times New Roman"/>
          <w:color w:val="000000" w:themeColor="text1"/>
        </w:rPr>
        <w:t xml:space="preserve"> </w:t>
      </w:r>
      <w:r>
        <w:rPr>
          <w:rFonts w:cs="Times New Roman"/>
          <w:color w:val="000000" w:themeColor="text1"/>
        </w:rPr>
        <w:t xml:space="preserve">the </w:t>
      </w:r>
      <w:r w:rsidR="00341CA4" w:rsidRPr="000E76AD">
        <w:rPr>
          <w:rFonts w:cs="Times New Roman"/>
          <w:color w:val="000000" w:themeColor="text1"/>
        </w:rPr>
        <w:t>price volatilit</w:t>
      </w:r>
      <w:r>
        <w:rPr>
          <w:rFonts w:cs="Times New Roman"/>
          <w:color w:val="000000" w:themeColor="text1"/>
        </w:rPr>
        <w:t>ies</w:t>
      </w:r>
      <w:r w:rsidR="00341CA4" w:rsidRPr="000E76AD">
        <w:rPr>
          <w:rFonts w:cs="Times New Roman"/>
          <w:color w:val="000000" w:themeColor="text1"/>
        </w:rPr>
        <w:t xml:space="preserve"> of international oil markets and</w:t>
      </w:r>
      <w:r w:rsidR="000C4CF4" w:rsidRPr="000E76AD">
        <w:rPr>
          <w:rFonts w:cs="Times New Roman"/>
          <w:color w:val="000000" w:themeColor="text1"/>
        </w:rPr>
        <w:t xml:space="preserve"> </w:t>
      </w:r>
      <w:r>
        <w:rPr>
          <w:rFonts w:cs="Times New Roman"/>
          <w:color w:val="000000" w:themeColor="text1"/>
        </w:rPr>
        <w:t xml:space="preserve">where </w:t>
      </w:r>
      <w:r w:rsidRPr="000E76AD">
        <w:rPr>
          <w:rFonts w:cs="Times New Roman"/>
          <w:color w:val="000000" w:themeColor="text1"/>
        </w:rPr>
        <w:t xml:space="preserve">a net zero transition would </w:t>
      </w:r>
      <w:r>
        <w:rPr>
          <w:rFonts w:cs="Times New Roman"/>
          <w:color w:val="000000" w:themeColor="text1"/>
        </w:rPr>
        <w:t xml:space="preserve">be economically advantageous in addition to </w:t>
      </w:r>
      <w:r w:rsidR="000C4CF4" w:rsidRPr="000E76AD">
        <w:rPr>
          <w:rFonts w:cs="Times New Roman"/>
          <w:color w:val="000000" w:themeColor="text1"/>
        </w:rPr>
        <w:t>provid</w:t>
      </w:r>
      <w:r>
        <w:rPr>
          <w:rFonts w:cs="Times New Roman"/>
          <w:color w:val="000000" w:themeColor="text1"/>
        </w:rPr>
        <w:t>ing</w:t>
      </w:r>
      <w:r w:rsidR="000C4CF4" w:rsidRPr="000E76AD">
        <w:rPr>
          <w:rFonts w:cs="Times New Roman"/>
          <w:color w:val="000000" w:themeColor="text1"/>
        </w:rPr>
        <w:t xml:space="preserve"> energy security.</w:t>
      </w:r>
      <w:r>
        <w:rPr>
          <w:rFonts w:cs="Times New Roman"/>
          <w:color w:val="000000" w:themeColor="text1"/>
        </w:rPr>
        <w:t xml:space="preserve"> </w:t>
      </w:r>
      <w:r w:rsidR="000C4CF4" w:rsidRPr="000E76AD">
        <w:rPr>
          <w:rFonts w:cs="Times New Roman"/>
          <w:color w:val="000000" w:themeColor="text1"/>
        </w:rPr>
        <w:t xml:space="preserve">Similar to the EU, California’s economy will </w:t>
      </w:r>
      <w:r w:rsidR="00AA4FEA" w:rsidRPr="000E76AD">
        <w:rPr>
          <w:rFonts w:cs="Times New Roman"/>
          <w:color w:val="000000" w:themeColor="text1"/>
        </w:rPr>
        <w:t xml:space="preserve">relatively </w:t>
      </w:r>
      <w:r w:rsidR="000C4CF4" w:rsidRPr="000E76AD">
        <w:rPr>
          <w:rFonts w:cs="Times New Roman"/>
          <w:color w:val="000000" w:themeColor="text1"/>
        </w:rPr>
        <w:t xml:space="preserve">require a smaller social and economic shift than the broader U.S. </w:t>
      </w:r>
      <w:r w:rsidR="002F6947" w:rsidRPr="000E76AD">
        <w:rPr>
          <w:rFonts w:cs="Times New Roman"/>
          <w:color w:val="000000" w:themeColor="text1"/>
        </w:rPr>
        <w:t xml:space="preserve">economy as a whole </w:t>
      </w:r>
      <w:r w:rsidR="00AA4FEA" w:rsidRPr="000E76AD">
        <w:rPr>
          <w:rFonts w:cs="Times New Roman"/>
          <w:color w:val="000000" w:themeColor="text1"/>
        </w:rPr>
        <w:t>would need</w:t>
      </w:r>
      <w:r w:rsidR="002F6947" w:rsidRPr="000E76AD">
        <w:rPr>
          <w:rFonts w:cs="Times New Roman"/>
          <w:color w:val="000000" w:themeColor="text1"/>
        </w:rPr>
        <w:t xml:space="preserve"> for</w:t>
      </w:r>
      <w:r w:rsidR="000C4CF4" w:rsidRPr="000E76AD">
        <w:rPr>
          <w:rFonts w:cs="Times New Roman"/>
          <w:color w:val="000000" w:themeColor="text1"/>
        </w:rPr>
        <w:t xml:space="preserve"> a net zero transition.</w:t>
      </w:r>
      <w:r w:rsidR="00302048" w:rsidRPr="000E76AD">
        <w:rPr>
          <w:rFonts w:cs="Times New Roman"/>
          <w:color w:val="000000" w:themeColor="text1"/>
        </w:rPr>
        <w:t xml:space="preserve"> </w:t>
      </w:r>
      <w:r w:rsidR="00CA61F4" w:rsidRPr="000E76AD">
        <w:rPr>
          <w:rFonts w:cs="Times New Roman"/>
          <w:color w:val="000000" w:themeColor="text1"/>
        </w:rPr>
        <w:t xml:space="preserve">Future research can hopefully further investigate the </w:t>
      </w:r>
      <w:r>
        <w:rPr>
          <w:rFonts w:cs="Times New Roman"/>
          <w:color w:val="000000" w:themeColor="text1"/>
        </w:rPr>
        <w:t xml:space="preserve">exact </w:t>
      </w:r>
      <w:r w:rsidR="00CA61F4" w:rsidRPr="000E76AD">
        <w:rPr>
          <w:rFonts w:cs="Times New Roman"/>
          <w:color w:val="000000" w:themeColor="text1"/>
        </w:rPr>
        <w:t>degree of causality between these trends</w:t>
      </w:r>
      <w:r w:rsidR="000E76AD" w:rsidRPr="00B71A8C">
        <w:rPr>
          <w:rFonts w:cs="Times New Roman"/>
          <w:color w:val="000000" w:themeColor="text1"/>
        </w:rPr>
        <w:t xml:space="preserve"> at the state and country levels</w:t>
      </w:r>
      <w:r w:rsidR="00302048" w:rsidRPr="000E76AD">
        <w:rPr>
          <w:rFonts w:cs="Times New Roman"/>
          <w:color w:val="000000" w:themeColor="text1"/>
        </w:rPr>
        <w:t>.</w:t>
      </w:r>
      <w:r w:rsidR="00302048">
        <w:rPr>
          <w:rFonts w:cs="Times New Roman"/>
          <w:color w:val="000000" w:themeColor="text1"/>
        </w:rPr>
        <w:t xml:space="preserve"> </w:t>
      </w:r>
    </w:p>
    <w:p w14:paraId="59F34C2A" w14:textId="77777777" w:rsidR="001110EE" w:rsidRPr="001110EE" w:rsidRDefault="001110EE" w:rsidP="00B71A8C">
      <w:pPr>
        <w:spacing w:line="480" w:lineRule="auto"/>
        <w:ind w:left="0"/>
        <w:contextualSpacing/>
        <w:rPr>
          <w:rFonts w:cs="Times New Roman"/>
          <w:color w:val="000000" w:themeColor="text1"/>
          <w:sz w:val="2"/>
          <w:szCs w:val="2"/>
        </w:rPr>
      </w:pPr>
    </w:p>
    <w:p w14:paraId="1DB5859F" w14:textId="77777777" w:rsidR="00826842" w:rsidRPr="00196F93" w:rsidRDefault="00826842" w:rsidP="00B71A8C">
      <w:pPr>
        <w:pStyle w:val="Heading3"/>
        <w:spacing w:before="0"/>
        <w:contextualSpacing/>
      </w:pPr>
      <w:r w:rsidRPr="00196F93">
        <w:t>Retirement Savings Systems</w:t>
      </w:r>
    </w:p>
    <w:p w14:paraId="25357443" w14:textId="36B6DD1B" w:rsidR="000959F1" w:rsidRPr="00B71A8C" w:rsidRDefault="00711BC8" w:rsidP="00B71A8C">
      <w:pPr>
        <w:spacing w:line="480" w:lineRule="auto"/>
        <w:ind w:firstLine="1080"/>
        <w:contextualSpacing/>
        <w:rPr>
          <w:rFonts w:cs="Times New Roman"/>
          <w:i/>
          <w:iCs/>
          <w:color w:val="FF0000"/>
        </w:rPr>
      </w:pPr>
      <w:r w:rsidRPr="00196F93">
        <w:rPr>
          <w:rFonts w:cs="Times New Roman"/>
          <w:color w:val="000000" w:themeColor="text1"/>
        </w:rPr>
        <w:t xml:space="preserve">The role of retirement savings in the U.S. </w:t>
      </w:r>
      <w:r w:rsidR="003514FE">
        <w:rPr>
          <w:rFonts w:cs="Times New Roman"/>
          <w:color w:val="000000" w:themeColor="text1"/>
        </w:rPr>
        <w:t>compared to</w:t>
      </w:r>
      <w:r w:rsidRPr="00196F93">
        <w:rPr>
          <w:rFonts w:cs="Times New Roman"/>
          <w:color w:val="000000" w:themeColor="text1"/>
        </w:rPr>
        <w:t xml:space="preserve"> the EU</w:t>
      </w:r>
      <w:r w:rsidR="00195C4A">
        <w:rPr>
          <w:rFonts w:cs="Times New Roman"/>
          <w:color w:val="000000" w:themeColor="text1"/>
        </w:rPr>
        <w:t xml:space="preserve"> </w:t>
      </w:r>
      <w:r w:rsidRPr="00196F93">
        <w:rPr>
          <w:rFonts w:cs="Times New Roman"/>
          <w:color w:val="000000" w:themeColor="text1"/>
        </w:rPr>
        <w:t xml:space="preserve">may </w:t>
      </w:r>
      <w:r w:rsidR="00FB3322" w:rsidRPr="00196F93">
        <w:rPr>
          <w:rFonts w:cs="Times New Roman"/>
          <w:color w:val="000000" w:themeColor="text1"/>
        </w:rPr>
        <w:t xml:space="preserve">also reinforce the </w:t>
      </w:r>
      <w:r w:rsidR="00195C4A">
        <w:rPr>
          <w:rFonts w:cs="Times New Roman"/>
          <w:color w:val="000000" w:themeColor="text1"/>
        </w:rPr>
        <w:t xml:space="preserve">impact </w:t>
      </w:r>
      <w:r w:rsidR="00FB3322" w:rsidRPr="00196F93">
        <w:rPr>
          <w:rFonts w:cs="Times New Roman"/>
          <w:color w:val="000000" w:themeColor="text1"/>
        </w:rPr>
        <w:t xml:space="preserve">of fossil fuel exposure </w:t>
      </w:r>
      <w:r w:rsidR="00195C4A">
        <w:rPr>
          <w:rFonts w:cs="Times New Roman"/>
          <w:color w:val="000000" w:themeColor="text1"/>
        </w:rPr>
        <w:t>in</w:t>
      </w:r>
      <w:r w:rsidR="00195C4A" w:rsidRPr="00196F93">
        <w:rPr>
          <w:rFonts w:cs="Times New Roman"/>
          <w:color w:val="000000" w:themeColor="text1"/>
        </w:rPr>
        <w:t xml:space="preserve"> </w:t>
      </w:r>
      <w:r w:rsidRPr="00196F93">
        <w:rPr>
          <w:rFonts w:cs="Times New Roman"/>
          <w:color w:val="000000" w:themeColor="text1"/>
        </w:rPr>
        <w:t>partially explain</w:t>
      </w:r>
      <w:r w:rsidR="00195C4A">
        <w:rPr>
          <w:rFonts w:cs="Times New Roman"/>
          <w:color w:val="000000" w:themeColor="text1"/>
        </w:rPr>
        <w:t>ing some of</w:t>
      </w:r>
      <w:r w:rsidRPr="00196F93">
        <w:rPr>
          <w:rFonts w:cs="Times New Roman"/>
          <w:color w:val="000000" w:themeColor="text1"/>
        </w:rPr>
        <w:t xml:space="preserve"> the divergence. </w:t>
      </w:r>
      <w:r w:rsidR="00D81688" w:rsidRPr="00B71A8C">
        <w:rPr>
          <w:rFonts w:cs="Times New Roman"/>
          <w:color w:val="000000" w:themeColor="text1"/>
        </w:rPr>
        <w:t>Gelter</w:t>
      </w:r>
      <w:r w:rsidR="00AB2AED">
        <w:rPr>
          <w:rStyle w:val="FootnoteReference"/>
          <w:rFonts w:cs="Times New Roman"/>
          <w:color w:val="000000" w:themeColor="text1"/>
        </w:rPr>
        <w:footnoteReference w:id="130"/>
      </w:r>
      <w:r w:rsidR="00AB2AED">
        <w:rPr>
          <w:rFonts w:cs="Times New Roman"/>
          <w:color w:val="000000" w:themeColor="text1"/>
        </w:rPr>
        <w:t xml:space="preserve"> </w:t>
      </w:r>
      <w:r w:rsidR="00D81688" w:rsidRPr="00B71A8C">
        <w:rPr>
          <w:rFonts w:cs="Times New Roman"/>
          <w:color w:val="000000" w:themeColor="text1"/>
        </w:rPr>
        <w:t>argue</w:t>
      </w:r>
      <w:r w:rsidR="00754006">
        <w:rPr>
          <w:rFonts w:cs="Times New Roman"/>
          <w:color w:val="000000" w:themeColor="text1"/>
        </w:rPr>
        <w:t>s</w:t>
      </w:r>
      <w:r w:rsidR="00D81688" w:rsidRPr="00B71A8C">
        <w:rPr>
          <w:rFonts w:cs="Times New Roman"/>
          <w:color w:val="000000" w:themeColor="text1"/>
        </w:rPr>
        <w:t xml:space="preserve"> the pension and retirement systems of countries </w:t>
      </w:r>
      <w:r w:rsidR="003514FE">
        <w:rPr>
          <w:rFonts w:cs="Times New Roman"/>
          <w:color w:val="000000" w:themeColor="text1"/>
        </w:rPr>
        <w:t>have</w:t>
      </w:r>
      <w:r w:rsidR="00D81688" w:rsidRPr="00B71A8C">
        <w:rPr>
          <w:rFonts w:cs="Times New Roman"/>
          <w:color w:val="000000" w:themeColor="text1"/>
        </w:rPr>
        <w:t xml:space="preserve"> profound impacts on corporate governance outcomes</w:t>
      </w:r>
      <w:r w:rsidR="007B4890">
        <w:rPr>
          <w:rFonts w:cs="Times New Roman"/>
          <w:color w:val="000000" w:themeColor="text1"/>
        </w:rPr>
        <w:t xml:space="preserve">, </w:t>
      </w:r>
      <w:r w:rsidR="00D81688" w:rsidRPr="00B71A8C">
        <w:rPr>
          <w:rFonts w:cs="Times New Roman"/>
          <w:color w:val="000000" w:themeColor="text1"/>
        </w:rPr>
        <w:t>showing how the</w:t>
      </w:r>
      <w:r w:rsidR="007B4890">
        <w:rPr>
          <w:rFonts w:cs="Times New Roman"/>
          <w:color w:val="000000" w:themeColor="text1"/>
        </w:rPr>
        <w:t xml:space="preserve"> U.S.’s</w:t>
      </w:r>
      <w:r w:rsidR="00D81688" w:rsidRPr="00B71A8C">
        <w:rPr>
          <w:rFonts w:cs="Times New Roman"/>
          <w:color w:val="000000" w:themeColor="text1"/>
        </w:rPr>
        <w:t xml:space="preserve"> transition from defined benefit (DB) to defined contribution plans (DC) shifted retirement </w:t>
      </w:r>
      <w:r w:rsidR="000959F1">
        <w:rPr>
          <w:rFonts w:cs="Times New Roman"/>
          <w:color w:val="000000" w:themeColor="text1"/>
        </w:rPr>
        <w:t>income</w:t>
      </w:r>
      <w:r w:rsidR="00D81688" w:rsidRPr="00B71A8C">
        <w:rPr>
          <w:rFonts w:cs="Times New Roman"/>
          <w:color w:val="000000" w:themeColor="text1"/>
        </w:rPr>
        <w:t xml:space="preserve"> to become dependent on stock-market investment </w:t>
      </w:r>
      <w:r w:rsidR="000959F1">
        <w:rPr>
          <w:rFonts w:cs="Times New Roman"/>
          <w:color w:val="000000" w:themeColor="text1"/>
        </w:rPr>
        <w:t>performance</w:t>
      </w:r>
      <w:r w:rsidR="00754006">
        <w:rPr>
          <w:rFonts w:cs="Times New Roman"/>
          <w:color w:val="000000" w:themeColor="text1"/>
        </w:rPr>
        <w:t>—</w:t>
      </w:r>
      <w:r w:rsidR="000959F1">
        <w:rPr>
          <w:rFonts w:cs="Times New Roman"/>
          <w:color w:val="000000" w:themeColor="text1"/>
        </w:rPr>
        <w:t>thus shifting</w:t>
      </w:r>
      <w:r w:rsidR="00D81688" w:rsidRPr="00B71A8C">
        <w:rPr>
          <w:rFonts w:cs="Times New Roman"/>
          <w:color w:val="000000" w:themeColor="text1"/>
        </w:rPr>
        <w:t xml:space="preserve"> investment risk </w:t>
      </w:r>
      <w:r w:rsidR="000959F1">
        <w:rPr>
          <w:rFonts w:cs="Times New Roman"/>
          <w:color w:val="000000" w:themeColor="text1"/>
        </w:rPr>
        <w:t xml:space="preserve">to be </w:t>
      </w:r>
      <w:r w:rsidR="00754006" w:rsidRPr="00754006">
        <w:rPr>
          <w:rFonts w:cs="Times New Roman"/>
          <w:color w:val="000000" w:themeColor="text1"/>
        </w:rPr>
        <w:t>bor</w:t>
      </w:r>
      <w:r w:rsidR="00754006">
        <w:rPr>
          <w:rFonts w:cs="Times New Roman"/>
          <w:color w:val="000000" w:themeColor="text1"/>
        </w:rPr>
        <w:t>ne</w:t>
      </w:r>
      <w:r w:rsidR="00D81688" w:rsidRPr="00B71A8C">
        <w:rPr>
          <w:rFonts w:cs="Times New Roman"/>
          <w:color w:val="000000" w:themeColor="text1"/>
        </w:rPr>
        <w:t xml:space="preserve"> by employees.</w:t>
      </w:r>
      <w:r w:rsidR="00D75580" w:rsidRPr="00B71A8C">
        <w:rPr>
          <w:rStyle w:val="FootnoteReference"/>
          <w:rFonts w:cs="Times New Roman"/>
          <w:color w:val="000000" w:themeColor="text1"/>
        </w:rPr>
        <w:footnoteReference w:id="131"/>
      </w:r>
      <w:r w:rsidR="00D81688" w:rsidRPr="00B71A8C">
        <w:rPr>
          <w:rFonts w:cs="Times New Roman"/>
          <w:color w:val="000000" w:themeColor="text1"/>
        </w:rPr>
        <w:t xml:space="preserve"> In contrast</w:t>
      </w:r>
      <w:r w:rsidR="0078117B">
        <w:rPr>
          <w:rFonts w:cs="Times New Roman"/>
          <w:color w:val="000000" w:themeColor="text1"/>
        </w:rPr>
        <w:t xml:space="preserve">, in the EU </w:t>
      </w:r>
      <w:r w:rsidR="00D81688" w:rsidRPr="00B71A8C">
        <w:rPr>
          <w:rFonts w:cs="Times New Roman"/>
          <w:color w:val="000000" w:themeColor="text1"/>
        </w:rPr>
        <w:t>DC plans are</w:t>
      </w:r>
      <w:r w:rsidR="0078117B">
        <w:rPr>
          <w:rFonts w:cs="Times New Roman"/>
          <w:color w:val="000000" w:themeColor="text1"/>
        </w:rPr>
        <w:t xml:space="preserve"> still</w:t>
      </w:r>
      <w:r w:rsidR="00D81688" w:rsidRPr="00B71A8C">
        <w:rPr>
          <w:rFonts w:cs="Times New Roman"/>
          <w:color w:val="000000" w:themeColor="text1"/>
        </w:rPr>
        <w:t xml:space="preserve"> far more common</w:t>
      </w:r>
      <w:r w:rsidR="007B4890">
        <w:rPr>
          <w:rFonts w:cs="Times New Roman"/>
          <w:color w:val="000000" w:themeColor="text1"/>
        </w:rPr>
        <w:t xml:space="preserve"> </w:t>
      </w:r>
      <w:r w:rsidR="0078117B">
        <w:rPr>
          <w:rFonts w:cs="Times New Roman"/>
          <w:color w:val="000000" w:themeColor="text1"/>
        </w:rPr>
        <w:t xml:space="preserve">and thus </w:t>
      </w:r>
      <w:r w:rsidR="00D81688" w:rsidRPr="00B71A8C">
        <w:rPr>
          <w:rFonts w:cs="Times New Roman"/>
          <w:color w:val="000000" w:themeColor="text1"/>
        </w:rPr>
        <w:t>retirement security is insulated from market exposure</w:t>
      </w:r>
      <w:r w:rsidR="007B4890">
        <w:rPr>
          <w:rFonts w:cs="Times New Roman"/>
          <w:color w:val="000000" w:themeColor="text1"/>
        </w:rPr>
        <w:t>,</w:t>
      </w:r>
      <w:r w:rsidR="00D81688" w:rsidRPr="00B71A8C">
        <w:rPr>
          <w:rFonts w:cs="Times New Roman"/>
          <w:color w:val="000000" w:themeColor="text1"/>
        </w:rPr>
        <w:t xml:space="preserve"> </w:t>
      </w:r>
      <w:r w:rsidR="007B4890">
        <w:rPr>
          <w:rFonts w:cs="Times New Roman"/>
          <w:color w:val="000000" w:themeColor="text1"/>
        </w:rPr>
        <w:t>and</w:t>
      </w:r>
      <w:r w:rsidR="00D81688" w:rsidRPr="00B71A8C">
        <w:rPr>
          <w:rFonts w:cs="Times New Roman"/>
          <w:color w:val="000000" w:themeColor="text1"/>
        </w:rPr>
        <w:t xml:space="preserve"> the employer bears the risk </w:t>
      </w:r>
      <w:r w:rsidR="00D75580" w:rsidRPr="00B71A8C">
        <w:rPr>
          <w:rFonts w:cs="Times New Roman"/>
          <w:color w:val="000000" w:themeColor="text1"/>
        </w:rPr>
        <w:t>of paying out defined retirement benefit</w:t>
      </w:r>
      <w:r w:rsidR="007B4890">
        <w:rPr>
          <w:rFonts w:cs="Times New Roman"/>
          <w:color w:val="000000" w:themeColor="text1"/>
        </w:rPr>
        <w:t>s</w:t>
      </w:r>
      <w:r w:rsidR="00D75580" w:rsidRPr="00B71A8C">
        <w:rPr>
          <w:rFonts w:cs="Times New Roman"/>
          <w:color w:val="000000" w:themeColor="text1"/>
        </w:rPr>
        <w:t>.</w:t>
      </w:r>
      <w:r w:rsidR="00D75580" w:rsidRPr="00B71A8C">
        <w:rPr>
          <w:rStyle w:val="FootnoteReference"/>
          <w:rFonts w:cs="Times New Roman"/>
          <w:color w:val="000000" w:themeColor="text1"/>
        </w:rPr>
        <w:footnoteReference w:id="132"/>
      </w:r>
      <w:r w:rsidR="00D75580" w:rsidRPr="00B71A8C">
        <w:rPr>
          <w:rFonts w:cs="Times New Roman"/>
          <w:color w:val="000000" w:themeColor="text1"/>
        </w:rPr>
        <w:t xml:space="preserve"> He argues differences in the retirement exposure of the population to stock-market returns has </w:t>
      </w:r>
      <w:r w:rsidR="007B4890">
        <w:rPr>
          <w:rFonts w:cs="Times New Roman"/>
          <w:color w:val="000000" w:themeColor="text1"/>
        </w:rPr>
        <w:t>resulted</w:t>
      </w:r>
      <w:r w:rsidR="00D75580" w:rsidRPr="00B71A8C">
        <w:rPr>
          <w:rFonts w:cs="Times New Roman"/>
          <w:color w:val="000000" w:themeColor="text1"/>
        </w:rPr>
        <w:t xml:space="preserve"> in more shareholder primacy in U.S. </w:t>
      </w:r>
      <w:r w:rsidR="007B4890">
        <w:rPr>
          <w:rFonts w:cs="Times New Roman"/>
          <w:color w:val="000000" w:themeColor="text1"/>
        </w:rPr>
        <w:t xml:space="preserve">corporate governance </w:t>
      </w:r>
      <w:r w:rsidR="00D75580" w:rsidRPr="00B71A8C">
        <w:rPr>
          <w:rFonts w:cs="Times New Roman"/>
          <w:color w:val="000000" w:themeColor="text1"/>
        </w:rPr>
        <w:t xml:space="preserve">as the voting population is much more sensitive to trade-offs that </w:t>
      </w:r>
      <w:r w:rsidR="00754006">
        <w:rPr>
          <w:rFonts w:cs="Times New Roman"/>
          <w:color w:val="000000" w:themeColor="text1"/>
        </w:rPr>
        <w:t xml:space="preserve">may </w:t>
      </w:r>
      <w:r w:rsidR="00D75580" w:rsidRPr="00B71A8C">
        <w:rPr>
          <w:rFonts w:cs="Times New Roman"/>
          <w:color w:val="000000" w:themeColor="text1"/>
        </w:rPr>
        <w:t>impact share price—and reduce their retirement benefits.</w:t>
      </w:r>
      <w:r w:rsidR="00D75580" w:rsidRPr="00B71A8C">
        <w:rPr>
          <w:rStyle w:val="FootnoteReference"/>
          <w:rFonts w:cs="Times New Roman"/>
          <w:color w:val="000000" w:themeColor="text1"/>
        </w:rPr>
        <w:footnoteReference w:id="133"/>
      </w:r>
      <w:r w:rsidR="000959F1" w:rsidRPr="00B71A8C">
        <w:rPr>
          <w:rFonts w:cs="Times New Roman"/>
          <w:color w:val="000000" w:themeColor="text1"/>
        </w:rPr>
        <w:t xml:space="preserve"> Where climate disclosures and ESG regulations are seen to impose costs burdening profitability and resulting in </w:t>
      </w:r>
      <w:r w:rsidR="00754006" w:rsidRPr="007B4890">
        <w:rPr>
          <w:rFonts w:cs="Times New Roman"/>
          <w:color w:val="000000" w:themeColor="text1"/>
        </w:rPr>
        <w:t xml:space="preserve">potential </w:t>
      </w:r>
      <w:r w:rsidR="000959F1" w:rsidRPr="00B71A8C">
        <w:rPr>
          <w:rFonts w:cs="Times New Roman"/>
          <w:color w:val="000000" w:themeColor="text1"/>
        </w:rPr>
        <w:t xml:space="preserve">short-term share price declines, the U.S. voting population’s retirement security is seemingly much more exposed and hence sensitive to perceived tradeoffs between climate </w:t>
      </w:r>
      <w:r w:rsidR="003514FE" w:rsidRPr="00B71A8C">
        <w:rPr>
          <w:rFonts w:cs="Times New Roman"/>
          <w:color w:val="000000" w:themeColor="text1"/>
        </w:rPr>
        <w:t>regulations</w:t>
      </w:r>
      <w:r w:rsidR="000959F1" w:rsidRPr="00B71A8C">
        <w:rPr>
          <w:rFonts w:cs="Times New Roman"/>
          <w:color w:val="000000" w:themeColor="text1"/>
        </w:rPr>
        <w:t xml:space="preserve"> and their retirement security.</w:t>
      </w:r>
      <w:r w:rsidR="000959F1" w:rsidRPr="00B71A8C">
        <w:rPr>
          <w:rFonts w:cs="Times New Roman"/>
          <w:i/>
          <w:iCs/>
          <w:color w:val="000000" w:themeColor="text1"/>
        </w:rPr>
        <w:t xml:space="preserve"> </w:t>
      </w:r>
    </w:p>
    <w:p w14:paraId="6F551D4F" w14:textId="5B6D3C2F" w:rsidR="00A75835" w:rsidRDefault="00D75580" w:rsidP="00B71A8C">
      <w:pPr>
        <w:spacing w:line="480" w:lineRule="auto"/>
        <w:ind w:firstLine="1080"/>
        <w:contextualSpacing/>
        <w:rPr>
          <w:rFonts w:cs="Times New Roman"/>
          <w:color w:val="000000" w:themeColor="text1"/>
        </w:rPr>
      </w:pPr>
      <w:r w:rsidRPr="00B71A8C">
        <w:rPr>
          <w:rFonts w:cs="Times New Roman"/>
          <w:color w:val="000000" w:themeColor="text1"/>
        </w:rPr>
        <w:t>Gordon (2023)</w:t>
      </w:r>
      <w:r w:rsidR="000959F1" w:rsidRPr="00B71A8C">
        <w:rPr>
          <w:rFonts w:cs="Times New Roman"/>
          <w:color w:val="000000" w:themeColor="text1"/>
        </w:rPr>
        <w:t xml:space="preserve"> analysis </w:t>
      </w:r>
      <w:r w:rsidR="00A75835" w:rsidRPr="00B71A8C">
        <w:rPr>
          <w:rFonts w:cs="Times New Roman"/>
          <w:color w:val="000000" w:themeColor="text1"/>
        </w:rPr>
        <w:t>also support</w:t>
      </w:r>
      <w:r w:rsidR="007B4890">
        <w:rPr>
          <w:rFonts w:cs="Times New Roman"/>
          <w:color w:val="000000" w:themeColor="text1"/>
        </w:rPr>
        <w:t>s</w:t>
      </w:r>
      <w:r w:rsidR="00A75835" w:rsidRPr="00B71A8C">
        <w:rPr>
          <w:rFonts w:cs="Times New Roman"/>
          <w:color w:val="000000" w:themeColor="text1"/>
        </w:rPr>
        <w:t xml:space="preserve"> this hypothesis arguing</w:t>
      </w:r>
      <w:r w:rsidRPr="00B71A8C">
        <w:rPr>
          <w:rFonts w:cs="Times New Roman"/>
          <w:color w:val="000000" w:themeColor="text1"/>
        </w:rPr>
        <w:t xml:space="preserve"> </w:t>
      </w:r>
      <w:r w:rsidR="003514FE">
        <w:rPr>
          <w:rFonts w:cs="Times New Roman"/>
          <w:color w:val="000000" w:themeColor="text1"/>
        </w:rPr>
        <w:t>t</w:t>
      </w:r>
      <w:r w:rsidR="00F27F86" w:rsidRPr="00B71A8C">
        <w:rPr>
          <w:rFonts w:cs="Times New Roman"/>
          <w:color w:val="000000" w:themeColor="text1"/>
        </w:rPr>
        <w:t xml:space="preserve">he </w:t>
      </w:r>
      <w:r w:rsidR="003514FE">
        <w:rPr>
          <w:rFonts w:cs="Times New Roman"/>
          <w:color w:val="000000" w:themeColor="text1"/>
        </w:rPr>
        <w:t>“</w:t>
      </w:r>
      <w:r w:rsidR="00F27F86" w:rsidRPr="00B71A8C">
        <w:rPr>
          <w:rFonts w:cs="Times New Roman"/>
          <w:color w:val="000000" w:themeColor="text1"/>
        </w:rPr>
        <w:t>provision of retirement savings is altogether different in the EU and produces a different political economy function.”</w:t>
      </w:r>
      <w:r w:rsidR="00F27F86" w:rsidRPr="00B71A8C">
        <w:rPr>
          <w:rStyle w:val="FootnoteReference"/>
          <w:rFonts w:cs="Times New Roman"/>
          <w:color w:val="000000" w:themeColor="text1"/>
        </w:rPr>
        <w:footnoteReference w:id="134"/>
      </w:r>
      <w:r w:rsidR="00F27F86" w:rsidRPr="00494A9F">
        <w:rPr>
          <w:rFonts w:cs="Times New Roman"/>
          <w:color w:val="000000" w:themeColor="text1"/>
        </w:rPr>
        <w:t xml:space="preserve"> In t</w:t>
      </w:r>
      <w:r w:rsidR="00711BC8" w:rsidRPr="00494A9F">
        <w:rPr>
          <w:rFonts w:cs="Times New Roman"/>
          <w:color w:val="000000" w:themeColor="text1"/>
        </w:rPr>
        <w:t xml:space="preserve">he U.S. state-provided pensions (i.e. social security), provide little safety net for employees in the private </w:t>
      </w:r>
      <w:r w:rsidR="00711BC8" w:rsidRPr="00196F93">
        <w:rPr>
          <w:rFonts w:cs="Times New Roman"/>
          <w:color w:val="000000" w:themeColor="text1"/>
        </w:rPr>
        <w:t>sector.</w:t>
      </w:r>
      <w:r w:rsidR="00D81688" w:rsidRPr="00196F93">
        <w:rPr>
          <w:rStyle w:val="FootnoteReference"/>
          <w:rFonts w:cs="Times New Roman"/>
          <w:color w:val="000000" w:themeColor="text1"/>
        </w:rPr>
        <w:footnoteReference w:id="135"/>
      </w:r>
      <w:r w:rsidR="00D81688" w:rsidRPr="00196F93">
        <w:rPr>
          <w:rFonts w:cs="Times New Roman"/>
          <w:color w:val="000000" w:themeColor="text1"/>
        </w:rPr>
        <w:t xml:space="preserve"> </w:t>
      </w:r>
      <w:r w:rsidR="00711BC8" w:rsidRPr="00196F93">
        <w:rPr>
          <w:rFonts w:cs="Times New Roman"/>
          <w:color w:val="000000" w:themeColor="text1"/>
        </w:rPr>
        <w:t xml:space="preserve">Retirement security largely depends on personal savings and company-sponsored </w:t>
      </w:r>
      <w:r w:rsidR="007B4890">
        <w:rPr>
          <w:rFonts w:cs="Times New Roman"/>
          <w:color w:val="000000" w:themeColor="text1"/>
        </w:rPr>
        <w:t>DC</w:t>
      </w:r>
      <w:r w:rsidR="00711BC8" w:rsidRPr="00196F93">
        <w:rPr>
          <w:rFonts w:cs="Times New Roman"/>
          <w:color w:val="000000" w:themeColor="text1"/>
        </w:rPr>
        <w:t xml:space="preserve"> plans, where retirement well-being “materially depends on the success of their investment strategy, both through </w:t>
      </w:r>
      <w:r w:rsidR="00711BC8" w:rsidRPr="00A75835">
        <w:rPr>
          <w:rFonts w:cs="Times New Roman"/>
          <w:color w:val="000000" w:themeColor="text1"/>
        </w:rPr>
        <w:t>retirement plan savings and personal savings, and they come to have insight into factors that may affect investment returns</w:t>
      </w:r>
      <w:r w:rsidR="00D81688" w:rsidRPr="00A75835">
        <w:rPr>
          <w:rFonts w:cs="Times New Roman"/>
          <w:color w:val="000000" w:themeColor="text1"/>
        </w:rPr>
        <w:t>.</w:t>
      </w:r>
      <w:r w:rsidR="00711BC8" w:rsidRPr="00A75835">
        <w:rPr>
          <w:rFonts w:cs="Times New Roman"/>
          <w:color w:val="000000" w:themeColor="text1"/>
        </w:rPr>
        <w:t>”</w:t>
      </w:r>
      <w:bookmarkStart w:id="95" w:name="OLE_LINK14"/>
      <w:bookmarkStart w:id="96" w:name="OLE_LINK34"/>
      <w:r w:rsidR="00711BC8" w:rsidRPr="00A75835">
        <w:rPr>
          <w:rStyle w:val="FootnoteReference"/>
          <w:rFonts w:cs="Times New Roman"/>
          <w:color w:val="000000" w:themeColor="text1"/>
        </w:rPr>
        <w:footnoteReference w:id="136"/>
      </w:r>
      <w:bookmarkEnd w:id="95"/>
      <w:r w:rsidR="00711BC8" w:rsidRPr="00A75835">
        <w:rPr>
          <w:rFonts w:cs="Times New Roman"/>
          <w:color w:val="000000" w:themeColor="text1"/>
        </w:rPr>
        <w:t xml:space="preserve"> </w:t>
      </w:r>
      <w:bookmarkEnd w:id="96"/>
      <w:r w:rsidR="00D81688" w:rsidRPr="00A75835">
        <w:rPr>
          <w:rFonts w:cs="Times New Roman"/>
          <w:color w:val="000000" w:themeColor="text1"/>
        </w:rPr>
        <w:t xml:space="preserve">Most retirement funds in the EU, on the other hand, </w:t>
      </w:r>
      <w:r w:rsidR="007B4890">
        <w:rPr>
          <w:rFonts w:cs="Times New Roman"/>
          <w:color w:val="000000" w:themeColor="text1"/>
        </w:rPr>
        <w:t>are</w:t>
      </w:r>
      <w:r w:rsidR="00D81688" w:rsidRPr="00A75835">
        <w:rPr>
          <w:rFonts w:cs="Times New Roman"/>
          <w:color w:val="000000" w:themeColor="text1"/>
        </w:rPr>
        <w:t xml:space="preserve"> run through member state-level PAYG plans</w:t>
      </w:r>
      <w:r w:rsidR="007B4890">
        <w:rPr>
          <w:rFonts w:cs="Times New Roman"/>
          <w:color w:val="000000" w:themeColor="text1"/>
        </w:rPr>
        <w:t xml:space="preserve"> </w:t>
      </w:r>
      <w:r w:rsidR="00D81688" w:rsidRPr="00A75835">
        <w:rPr>
          <w:rFonts w:cs="Times New Roman"/>
          <w:color w:val="000000" w:themeColor="text1"/>
        </w:rPr>
        <w:t xml:space="preserve">where pension payouts are “funded by contributions paid by current workers; unlike state level public pension </w:t>
      </w:r>
      <w:r w:rsidR="00A75835" w:rsidRPr="00A75835">
        <w:rPr>
          <w:rFonts w:cs="Times New Roman"/>
          <w:color w:val="000000" w:themeColor="text1"/>
        </w:rPr>
        <w:t xml:space="preserve">[DC] </w:t>
      </w:r>
      <w:r w:rsidR="00D81688" w:rsidRPr="00A75835">
        <w:rPr>
          <w:rFonts w:cs="Times New Roman"/>
          <w:color w:val="000000" w:themeColor="text1"/>
        </w:rPr>
        <w:t xml:space="preserve">plans in the US, such </w:t>
      </w:r>
      <w:r w:rsidR="00A75835" w:rsidRPr="00A75835">
        <w:rPr>
          <w:rFonts w:cs="Times New Roman"/>
          <w:color w:val="000000" w:themeColor="text1"/>
        </w:rPr>
        <w:t>[DB]</w:t>
      </w:r>
      <w:r w:rsidR="00D81688" w:rsidRPr="00A75835">
        <w:rPr>
          <w:rFonts w:cs="Times New Roman"/>
          <w:color w:val="000000" w:themeColor="text1"/>
        </w:rPr>
        <w:t xml:space="preserve"> do not accumulate funds that could be invested in equities</w:t>
      </w:r>
      <w:r w:rsidR="000959F1" w:rsidRPr="00A75835">
        <w:rPr>
          <w:rFonts w:cs="Times New Roman"/>
          <w:color w:val="000000" w:themeColor="text1"/>
        </w:rPr>
        <w:t>.</w:t>
      </w:r>
      <w:r w:rsidR="00D81688" w:rsidRPr="00A75835">
        <w:rPr>
          <w:rFonts w:cs="Times New Roman"/>
          <w:color w:val="000000" w:themeColor="text1"/>
        </w:rPr>
        <w:t>”</w:t>
      </w:r>
      <w:r w:rsidR="00D81688" w:rsidRPr="00A75835">
        <w:rPr>
          <w:rStyle w:val="FootnoteReference"/>
          <w:rFonts w:cs="Times New Roman"/>
          <w:color w:val="000000" w:themeColor="text1"/>
        </w:rPr>
        <w:footnoteReference w:id="137"/>
      </w:r>
      <w:r w:rsidR="00D81688" w:rsidRPr="00A75835">
        <w:rPr>
          <w:rFonts w:cs="Times New Roman"/>
          <w:color w:val="000000" w:themeColor="text1"/>
        </w:rPr>
        <w:t xml:space="preserve"> The </w:t>
      </w:r>
      <w:r w:rsidR="00D81688" w:rsidRPr="00B71A8C">
        <w:rPr>
          <w:rFonts w:cs="Times New Roman"/>
          <w:color w:val="000000" w:themeColor="text1"/>
        </w:rPr>
        <w:t xml:space="preserve">overwhelming share of pension assets </w:t>
      </w:r>
      <w:r w:rsidR="00A75835" w:rsidRPr="00B71A8C">
        <w:rPr>
          <w:rFonts w:cs="Times New Roman"/>
          <w:color w:val="000000" w:themeColor="text1"/>
        </w:rPr>
        <w:t xml:space="preserve">(€2.2 trillion vs. €200 billion) </w:t>
      </w:r>
      <w:r w:rsidR="00D81688" w:rsidRPr="00B71A8C">
        <w:rPr>
          <w:rFonts w:cs="Times New Roman"/>
          <w:color w:val="000000" w:themeColor="text1"/>
        </w:rPr>
        <w:t xml:space="preserve">are held in </w:t>
      </w:r>
      <w:r w:rsidR="00A75835" w:rsidRPr="00B71A8C">
        <w:rPr>
          <w:rFonts w:cs="Times New Roman"/>
          <w:color w:val="000000" w:themeColor="text1"/>
        </w:rPr>
        <w:t>DB plans, where “</w:t>
      </w:r>
      <w:r w:rsidR="00D81688" w:rsidRPr="00B71A8C">
        <w:rPr>
          <w:rFonts w:cs="Times New Roman"/>
          <w:color w:val="000000" w:themeColor="text1"/>
        </w:rPr>
        <w:t>the risk-bearer is the sponsoring institution…the payout stream does not vary in correlation with the return on the underlying assets; the sponsor is exposed to measures that affect returns, but the pension plan beneficiaries, the individuals, the voters, are not</w:t>
      </w:r>
      <w:r w:rsidR="00A75835" w:rsidRPr="00B71A8C">
        <w:rPr>
          <w:rFonts w:cs="Times New Roman"/>
          <w:color w:val="000000" w:themeColor="text1"/>
        </w:rPr>
        <w:t>.</w:t>
      </w:r>
      <w:r w:rsidR="00D81688" w:rsidRPr="00B71A8C">
        <w:rPr>
          <w:rFonts w:cs="Times New Roman"/>
          <w:color w:val="000000" w:themeColor="text1"/>
        </w:rPr>
        <w:t>”</w:t>
      </w:r>
      <w:r w:rsidR="00D81688" w:rsidRPr="00B71A8C">
        <w:rPr>
          <w:rStyle w:val="FootnoteReference"/>
          <w:rFonts w:cs="Times New Roman"/>
          <w:color w:val="000000" w:themeColor="text1"/>
        </w:rPr>
        <w:footnoteReference w:id="138"/>
      </w:r>
      <w:r w:rsidR="00D81688" w:rsidRPr="00B71A8C">
        <w:rPr>
          <w:rFonts w:cs="Times New Roman"/>
          <w:color w:val="000000" w:themeColor="text1"/>
        </w:rPr>
        <w:t xml:space="preserve"> </w:t>
      </w:r>
      <w:r w:rsidR="00A75835">
        <w:rPr>
          <w:rFonts w:cs="Times New Roman"/>
          <w:color w:val="000000" w:themeColor="text1"/>
        </w:rPr>
        <w:t>Thus, retirement security i</w:t>
      </w:r>
      <w:r w:rsidR="007B4890">
        <w:rPr>
          <w:rFonts w:cs="Times New Roman"/>
          <w:color w:val="000000" w:themeColor="text1"/>
        </w:rPr>
        <w:t>s</w:t>
      </w:r>
      <w:r w:rsidR="00A75835">
        <w:rPr>
          <w:rFonts w:cs="Times New Roman"/>
          <w:color w:val="000000" w:themeColor="text1"/>
        </w:rPr>
        <w:t xml:space="preserve"> uniquely exposed in </w:t>
      </w:r>
      <w:r w:rsidR="007B4890">
        <w:rPr>
          <w:rFonts w:cs="Times New Roman"/>
          <w:color w:val="000000" w:themeColor="text1"/>
        </w:rPr>
        <w:t xml:space="preserve">the </w:t>
      </w:r>
      <w:r w:rsidR="00A75835">
        <w:rPr>
          <w:rFonts w:cs="Times New Roman"/>
          <w:color w:val="000000" w:themeColor="text1"/>
        </w:rPr>
        <w:t>DC-dominant U.S. to market</w:t>
      </w:r>
      <w:r w:rsidR="007B4890">
        <w:rPr>
          <w:rFonts w:cs="Times New Roman"/>
          <w:color w:val="000000" w:themeColor="text1"/>
        </w:rPr>
        <w:t xml:space="preserve"> returns</w:t>
      </w:r>
      <w:r w:rsidR="00A75835">
        <w:rPr>
          <w:rFonts w:cs="Times New Roman"/>
          <w:color w:val="000000" w:themeColor="text1"/>
        </w:rPr>
        <w:t xml:space="preserve"> compared to DB-</w:t>
      </w:r>
      <w:r w:rsidR="007B4890">
        <w:rPr>
          <w:rFonts w:cs="Times New Roman"/>
          <w:color w:val="000000" w:themeColor="text1"/>
        </w:rPr>
        <w:t xml:space="preserve">dominant </w:t>
      </w:r>
      <w:r w:rsidR="00A75835">
        <w:rPr>
          <w:rFonts w:cs="Times New Roman"/>
          <w:color w:val="000000" w:themeColor="text1"/>
        </w:rPr>
        <w:t xml:space="preserve">paradigms </w:t>
      </w:r>
      <w:r w:rsidR="007B4890">
        <w:rPr>
          <w:rFonts w:cs="Times New Roman"/>
          <w:color w:val="000000" w:themeColor="text1"/>
        </w:rPr>
        <w:t>like the</w:t>
      </w:r>
      <w:r w:rsidR="00A75835">
        <w:rPr>
          <w:rFonts w:cs="Times New Roman"/>
          <w:color w:val="000000" w:themeColor="text1"/>
        </w:rPr>
        <w:t xml:space="preserve"> EU.</w:t>
      </w:r>
    </w:p>
    <w:p w14:paraId="559E971C" w14:textId="5648F269" w:rsidR="00D81688" w:rsidRDefault="00A75835" w:rsidP="00B71A8C">
      <w:pPr>
        <w:spacing w:line="480" w:lineRule="auto"/>
        <w:ind w:firstLine="1080"/>
        <w:contextualSpacing/>
        <w:rPr>
          <w:rFonts w:cs="Times New Roman"/>
          <w:color w:val="000000" w:themeColor="text1"/>
        </w:rPr>
      </w:pPr>
      <w:r>
        <w:rPr>
          <w:rFonts w:cs="Times New Roman"/>
          <w:color w:val="000000" w:themeColor="text1"/>
        </w:rPr>
        <w:t xml:space="preserve">The divergent levels of voting population exposures to financial markets across these regions also extends beyond retirement security plans. </w:t>
      </w:r>
      <w:r w:rsidR="00D81688" w:rsidRPr="00A75835">
        <w:rPr>
          <w:rFonts w:cs="Times New Roman"/>
          <w:color w:val="000000" w:themeColor="text1"/>
        </w:rPr>
        <w:t xml:space="preserve">Overall, individual equity ownership is less common and comprises a smaller share of net worth in EU </w:t>
      </w:r>
      <w:r w:rsidR="00D81688" w:rsidRPr="00196F93">
        <w:rPr>
          <w:rFonts w:cs="Times New Roman"/>
          <w:color w:val="000000" w:themeColor="text1"/>
        </w:rPr>
        <w:t>countries than in the U.S.</w:t>
      </w:r>
      <w:r>
        <w:rPr>
          <w:rFonts w:cs="Times New Roman"/>
          <w:color w:val="000000" w:themeColor="text1"/>
        </w:rPr>
        <w:t xml:space="preserve">—the </w:t>
      </w:r>
      <w:r w:rsidR="00D81688" w:rsidRPr="00196F93">
        <w:rPr>
          <w:rFonts w:cs="Times New Roman"/>
          <w:color w:val="000000" w:themeColor="text1"/>
        </w:rPr>
        <w:t>stock market participation rate across the entire EU is approximately half of that in the U.S. (26% vs. 49.7%).</w:t>
      </w:r>
      <w:r w:rsidR="00D81688" w:rsidRPr="00196F93">
        <w:rPr>
          <w:rStyle w:val="FootnoteReference"/>
          <w:rFonts w:cs="Times New Roman"/>
          <w:color w:val="000000" w:themeColor="text1"/>
        </w:rPr>
        <w:footnoteReference w:id="139"/>
      </w:r>
      <w:r w:rsidR="00D81688" w:rsidRPr="00196F93">
        <w:rPr>
          <w:rFonts w:cs="Times New Roman"/>
          <w:color w:val="000000" w:themeColor="text1"/>
        </w:rPr>
        <w:t xml:space="preserve"> There is also a much lower fraction of household net worth invested in the stock market</w:t>
      </w:r>
      <w:r w:rsidR="00F27F86">
        <w:rPr>
          <w:rFonts w:cs="Times New Roman"/>
          <w:color w:val="000000" w:themeColor="text1"/>
        </w:rPr>
        <w:t>—</w:t>
      </w:r>
      <w:r w:rsidR="00D81688" w:rsidRPr="00196F93">
        <w:rPr>
          <w:rFonts w:cs="Times New Roman"/>
          <w:color w:val="000000" w:themeColor="text1"/>
        </w:rPr>
        <w:t>30.5% in the US versus and only 7.4% in the EU across median net worth households holding any stocks—with similar patterns across even the highest participating countries in Europe.</w:t>
      </w:r>
      <w:r w:rsidR="00D81688" w:rsidRPr="00196F93">
        <w:rPr>
          <w:rStyle w:val="FootnoteReference"/>
          <w:rFonts w:cs="Times New Roman"/>
          <w:color w:val="000000" w:themeColor="text1"/>
        </w:rPr>
        <w:footnoteReference w:id="140"/>
      </w:r>
      <w:r w:rsidR="00D81688" w:rsidRPr="00196F93">
        <w:rPr>
          <w:rFonts w:cs="Times New Roman"/>
          <w:color w:val="000000" w:themeColor="text1"/>
        </w:rPr>
        <w:t xml:space="preserve"> Lower “stock market participation rates and less wealth sensitivity to changes in stock values means that governments and firms will have greater freedom of action to take ESG measures that may affect stock market returns</w:t>
      </w:r>
      <w:r w:rsidR="00F27F86">
        <w:rPr>
          <w:rFonts w:cs="Times New Roman"/>
          <w:color w:val="000000" w:themeColor="text1"/>
        </w:rPr>
        <w:t>,</w:t>
      </w:r>
      <w:r w:rsidR="00D81688" w:rsidRPr="00196F93">
        <w:rPr>
          <w:rFonts w:cs="Times New Roman"/>
          <w:color w:val="000000" w:themeColor="text1"/>
        </w:rPr>
        <w:t>” which may only be amplified by the greater degree foreign ownership of EU companies—approximately 30</w:t>
      </w:r>
      <w:r w:rsidR="00F27F86">
        <w:rPr>
          <w:rFonts w:cs="Times New Roman"/>
          <w:color w:val="000000" w:themeColor="text1"/>
        </w:rPr>
        <w:t>%</w:t>
      </w:r>
      <w:r w:rsidR="00D81688" w:rsidRPr="00196F93">
        <w:rPr>
          <w:rFonts w:cs="Times New Roman"/>
          <w:color w:val="000000" w:themeColor="text1"/>
        </w:rPr>
        <w:t>.</w:t>
      </w:r>
      <w:r w:rsidR="00D81688" w:rsidRPr="00196F93">
        <w:rPr>
          <w:rStyle w:val="FootnoteReference"/>
          <w:rFonts w:cs="Times New Roman"/>
          <w:color w:val="000000" w:themeColor="text1"/>
        </w:rPr>
        <w:footnoteReference w:id="141"/>
      </w:r>
      <w:r w:rsidR="00D81688" w:rsidRPr="00196F93">
        <w:rPr>
          <w:rFonts w:cs="Times New Roman"/>
          <w:color w:val="000000" w:themeColor="text1"/>
        </w:rPr>
        <w:t xml:space="preserve"> </w:t>
      </w:r>
    </w:p>
    <w:p w14:paraId="3DE66CAD" w14:textId="5C1DBC6C" w:rsidR="00711BC8" w:rsidRPr="00196F93" w:rsidRDefault="00711BC8" w:rsidP="00B71A8C">
      <w:pPr>
        <w:spacing w:line="480" w:lineRule="auto"/>
        <w:ind w:firstLine="1080"/>
        <w:contextualSpacing/>
        <w:rPr>
          <w:rFonts w:cs="Times New Roman"/>
          <w:color w:val="000000" w:themeColor="text1"/>
        </w:rPr>
      </w:pPr>
      <w:r w:rsidRPr="00196F93">
        <w:rPr>
          <w:rFonts w:cs="Times New Roman"/>
          <w:color w:val="000000" w:themeColor="text1"/>
        </w:rPr>
        <w:t>Gordon argues</w:t>
      </w:r>
      <w:r w:rsidR="00F27F86">
        <w:rPr>
          <w:rFonts w:cs="Times New Roman"/>
          <w:color w:val="000000" w:themeColor="text1"/>
        </w:rPr>
        <w:t xml:space="preserve"> the </w:t>
      </w:r>
      <w:r w:rsidR="00F27F86" w:rsidRPr="00CA61F4">
        <w:rPr>
          <w:rFonts w:cs="Times New Roman"/>
          <w:color w:val="000000" w:themeColor="text1"/>
        </w:rPr>
        <w:t>impact of this exposure is propagated through</w:t>
      </w:r>
      <w:r w:rsidR="00081C75" w:rsidRPr="00CA61F4">
        <w:rPr>
          <w:rFonts w:cs="Times New Roman"/>
          <w:color w:val="000000" w:themeColor="text1"/>
        </w:rPr>
        <w:t xml:space="preserve"> the voting process </w:t>
      </w:r>
      <w:r w:rsidR="001A4CBE" w:rsidRPr="00CA61F4">
        <w:rPr>
          <w:rFonts w:cs="Times New Roman"/>
          <w:color w:val="000000" w:themeColor="text1"/>
        </w:rPr>
        <w:t>and is amplified by the exposure of who casts the most voting power.</w:t>
      </w:r>
      <w:r w:rsidRPr="00CA61F4">
        <w:rPr>
          <w:rFonts w:cs="Times New Roman"/>
          <w:color w:val="000000" w:themeColor="text1"/>
        </w:rPr>
        <w:t xml:space="preserve"> </w:t>
      </w:r>
      <w:r w:rsidR="001A4CBE" w:rsidRPr="00CA61F4">
        <w:rPr>
          <w:rFonts w:cs="Times New Roman"/>
          <w:color w:val="000000" w:themeColor="text1"/>
        </w:rPr>
        <w:t>Specifically, he argues</w:t>
      </w:r>
      <w:r w:rsidRPr="00CA61F4">
        <w:rPr>
          <w:rFonts w:cs="Times New Roman"/>
          <w:color w:val="000000" w:themeColor="text1"/>
        </w:rPr>
        <w:t xml:space="preserve"> </w:t>
      </w:r>
      <w:r w:rsidR="001A4CBE" w:rsidRPr="00B71A8C">
        <w:rPr>
          <w:rFonts w:cs="Times New Roman"/>
          <w:color w:val="000000" w:themeColor="text1"/>
        </w:rPr>
        <w:t>“</w:t>
      </w:r>
      <w:r w:rsidRPr="00CA61F4">
        <w:rPr>
          <w:rFonts w:cs="Times New Roman"/>
          <w:color w:val="000000" w:themeColor="text1"/>
        </w:rPr>
        <w:t>the impact of ESG-tradeoffs becomes more acute as retirement approaches; and the nature of retirement savings in the U.S. provides individuals with motive to become sensitive to the potential trade-off of ESG concerns for stock market returns</w:t>
      </w:r>
      <w:r w:rsidR="007B4890">
        <w:rPr>
          <w:rFonts w:cs="Times New Roman"/>
          <w:color w:val="000000" w:themeColor="text1"/>
        </w:rPr>
        <w:t>,” and the “</w:t>
      </w:r>
      <w:r w:rsidRPr="00CA61F4">
        <w:rPr>
          <w:rFonts w:cs="Times New Roman"/>
          <w:color w:val="000000" w:themeColor="text1"/>
        </w:rPr>
        <w:t>political economy of ESG in the U.S. is thus constrained by this function: Willingness to substitute ESG benefits for pecuniary returns declines with age, but propensity to vote increases with age</w:t>
      </w:r>
      <w:r w:rsidR="00081C75" w:rsidRPr="00B71A8C">
        <w:rPr>
          <w:rFonts w:cs="Times New Roman"/>
          <w:color w:val="000000" w:themeColor="text1"/>
        </w:rPr>
        <w:t>.</w:t>
      </w:r>
      <w:r w:rsidRPr="00CA61F4">
        <w:rPr>
          <w:rFonts w:cs="Times New Roman"/>
          <w:color w:val="000000" w:themeColor="text1"/>
        </w:rPr>
        <w:t>”</w:t>
      </w:r>
      <w:bookmarkStart w:id="98" w:name="OLE_LINK16"/>
      <w:r w:rsidRPr="00CA61F4">
        <w:rPr>
          <w:rStyle w:val="FootnoteReference"/>
          <w:rFonts w:cs="Times New Roman"/>
          <w:color w:val="000000" w:themeColor="text1"/>
        </w:rPr>
        <w:footnoteReference w:id="142"/>
      </w:r>
      <w:bookmarkEnd w:id="98"/>
      <w:r w:rsidR="001A4CBE" w:rsidRPr="00CA61F4">
        <w:rPr>
          <w:rFonts w:cs="Times New Roman"/>
          <w:color w:val="000000" w:themeColor="text1"/>
        </w:rPr>
        <w:t xml:space="preserve"> </w:t>
      </w:r>
      <w:r w:rsidR="00CE4E3E" w:rsidRPr="00CA61F4">
        <w:rPr>
          <w:rFonts w:cs="Times New Roman"/>
          <w:color w:val="000000" w:themeColor="text1"/>
        </w:rPr>
        <w:t>Census Bureau data reveals the active voting population in the U.S. skews older as in 2020</w:t>
      </w:r>
      <w:r w:rsidR="00CA61F4" w:rsidRPr="00CA61F4">
        <w:rPr>
          <w:rFonts w:cs="Times New Roman"/>
          <w:color w:val="000000" w:themeColor="text1"/>
        </w:rPr>
        <w:t xml:space="preserve"> the median voter age was ~51-52</w:t>
      </w:r>
      <w:r w:rsidR="00CE4E3E" w:rsidRPr="00CA61F4">
        <w:rPr>
          <w:rFonts w:cs="Times New Roman"/>
          <w:color w:val="000000" w:themeColor="text1"/>
        </w:rPr>
        <w:t>: 51.4% of citizens aged 18-24 voted, compared to 62.6% of 25-44, 71.0% of 45-64, and 74.5% of people 65 and older who voted.</w:t>
      </w:r>
      <w:r w:rsidR="00CE4E3E" w:rsidRPr="00CA61F4">
        <w:rPr>
          <w:rStyle w:val="FootnoteReference"/>
          <w:rFonts w:cs="Times New Roman"/>
          <w:color w:val="000000" w:themeColor="text1"/>
        </w:rPr>
        <w:footnoteReference w:id="143"/>
      </w:r>
      <w:r w:rsidR="00CA61F4" w:rsidRPr="00CA61F4">
        <w:rPr>
          <w:rFonts w:cs="Times New Roman"/>
          <w:color w:val="000000" w:themeColor="text1"/>
        </w:rPr>
        <w:t xml:space="preserve"> As the median voter skews much older </w:t>
      </w:r>
      <w:r w:rsidR="007B4890">
        <w:rPr>
          <w:rFonts w:cs="Times New Roman"/>
          <w:color w:val="000000" w:themeColor="text1"/>
        </w:rPr>
        <w:t xml:space="preserve">and is </w:t>
      </w:r>
      <w:r w:rsidR="00CA61F4" w:rsidRPr="00CA61F4">
        <w:rPr>
          <w:rFonts w:cs="Times New Roman"/>
          <w:color w:val="000000" w:themeColor="text1"/>
        </w:rPr>
        <w:t>nearing retirement</w:t>
      </w:r>
      <w:r w:rsidR="007B4890">
        <w:rPr>
          <w:rFonts w:cs="Times New Roman"/>
          <w:color w:val="000000" w:themeColor="text1"/>
        </w:rPr>
        <w:t xml:space="preserve"> age</w:t>
      </w:r>
      <w:r w:rsidR="00CA61F4" w:rsidRPr="00CA61F4">
        <w:rPr>
          <w:rFonts w:cs="Times New Roman"/>
          <w:color w:val="000000" w:themeColor="text1"/>
        </w:rPr>
        <w:t>, this has important implications on voter priorities that define broa</w:t>
      </w:r>
      <w:r w:rsidR="00CA61F4" w:rsidRPr="00196F93">
        <w:rPr>
          <w:rFonts w:cs="Times New Roman"/>
          <w:color w:val="000000" w:themeColor="text1"/>
        </w:rPr>
        <w:t>der national and state polic</w:t>
      </w:r>
      <w:r w:rsidR="00CA61F4">
        <w:rPr>
          <w:rFonts w:cs="Times New Roman"/>
          <w:color w:val="000000" w:themeColor="text1"/>
        </w:rPr>
        <w:t xml:space="preserve">ies. </w:t>
      </w:r>
    </w:p>
    <w:p w14:paraId="2F5317B2" w14:textId="24E7701E" w:rsidR="00711BC8" w:rsidRDefault="00CA61F4" w:rsidP="00B71A8C">
      <w:pPr>
        <w:spacing w:line="480" w:lineRule="auto"/>
        <w:ind w:firstLine="1080"/>
        <w:contextualSpacing/>
        <w:rPr>
          <w:rFonts w:cs="Times New Roman"/>
          <w:color w:val="000000" w:themeColor="text1"/>
        </w:rPr>
      </w:pPr>
      <w:r>
        <w:rPr>
          <w:rFonts w:cs="Times New Roman"/>
          <w:color w:val="000000" w:themeColor="text1"/>
        </w:rPr>
        <w:t>T</w:t>
      </w:r>
      <w:r w:rsidR="008E63F2" w:rsidRPr="00196F93">
        <w:rPr>
          <w:rFonts w:cs="Times New Roman"/>
          <w:color w:val="000000" w:themeColor="text1"/>
        </w:rPr>
        <w:t xml:space="preserve">he divergence in retirement </w:t>
      </w:r>
      <w:r>
        <w:rPr>
          <w:rFonts w:cs="Times New Roman"/>
          <w:color w:val="000000" w:themeColor="text1"/>
        </w:rPr>
        <w:t>systems</w:t>
      </w:r>
      <w:r w:rsidR="00BD5201">
        <w:rPr>
          <w:rFonts w:cs="Times New Roman"/>
          <w:color w:val="000000" w:themeColor="text1"/>
        </w:rPr>
        <w:t xml:space="preserve"> and financial market exposures </w:t>
      </w:r>
      <w:r>
        <w:rPr>
          <w:rFonts w:cs="Times New Roman"/>
          <w:color w:val="000000" w:themeColor="text1"/>
        </w:rPr>
        <w:t>drives</w:t>
      </w:r>
      <w:r w:rsidRPr="00196F93">
        <w:rPr>
          <w:rFonts w:cs="Times New Roman"/>
          <w:color w:val="000000" w:themeColor="text1"/>
        </w:rPr>
        <w:t xml:space="preserve"> </w:t>
      </w:r>
      <w:r w:rsidR="008E63F2" w:rsidRPr="00196F93">
        <w:rPr>
          <w:rFonts w:cs="Times New Roman"/>
          <w:color w:val="000000" w:themeColor="text1"/>
        </w:rPr>
        <w:t xml:space="preserve">a different set of </w:t>
      </w:r>
      <w:r>
        <w:rPr>
          <w:rFonts w:cs="Times New Roman"/>
          <w:color w:val="000000" w:themeColor="text1"/>
        </w:rPr>
        <w:t>incentives</w:t>
      </w:r>
      <w:r w:rsidRPr="00196F93">
        <w:rPr>
          <w:rFonts w:cs="Times New Roman"/>
          <w:color w:val="000000" w:themeColor="text1"/>
        </w:rPr>
        <w:t xml:space="preserve"> </w:t>
      </w:r>
      <w:r>
        <w:rPr>
          <w:rFonts w:cs="Times New Roman"/>
          <w:color w:val="000000" w:themeColor="text1"/>
        </w:rPr>
        <w:t>across the</w:t>
      </w:r>
      <w:r w:rsidR="008E63F2" w:rsidRPr="00196F93">
        <w:rPr>
          <w:rFonts w:cs="Times New Roman"/>
          <w:color w:val="000000" w:themeColor="text1"/>
        </w:rPr>
        <w:t xml:space="preserve"> U.S. </w:t>
      </w:r>
      <w:r>
        <w:rPr>
          <w:rFonts w:cs="Times New Roman"/>
          <w:color w:val="000000" w:themeColor="text1"/>
        </w:rPr>
        <w:t>voting population and thus may drive policy outcomes that ensure short</w:t>
      </w:r>
      <w:r w:rsidR="0078117B">
        <w:rPr>
          <w:rFonts w:cs="Times New Roman"/>
          <w:color w:val="000000" w:themeColor="text1"/>
        </w:rPr>
        <w:t>er</w:t>
      </w:r>
      <w:r>
        <w:rPr>
          <w:rFonts w:cs="Times New Roman"/>
          <w:color w:val="000000" w:themeColor="text1"/>
        </w:rPr>
        <w:t xml:space="preserve">-term market returns to protect </w:t>
      </w:r>
      <w:r w:rsidR="008E63F2" w:rsidRPr="00196F93">
        <w:rPr>
          <w:rFonts w:cs="Times New Roman"/>
          <w:color w:val="000000" w:themeColor="text1"/>
        </w:rPr>
        <w:t>retirement security</w:t>
      </w:r>
      <w:r w:rsidR="0078117B">
        <w:rPr>
          <w:rFonts w:cs="Times New Roman"/>
          <w:color w:val="000000" w:themeColor="text1"/>
        </w:rPr>
        <w:t>—</w:t>
      </w:r>
      <w:r w:rsidR="00C270FB">
        <w:rPr>
          <w:rFonts w:cs="Times New Roman"/>
          <w:color w:val="000000" w:themeColor="text1"/>
        </w:rPr>
        <w:t>a timeline not</w:t>
      </w:r>
      <w:r w:rsidR="0078117B">
        <w:rPr>
          <w:rFonts w:cs="Times New Roman"/>
          <w:color w:val="000000" w:themeColor="text1"/>
        </w:rPr>
        <w:t xml:space="preserve"> impacted by the longer-term impacts of the physical and transition risks of climate change</w:t>
      </w:r>
      <w:r w:rsidR="008E63F2" w:rsidRPr="00196F93">
        <w:rPr>
          <w:rFonts w:cs="Times New Roman"/>
          <w:color w:val="000000" w:themeColor="text1"/>
        </w:rPr>
        <w:t xml:space="preserve">. </w:t>
      </w:r>
      <w:r w:rsidR="00523EFD" w:rsidRPr="00196F93">
        <w:rPr>
          <w:rFonts w:cs="Times New Roman"/>
          <w:color w:val="000000" w:themeColor="text1"/>
        </w:rPr>
        <w:t xml:space="preserve">As the EU voting population is far less exposed to the stock market and fossil fuels, policymakers don’t have the same policy imperative </w:t>
      </w:r>
      <w:r w:rsidR="003A165B" w:rsidRPr="00196F93">
        <w:rPr>
          <w:rFonts w:cs="Times New Roman"/>
          <w:color w:val="000000" w:themeColor="text1"/>
        </w:rPr>
        <w:t xml:space="preserve">to minimize possible tradeoffs that could impact </w:t>
      </w:r>
      <w:r w:rsidR="00523EFD" w:rsidRPr="00196F93">
        <w:rPr>
          <w:rFonts w:cs="Times New Roman"/>
          <w:color w:val="000000" w:themeColor="text1"/>
        </w:rPr>
        <w:t xml:space="preserve">stock-market </w:t>
      </w:r>
      <w:r w:rsidR="003A165B" w:rsidRPr="00196F93">
        <w:rPr>
          <w:rFonts w:cs="Times New Roman"/>
          <w:color w:val="000000" w:themeColor="text1"/>
        </w:rPr>
        <w:t xml:space="preserve">performance as U.S. politicians which must be responsive </w:t>
      </w:r>
      <w:r w:rsidR="008E63F2" w:rsidRPr="00196F93">
        <w:rPr>
          <w:rFonts w:cs="Times New Roman"/>
          <w:color w:val="000000" w:themeColor="text1"/>
        </w:rPr>
        <w:t>to preserving their constituent’s retirement security interests.</w:t>
      </w:r>
      <w:r>
        <w:rPr>
          <w:rFonts w:cs="Times New Roman"/>
          <w:color w:val="000000" w:themeColor="text1"/>
        </w:rPr>
        <w:t xml:space="preserve"> </w:t>
      </w:r>
    </w:p>
    <w:p w14:paraId="2D08A9FD" w14:textId="77777777" w:rsidR="001110EE" w:rsidRPr="001110EE" w:rsidRDefault="001110EE" w:rsidP="00B71A8C">
      <w:pPr>
        <w:spacing w:line="480" w:lineRule="auto"/>
        <w:ind w:firstLine="1080"/>
        <w:contextualSpacing/>
        <w:rPr>
          <w:rFonts w:cs="Times New Roman"/>
          <w:color w:val="000000" w:themeColor="text1"/>
          <w:sz w:val="2"/>
          <w:szCs w:val="2"/>
        </w:rPr>
      </w:pPr>
    </w:p>
    <w:p w14:paraId="7693FCE3" w14:textId="77777777" w:rsidR="00826842" w:rsidRPr="00196F93" w:rsidRDefault="00826842" w:rsidP="00B71A8C">
      <w:pPr>
        <w:pStyle w:val="Heading3"/>
        <w:spacing w:before="0"/>
        <w:contextualSpacing/>
      </w:pPr>
      <w:r w:rsidRPr="00196F93">
        <w:t>Lobbying and Institutional Design</w:t>
      </w:r>
    </w:p>
    <w:bookmarkEnd w:id="19"/>
    <w:p w14:paraId="4CBAA399" w14:textId="1FEEB0A8" w:rsidR="00711BC8" w:rsidRPr="00196F93" w:rsidRDefault="00534C47" w:rsidP="00B71A8C">
      <w:pPr>
        <w:spacing w:line="480" w:lineRule="auto"/>
        <w:ind w:firstLine="1080"/>
        <w:contextualSpacing/>
        <w:rPr>
          <w:rFonts w:cs="Times New Roman"/>
          <w:color w:val="000000" w:themeColor="text1"/>
        </w:rPr>
      </w:pPr>
      <w:r>
        <w:rPr>
          <w:rFonts w:cs="Times New Roman"/>
          <w:color w:val="000000" w:themeColor="text1"/>
        </w:rPr>
        <w:t>The direction of p</w:t>
      </w:r>
      <w:r w:rsidR="00CA61F4" w:rsidRPr="00196F93">
        <w:rPr>
          <w:rFonts w:cs="Times New Roman"/>
          <w:color w:val="000000" w:themeColor="text1"/>
        </w:rPr>
        <w:t>olicy</w:t>
      </w:r>
      <w:r w:rsidR="00CA61F4">
        <w:rPr>
          <w:rFonts w:cs="Times New Roman"/>
          <w:color w:val="000000" w:themeColor="text1"/>
        </w:rPr>
        <w:t xml:space="preserve"> </w:t>
      </w:r>
      <w:r>
        <w:rPr>
          <w:rFonts w:cs="Times New Roman"/>
          <w:color w:val="000000" w:themeColor="text1"/>
        </w:rPr>
        <w:t>is</w:t>
      </w:r>
      <w:r w:rsidR="00CA61F4" w:rsidRPr="00196F93">
        <w:rPr>
          <w:rFonts w:cs="Times New Roman"/>
          <w:color w:val="000000" w:themeColor="text1"/>
        </w:rPr>
        <w:t xml:space="preserve"> shaped by </w:t>
      </w:r>
      <w:r>
        <w:rPr>
          <w:rFonts w:cs="Times New Roman"/>
          <w:color w:val="000000" w:themeColor="text1"/>
        </w:rPr>
        <w:t xml:space="preserve">the </w:t>
      </w:r>
      <w:r w:rsidR="00CA61F4" w:rsidRPr="00196F93">
        <w:rPr>
          <w:rFonts w:cs="Times New Roman"/>
          <w:color w:val="000000" w:themeColor="text1"/>
        </w:rPr>
        <w:t xml:space="preserve">institutional </w:t>
      </w:r>
      <w:r w:rsidR="00CA61F4">
        <w:rPr>
          <w:rFonts w:cs="Times New Roman"/>
          <w:color w:val="000000" w:themeColor="text1"/>
        </w:rPr>
        <w:t xml:space="preserve">design of the </w:t>
      </w:r>
      <w:r w:rsidR="00CA61F4" w:rsidRPr="00196F93">
        <w:rPr>
          <w:rFonts w:cs="Times New Roman"/>
          <w:color w:val="000000" w:themeColor="text1"/>
        </w:rPr>
        <w:t>policymaking process</w:t>
      </w:r>
      <w:r w:rsidR="003A5718">
        <w:rPr>
          <w:rFonts w:cs="Times New Roman"/>
          <w:color w:val="000000" w:themeColor="text1"/>
        </w:rPr>
        <w:t>, and critical differences in the design of the election process</w:t>
      </w:r>
      <w:r>
        <w:rPr>
          <w:rFonts w:cs="Times New Roman"/>
          <w:color w:val="000000" w:themeColor="text1"/>
        </w:rPr>
        <w:t xml:space="preserve">, </w:t>
      </w:r>
      <w:r w:rsidR="003A5718">
        <w:rPr>
          <w:rFonts w:cs="Times New Roman"/>
          <w:color w:val="000000" w:themeColor="text1"/>
        </w:rPr>
        <w:t>and the impact of campaign finance and lobbying dollars</w:t>
      </w:r>
      <w:r>
        <w:rPr>
          <w:rFonts w:cs="Times New Roman"/>
          <w:color w:val="000000" w:themeColor="text1"/>
        </w:rPr>
        <w:t xml:space="preserve"> may also explain some of the observed divergence in climate regulations</w:t>
      </w:r>
      <w:r w:rsidR="002470DF">
        <w:rPr>
          <w:rFonts w:cs="Times New Roman"/>
          <w:color w:val="000000" w:themeColor="text1"/>
        </w:rPr>
        <w:t xml:space="preserve"> and </w:t>
      </w:r>
      <w:r>
        <w:rPr>
          <w:rFonts w:cs="Times New Roman"/>
          <w:color w:val="000000" w:themeColor="text1"/>
        </w:rPr>
        <w:t xml:space="preserve">policy priorities. Research from Mahoney (2007) finds </w:t>
      </w:r>
      <w:r w:rsidRPr="003514FE">
        <w:rPr>
          <w:rFonts w:cs="Times New Roman"/>
          <w:color w:val="000000" w:themeColor="text1"/>
        </w:rPr>
        <w:t>t</w:t>
      </w:r>
      <w:r w:rsidR="00711BC8" w:rsidRPr="003514FE">
        <w:rPr>
          <w:rFonts w:cs="Times New Roman"/>
          <w:color w:val="000000" w:themeColor="text1"/>
        </w:rPr>
        <w:t xml:space="preserve">he “design of the political system has implications for the responsiveness of politicians; </w:t>
      </w:r>
      <w:r w:rsidRPr="00B71A8C">
        <w:rPr>
          <w:rFonts w:cs="Times New Roman"/>
          <w:color w:val="000000" w:themeColor="text1"/>
        </w:rPr>
        <w:t>[which]</w:t>
      </w:r>
      <w:r w:rsidRPr="003514FE">
        <w:rPr>
          <w:rFonts w:cs="Times New Roman"/>
          <w:color w:val="000000" w:themeColor="text1"/>
        </w:rPr>
        <w:t xml:space="preserve"> </w:t>
      </w:r>
      <w:r w:rsidR="00711BC8" w:rsidRPr="003514FE">
        <w:rPr>
          <w:rFonts w:cs="Times New Roman"/>
          <w:color w:val="000000" w:themeColor="text1"/>
        </w:rPr>
        <w:t>in turn fundamentally affects who succeeds and who does not</w:t>
      </w:r>
      <w:r w:rsidRPr="00B71A8C">
        <w:rPr>
          <w:rFonts w:cs="Times New Roman"/>
          <w:color w:val="000000" w:themeColor="text1"/>
        </w:rPr>
        <w:t>.”</w:t>
      </w:r>
      <w:bookmarkStart w:id="99" w:name="_Ref191564977"/>
      <w:r w:rsidRPr="00B71A8C">
        <w:rPr>
          <w:rStyle w:val="FootnoteReference"/>
          <w:rFonts w:cs="Times New Roman"/>
          <w:color w:val="000000" w:themeColor="text1"/>
        </w:rPr>
        <w:footnoteReference w:id="144"/>
      </w:r>
      <w:bookmarkEnd w:id="99"/>
      <w:r w:rsidR="008956FE" w:rsidRPr="00B71A8C">
        <w:rPr>
          <w:rFonts w:cs="Times New Roman"/>
          <w:color w:val="000000" w:themeColor="text1"/>
        </w:rPr>
        <w:t xml:space="preserve"> She explains, </w:t>
      </w:r>
      <w:r w:rsidR="00711BC8" w:rsidRPr="003514FE">
        <w:rPr>
          <w:rFonts w:cs="Times New Roman"/>
          <w:color w:val="000000" w:themeColor="text1"/>
        </w:rPr>
        <w:t>in the U.S. “</w:t>
      </w:r>
      <w:r w:rsidR="00711BC8" w:rsidRPr="003514FE">
        <w:rPr>
          <w:rFonts w:cs="Times New Roman"/>
          <w:bCs/>
          <w:color w:val="000000" w:themeColor="text1"/>
        </w:rPr>
        <w:t>direct elections coupled with private</w:t>
      </w:r>
      <w:r w:rsidR="008956FE" w:rsidRPr="00B71A8C">
        <w:rPr>
          <w:rFonts w:cs="Times New Roman"/>
          <w:bCs/>
          <w:color w:val="000000" w:themeColor="text1"/>
        </w:rPr>
        <w:t xml:space="preserve"> </w:t>
      </w:r>
      <w:r w:rsidR="00711BC8" w:rsidRPr="003514FE">
        <w:rPr>
          <w:rFonts w:cs="Times New Roman"/>
          <w:bCs/>
          <w:color w:val="000000" w:themeColor="text1"/>
        </w:rPr>
        <w:t xml:space="preserve">campaign finance lead to winner-take-all outcomes biased in [favor] of wealthier business interests, </w:t>
      </w:r>
      <w:r w:rsidR="00711BC8" w:rsidRPr="003514FE">
        <w:rPr>
          <w:rFonts w:cs="Times New Roman"/>
          <w:color w:val="000000" w:themeColor="text1"/>
        </w:rPr>
        <w:t>while the lack of these institutional characteristics leads to more balanced policy compromises” in the EU.</w:t>
      </w:r>
      <w:bookmarkStart w:id="101" w:name="OLE_LINK25"/>
      <w:r w:rsidR="00711BC8" w:rsidRPr="003514FE">
        <w:rPr>
          <w:rStyle w:val="FootnoteReference"/>
          <w:rFonts w:cs="Times New Roman"/>
          <w:bCs/>
          <w:color w:val="000000" w:themeColor="text1"/>
        </w:rPr>
        <w:footnoteReference w:id="145"/>
      </w:r>
      <w:bookmarkEnd w:id="101"/>
      <w:r w:rsidR="00711BC8" w:rsidRPr="003514FE">
        <w:rPr>
          <w:rFonts w:cs="Times New Roman"/>
          <w:color w:val="000000" w:themeColor="text1"/>
        </w:rPr>
        <w:t xml:space="preserve"> In the EU, lobbying centers primarily on the EU Commission—</w:t>
      </w:r>
      <w:bookmarkStart w:id="102" w:name="OLE_LINK23"/>
      <w:r w:rsidR="00711BC8" w:rsidRPr="003514FE">
        <w:rPr>
          <w:rFonts w:cs="Times New Roman"/>
          <w:color w:val="000000" w:themeColor="text1"/>
        </w:rPr>
        <w:t>the only EU institution empowered to initiate legislation</w:t>
      </w:r>
      <w:bookmarkEnd w:id="102"/>
      <w:r w:rsidR="00711BC8" w:rsidRPr="003514FE">
        <w:rPr>
          <w:rFonts w:cs="Times New Roman"/>
          <w:color w:val="000000" w:themeColor="text1"/>
        </w:rPr>
        <w:t>—and Parliament to a lesser extent.</w:t>
      </w:r>
      <w:r w:rsidR="008956FE" w:rsidRPr="003514FE">
        <w:rPr>
          <w:rStyle w:val="FootnoteReference"/>
          <w:rFonts w:cs="Times New Roman"/>
          <w:color w:val="000000" w:themeColor="text1"/>
        </w:rPr>
        <w:footnoteReference w:id="146"/>
      </w:r>
      <w:r w:rsidR="00711BC8" w:rsidRPr="003514FE">
        <w:rPr>
          <w:rFonts w:cs="Times New Roman"/>
          <w:color w:val="000000" w:themeColor="text1"/>
        </w:rPr>
        <w:t xml:space="preserve"> </w:t>
      </w:r>
      <w:r w:rsidR="00DA750F" w:rsidRPr="003514FE">
        <w:rPr>
          <w:rFonts w:cs="Times New Roman"/>
          <w:color w:val="000000" w:themeColor="text1"/>
        </w:rPr>
        <w:t xml:space="preserve">Thus, a </w:t>
      </w:r>
      <w:r w:rsidR="00711BC8" w:rsidRPr="003514FE">
        <w:rPr>
          <w:rFonts w:cs="Times New Roman"/>
          <w:color w:val="000000" w:themeColor="text1"/>
        </w:rPr>
        <w:t xml:space="preserve">key difference is the “majority of policymakers in the EU institutions are not elected, and since </w:t>
      </w:r>
      <w:r w:rsidR="00711BC8" w:rsidRPr="00196F93">
        <w:rPr>
          <w:rFonts w:cs="Times New Roman"/>
          <w:color w:val="000000" w:themeColor="text1"/>
        </w:rPr>
        <w:t>they do not need to stand for elections, they do not need to find the significant amounts of cash to support campaigns.”</w:t>
      </w:r>
      <w:bookmarkStart w:id="103" w:name="OLE_LINK22"/>
      <w:r w:rsidR="00711BC8" w:rsidRPr="00196F93">
        <w:rPr>
          <w:rStyle w:val="FootnoteReference"/>
          <w:rFonts w:cs="Times New Roman"/>
          <w:bCs/>
          <w:color w:val="000000" w:themeColor="text1"/>
        </w:rPr>
        <w:footnoteReference w:id="147"/>
      </w:r>
      <w:bookmarkEnd w:id="103"/>
      <w:r w:rsidR="00711BC8" w:rsidRPr="00196F93">
        <w:rPr>
          <w:rFonts w:cs="Times New Roman"/>
          <w:color w:val="000000" w:themeColor="text1"/>
        </w:rPr>
        <w:t xml:space="preserve"> The institutional design</w:t>
      </w:r>
      <w:r w:rsidR="008956FE">
        <w:rPr>
          <w:rFonts w:cs="Times New Roman"/>
          <w:color w:val="000000" w:themeColor="text1"/>
        </w:rPr>
        <w:t xml:space="preserve"> thus</w:t>
      </w:r>
      <w:r w:rsidR="00711BC8" w:rsidRPr="00196F93">
        <w:rPr>
          <w:rFonts w:cs="Times New Roman"/>
          <w:color w:val="000000" w:themeColor="text1"/>
        </w:rPr>
        <w:t xml:space="preserve"> insulates EC officials from </w:t>
      </w:r>
      <w:r w:rsidR="008956FE">
        <w:rPr>
          <w:rFonts w:cs="Times New Roman"/>
          <w:color w:val="000000" w:themeColor="text1"/>
        </w:rPr>
        <w:t>a</w:t>
      </w:r>
      <w:r w:rsidR="008956FE" w:rsidRPr="00196F93">
        <w:rPr>
          <w:rFonts w:cs="Times New Roman"/>
          <w:color w:val="000000" w:themeColor="text1"/>
        </w:rPr>
        <w:t xml:space="preserve"> </w:t>
      </w:r>
      <w:r w:rsidR="00711BC8" w:rsidRPr="00196F93">
        <w:rPr>
          <w:rFonts w:cs="Times New Roman"/>
          <w:color w:val="000000" w:themeColor="text1"/>
        </w:rPr>
        <w:t>dependency on financial backing by wealthy business interests</w:t>
      </w:r>
      <w:r w:rsidR="00DA750F" w:rsidRPr="00196F93">
        <w:rPr>
          <w:rFonts w:cs="Times New Roman"/>
          <w:color w:val="000000" w:themeColor="text1"/>
        </w:rPr>
        <w:t xml:space="preserve"> in order to remain in office</w:t>
      </w:r>
      <w:r w:rsidR="008956FE">
        <w:rPr>
          <w:rFonts w:cs="Times New Roman"/>
          <w:color w:val="000000" w:themeColor="text1"/>
        </w:rPr>
        <w:t xml:space="preserve"> in stark contrast to the institutional design of the U.S.</w:t>
      </w:r>
    </w:p>
    <w:p w14:paraId="393DC947" w14:textId="59A5FD12" w:rsidR="00711BC8" w:rsidRPr="00196F93" w:rsidRDefault="00BD5201" w:rsidP="00B71A8C">
      <w:pPr>
        <w:spacing w:line="480" w:lineRule="auto"/>
        <w:ind w:firstLine="1080"/>
        <w:contextualSpacing/>
        <w:rPr>
          <w:rFonts w:cs="Times New Roman"/>
          <w:i/>
          <w:iCs/>
          <w:color w:val="000000" w:themeColor="text1"/>
        </w:rPr>
      </w:pPr>
      <w:r>
        <w:rPr>
          <w:rFonts w:cs="Times New Roman"/>
          <w:color w:val="000000" w:themeColor="text1"/>
        </w:rPr>
        <w:t>This is reflected in lobbying in the U.S. being c</w:t>
      </w:r>
      <w:r w:rsidR="008956FE">
        <w:rPr>
          <w:rFonts w:cs="Times New Roman"/>
          <w:color w:val="000000" w:themeColor="text1"/>
        </w:rPr>
        <w:t>omparatively</w:t>
      </w:r>
      <w:r>
        <w:rPr>
          <w:rFonts w:cs="Times New Roman"/>
          <w:color w:val="000000" w:themeColor="text1"/>
        </w:rPr>
        <w:t xml:space="preserve"> much</w:t>
      </w:r>
      <w:r w:rsidR="00711BC8" w:rsidRPr="00196F93">
        <w:rPr>
          <w:rFonts w:cs="Times New Roman"/>
          <w:color w:val="000000" w:themeColor="text1"/>
        </w:rPr>
        <w:t xml:space="preserve"> more aggressive than </w:t>
      </w:r>
      <w:r>
        <w:rPr>
          <w:rFonts w:cs="Times New Roman"/>
          <w:color w:val="000000" w:themeColor="text1"/>
        </w:rPr>
        <w:t xml:space="preserve">the </w:t>
      </w:r>
      <w:r w:rsidR="00711BC8" w:rsidRPr="00196F93">
        <w:rPr>
          <w:rFonts w:cs="Times New Roman"/>
          <w:color w:val="000000" w:themeColor="text1"/>
        </w:rPr>
        <w:t>EU</w:t>
      </w:r>
      <w:r>
        <w:rPr>
          <w:rFonts w:cs="Times New Roman"/>
          <w:color w:val="000000" w:themeColor="text1"/>
        </w:rPr>
        <w:t xml:space="preserve">, </w:t>
      </w:r>
      <w:r w:rsidR="00711BC8" w:rsidRPr="00196F93">
        <w:rPr>
          <w:rFonts w:cs="Times New Roman"/>
          <w:color w:val="000000" w:themeColor="text1"/>
        </w:rPr>
        <w:t>where financial campaign contributions “from a corporation’s super PAC can place significant pressure on law makers when… making policy decisions</w:t>
      </w:r>
      <w:r w:rsidR="008956FE">
        <w:rPr>
          <w:rFonts w:cs="Times New Roman"/>
          <w:color w:val="000000" w:themeColor="text1"/>
        </w:rPr>
        <w:t>.</w:t>
      </w:r>
      <w:r w:rsidR="00711BC8" w:rsidRPr="00196F93">
        <w:rPr>
          <w:rFonts w:cs="Times New Roman"/>
          <w:color w:val="000000" w:themeColor="text1"/>
        </w:rPr>
        <w:t>”</w:t>
      </w:r>
      <w:r w:rsidR="003F5CD9" w:rsidRPr="00196F93">
        <w:rPr>
          <w:rStyle w:val="FootnoteReference"/>
          <w:rFonts w:cs="Times New Roman"/>
          <w:bCs/>
          <w:color w:val="000000" w:themeColor="text1"/>
        </w:rPr>
        <w:footnoteReference w:id="148"/>
      </w:r>
      <w:r w:rsidR="008956FE">
        <w:rPr>
          <w:rFonts w:cs="Times New Roman"/>
          <w:color w:val="000000" w:themeColor="text1"/>
        </w:rPr>
        <w:t xml:space="preserve"> </w:t>
      </w:r>
      <w:r w:rsidR="00711BC8" w:rsidRPr="00196F93">
        <w:rPr>
          <w:rFonts w:cs="Times New Roman"/>
          <w:color w:val="000000" w:themeColor="text1"/>
        </w:rPr>
        <w:t xml:space="preserve">A mere $1.5B was spent on </w:t>
      </w:r>
      <w:r w:rsidR="007B4890">
        <w:rPr>
          <w:rFonts w:cs="Times New Roman"/>
          <w:color w:val="000000" w:themeColor="text1"/>
        </w:rPr>
        <w:t xml:space="preserve">total </w:t>
      </w:r>
      <w:r w:rsidR="00711BC8" w:rsidRPr="00196F93">
        <w:rPr>
          <w:rFonts w:cs="Times New Roman"/>
          <w:color w:val="000000" w:themeColor="text1"/>
        </w:rPr>
        <w:t>lobbying across all EU institutions in 2021, compared to the</w:t>
      </w:r>
      <w:r w:rsidR="007B4890">
        <w:rPr>
          <w:rFonts w:cs="Times New Roman"/>
          <w:color w:val="000000" w:themeColor="text1"/>
        </w:rPr>
        <w:t xml:space="preserve"> staggering 2022</w:t>
      </w:r>
      <w:r w:rsidR="00711BC8" w:rsidRPr="00196F93">
        <w:rPr>
          <w:rFonts w:cs="Times New Roman"/>
          <w:color w:val="000000" w:themeColor="text1"/>
        </w:rPr>
        <w:t xml:space="preserve"> U.S. total of $4.1B in lobbying expenditures—86.89% (~$35M) of which came from business affiliates.</w:t>
      </w:r>
      <w:bookmarkStart w:id="104" w:name="OLE_LINK2"/>
      <w:r w:rsidR="00711BC8" w:rsidRPr="00196F93">
        <w:rPr>
          <w:rStyle w:val="FootnoteReference"/>
          <w:rFonts w:cs="Times New Roman"/>
          <w:bCs/>
          <w:color w:val="000000" w:themeColor="text1"/>
        </w:rPr>
        <w:footnoteReference w:id="149"/>
      </w:r>
      <w:r w:rsidR="00711BC8" w:rsidRPr="00196F93">
        <w:rPr>
          <w:rFonts w:cs="Times New Roman"/>
          <w:color w:val="000000" w:themeColor="text1"/>
        </w:rPr>
        <w:t xml:space="preserve"> </w:t>
      </w:r>
      <w:bookmarkEnd w:id="104"/>
      <w:r w:rsidR="00395458">
        <w:rPr>
          <w:rFonts w:cs="Times New Roman"/>
          <w:color w:val="000000" w:themeColor="text1"/>
        </w:rPr>
        <w:t>While t</w:t>
      </w:r>
      <w:r w:rsidR="00711BC8" w:rsidRPr="00196F93">
        <w:rPr>
          <w:rFonts w:cs="Times New Roman"/>
          <w:color w:val="000000" w:themeColor="text1"/>
        </w:rPr>
        <w:t xml:space="preserve">otal U.S. lobby expenditures across </w:t>
      </w:r>
      <w:r w:rsidR="008956FE">
        <w:rPr>
          <w:rFonts w:cs="Times New Roman"/>
          <w:color w:val="000000" w:themeColor="text1"/>
        </w:rPr>
        <w:t xml:space="preserve">both </w:t>
      </w:r>
      <w:r w:rsidR="00711BC8" w:rsidRPr="00196F93">
        <w:rPr>
          <w:rFonts w:cs="Times New Roman"/>
          <w:color w:val="000000" w:themeColor="text1"/>
        </w:rPr>
        <w:t xml:space="preserve">state </w:t>
      </w:r>
      <w:r w:rsidR="00711BC8" w:rsidRPr="008956FE">
        <w:rPr>
          <w:rFonts w:cs="Times New Roman"/>
          <w:color w:val="000000" w:themeColor="text1"/>
        </w:rPr>
        <w:t xml:space="preserve">and federal levels </w:t>
      </w:r>
      <w:r w:rsidR="008956FE" w:rsidRPr="008956FE">
        <w:rPr>
          <w:rFonts w:cs="Times New Roman"/>
          <w:color w:val="000000" w:themeColor="text1"/>
        </w:rPr>
        <w:t xml:space="preserve">from 2015-2024 exceeds </w:t>
      </w:r>
      <w:r w:rsidR="00711BC8" w:rsidRPr="008956FE">
        <w:rPr>
          <w:rFonts w:cs="Times New Roman"/>
          <w:color w:val="000000" w:themeColor="text1"/>
        </w:rPr>
        <w:t>over $46 billion.</w:t>
      </w:r>
      <w:bookmarkStart w:id="105" w:name="OLE_LINK5"/>
      <w:r w:rsidR="00711BC8" w:rsidRPr="008956FE">
        <w:rPr>
          <w:rStyle w:val="FootnoteReference"/>
          <w:rFonts w:cs="Times New Roman"/>
          <w:bCs/>
          <w:color w:val="000000" w:themeColor="text1"/>
        </w:rPr>
        <w:footnoteReference w:id="150"/>
      </w:r>
      <w:bookmarkEnd w:id="105"/>
      <w:r w:rsidR="00711BC8" w:rsidRPr="008956FE">
        <w:rPr>
          <w:rFonts w:cs="Times New Roman"/>
          <w:color w:val="000000" w:themeColor="text1"/>
        </w:rPr>
        <w:t xml:space="preserve"> </w:t>
      </w:r>
      <w:r w:rsidR="008956FE" w:rsidRPr="008956FE">
        <w:rPr>
          <w:rFonts w:cs="Times New Roman"/>
          <w:color w:val="000000" w:themeColor="text1"/>
        </w:rPr>
        <w:t xml:space="preserve">Mahoney argues that </w:t>
      </w:r>
      <w:r w:rsidR="008956FE" w:rsidRPr="00B71A8C">
        <w:rPr>
          <w:rFonts w:cs="Times New Roman"/>
          <w:color w:val="000000" w:themeColor="text1"/>
        </w:rPr>
        <w:t>m</w:t>
      </w:r>
      <w:r w:rsidR="00711BC8" w:rsidRPr="008956FE">
        <w:rPr>
          <w:rFonts w:cs="Times New Roman"/>
          <w:color w:val="000000" w:themeColor="text1"/>
        </w:rPr>
        <w:t xml:space="preserve">ost </w:t>
      </w:r>
      <w:r w:rsidR="008956FE" w:rsidRPr="00B71A8C">
        <w:rPr>
          <w:rFonts w:cs="Times New Roman"/>
          <w:color w:val="000000" w:themeColor="text1"/>
        </w:rPr>
        <w:t xml:space="preserve">lobbying in </w:t>
      </w:r>
      <w:r w:rsidR="00711BC8" w:rsidRPr="008956FE">
        <w:rPr>
          <w:rFonts w:cs="Times New Roman"/>
          <w:color w:val="000000" w:themeColor="text1"/>
        </w:rPr>
        <w:t>E</w:t>
      </w:r>
      <w:r w:rsidR="008956FE" w:rsidRPr="00B71A8C">
        <w:rPr>
          <w:rFonts w:cs="Times New Roman"/>
          <w:color w:val="000000" w:themeColor="text1"/>
        </w:rPr>
        <w:t>U</w:t>
      </w:r>
      <w:r w:rsidR="00711BC8" w:rsidRPr="008956FE">
        <w:rPr>
          <w:rFonts w:cs="Times New Roman"/>
          <w:color w:val="000000" w:themeColor="text1"/>
        </w:rPr>
        <w:t xml:space="preserve"> </w:t>
      </w:r>
      <w:r w:rsidR="008956FE" w:rsidRPr="00B71A8C">
        <w:rPr>
          <w:rFonts w:cs="Times New Roman"/>
          <w:color w:val="000000" w:themeColor="text1"/>
        </w:rPr>
        <w:t>“</w:t>
      </w:r>
      <w:r w:rsidR="00711BC8" w:rsidRPr="008956FE">
        <w:rPr>
          <w:rFonts w:cs="Times New Roman"/>
          <w:color w:val="000000" w:themeColor="text1"/>
        </w:rPr>
        <w:t>occurs in the form of sharing research with policymakers [in an] exchange where lobbyists gain access in exchange for valuable research and reliable data on the policy at hand</w:t>
      </w:r>
      <w:r w:rsidR="008956FE" w:rsidRPr="00B71A8C">
        <w:rPr>
          <w:rFonts w:cs="Times New Roman"/>
          <w:color w:val="000000" w:themeColor="text1"/>
        </w:rPr>
        <w:t xml:space="preserve">,” unlike in the U.S. where </w:t>
      </w:r>
      <w:r w:rsidR="00711BC8" w:rsidRPr="008956FE">
        <w:rPr>
          <w:rFonts w:cs="Times New Roman"/>
          <w:color w:val="000000" w:themeColor="text1"/>
        </w:rPr>
        <w:t xml:space="preserve">access to </w:t>
      </w:r>
      <w:r w:rsidR="008956FE" w:rsidRPr="00B71A8C">
        <w:rPr>
          <w:rFonts w:cs="Times New Roman"/>
          <w:color w:val="000000" w:themeColor="text1"/>
        </w:rPr>
        <w:t>“</w:t>
      </w:r>
      <w:r w:rsidR="00711BC8" w:rsidRPr="008956FE">
        <w:rPr>
          <w:rFonts w:cs="Times New Roman"/>
          <w:color w:val="000000" w:themeColor="text1"/>
        </w:rPr>
        <w:t>officials is often based on who is the loudest, most persistent, and most informed</w:t>
      </w:r>
      <w:r w:rsidR="008956FE" w:rsidRPr="00B71A8C">
        <w:rPr>
          <w:rFonts w:cs="Times New Roman"/>
          <w:color w:val="000000" w:themeColor="text1"/>
        </w:rPr>
        <w:t>,</w:t>
      </w:r>
      <w:r w:rsidR="00711BC8" w:rsidRPr="008956FE">
        <w:rPr>
          <w:rFonts w:cs="Times New Roman"/>
          <w:color w:val="000000" w:themeColor="text1"/>
        </w:rPr>
        <w:t>” putting industries with “less resources at a serious disadvantage, as they cannot fund or fuel lobbyists to be as competitive as more profitable groups.”</w:t>
      </w:r>
      <w:bookmarkStart w:id="106" w:name="OLE_LINK77"/>
      <w:r w:rsidR="00711BC8" w:rsidRPr="00196F93">
        <w:rPr>
          <w:rStyle w:val="FootnoteReference"/>
          <w:rFonts w:cs="Times New Roman"/>
          <w:bCs/>
          <w:color w:val="000000" w:themeColor="text1"/>
        </w:rPr>
        <w:footnoteReference w:id="151"/>
      </w:r>
      <w:r w:rsidR="008956FE">
        <w:rPr>
          <w:rStyle w:val="FootnoteTextChar"/>
          <w:rFonts w:cs="Times New Roman"/>
          <w:bCs/>
          <w:color w:val="000000" w:themeColor="text1"/>
          <w:sz w:val="24"/>
          <w:szCs w:val="24"/>
        </w:rPr>
        <w:t xml:space="preserve"> </w:t>
      </w:r>
      <w:bookmarkEnd w:id="106"/>
      <w:r w:rsidR="00711BC8" w:rsidRPr="00196F93">
        <w:rPr>
          <w:rFonts w:cs="Times New Roman"/>
          <w:color w:val="000000" w:themeColor="text1"/>
        </w:rPr>
        <w:t xml:space="preserve">The decreased importance of labor unions in the U.S. versus the EU has also coincided with </w:t>
      </w:r>
      <w:r>
        <w:rPr>
          <w:rFonts w:cs="Times New Roman"/>
          <w:color w:val="000000" w:themeColor="text1"/>
        </w:rPr>
        <w:t xml:space="preserve">this </w:t>
      </w:r>
      <w:r w:rsidR="00711BC8" w:rsidRPr="00196F93">
        <w:rPr>
          <w:rFonts w:cs="Times New Roman"/>
          <w:color w:val="000000" w:themeColor="text1"/>
        </w:rPr>
        <w:t>greater emphasis on corporate interests.</w:t>
      </w:r>
      <w:r>
        <w:rPr>
          <w:rStyle w:val="FootnoteReference"/>
          <w:rFonts w:cs="Times New Roman"/>
          <w:color w:val="000000" w:themeColor="text1"/>
        </w:rPr>
        <w:footnoteReference w:id="152"/>
      </w:r>
      <w:r w:rsidR="00711BC8" w:rsidRPr="00196F93">
        <w:rPr>
          <w:rFonts w:cs="Times New Roman"/>
          <w:color w:val="000000" w:themeColor="text1"/>
        </w:rPr>
        <w:t xml:space="preserve"> </w:t>
      </w:r>
      <w:r w:rsidR="000553BF" w:rsidRPr="00196F93">
        <w:rPr>
          <w:rFonts w:cs="Times New Roman"/>
          <w:color w:val="000000" w:themeColor="text1"/>
        </w:rPr>
        <w:t>Disaggregating lobby success by type reveals “</w:t>
      </w:r>
      <w:r w:rsidR="00711BC8" w:rsidRPr="00196F93">
        <w:rPr>
          <w:rFonts w:cs="Times New Roman"/>
          <w:color w:val="000000" w:themeColor="text1"/>
        </w:rPr>
        <w:t>industry and business interests mostly win</w:t>
      </w:r>
      <w:r w:rsidR="00D0394B">
        <w:rPr>
          <w:rFonts w:cs="Times New Roman"/>
          <w:color w:val="000000" w:themeColor="text1"/>
        </w:rPr>
        <w:t>,</w:t>
      </w:r>
      <w:r w:rsidR="000553BF" w:rsidRPr="00196F93">
        <w:rPr>
          <w:rFonts w:cs="Times New Roman"/>
          <w:color w:val="000000" w:themeColor="text1"/>
        </w:rPr>
        <w:t>”</w:t>
      </w:r>
      <w:r w:rsidR="00711BC8" w:rsidRPr="00196F93">
        <w:rPr>
          <w:rFonts w:cs="Times New Roman"/>
          <w:color w:val="000000" w:themeColor="text1"/>
        </w:rPr>
        <w:t xml:space="preserve"> </w:t>
      </w:r>
      <w:r w:rsidR="000553BF" w:rsidRPr="00196F93">
        <w:rPr>
          <w:rFonts w:cs="Times New Roman"/>
          <w:color w:val="000000" w:themeColor="text1"/>
        </w:rPr>
        <w:t xml:space="preserve">where in </w:t>
      </w:r>
      <w:r w:rsidR="00711BC8" w:rsidRPr="00196F93">
        <w:rPr>
          <w:rFonts w:cs="Times New Roman"/>
          <w:color w:val="000000" w:themeColor="text1"/>
        </w:rPr>
        <w:t>the U</w:t>
      </w:r>
      <w:r w:rsidR="00D0394B">
        <w:rPr>
          <w:rFonts w:cs="Times New Roman"/>
          <w:color w:val="000000" w:themeColor="text1"/>
        </w:rPr>
        <w:t>.</w:t>
      </w:r>
      <w:r w:rsidR="00711BC8" w:rsidRPr="00196F93">
        <w:rPr>
          <w:rFonts w:cs="Times New Roman"/>
          <w:color w:val="000000" w:themeColor="text1"/>
        </w:rPr>
        <w:t>S</w:t>
      </w:r>
      <w:r w:rsidR="00D0394B">
        <w:rPr>
          <w:rFonts w:cs="Times New Roman"/>
          <w:color w:val="000000" w:themeColor="text1"/>
        </w:rPr>
        <w:t>.</w:t>
      </w:r>
      <w:r w:rsidR="000553BF" w:rsidRPr="00196F93">
        <w:rPr>
          <w:rFonts w:cs="Times New Roman"/>
          <w:color w:val="000000" w:themeColor="text1"/>
        </w:rPr>
        <w:t xml:space="preserve"> “</w:t>
      </w:r>
      <w:r w:rsidR="00711BC8" w:rsidRPr="00196F93">
        <w:rPr>
          <w:rFonts w:cs="Times New Roman"/>
          <w:color w:val="000000" w:themeColor="text1"/>
        </w:rPr>
        <w:t>89% of corporations and 53% of trade associations succeed, while the majority of those fighting for the broader good – 60% of citizen groups and 63% of foundations – fail in their lobbying goals</w:t>
      </w:r>
      <w:r w:rsidR="00D0394B">
        <w:rPr>
          <w:rFonts w:cs="Times New Roman"/>
          <w:color w:val="000000" w:themeColor="text1"/>
        </w:rPr>
        <w:t>.</w:t>
      </w:r>
      <w:r w:rsidR="00324012" w:rsidRPr="00196F93">
        <w:rPr>
          <w:rFonts w:cs="Times New Roman"/>
          <w:color w:val="000000" w:themeColor="text1"/>
        </w:rPr>
        <w:t>”</w:t>
      </w:r>
      <w:r w:rsidR="00324012" w:rsidRPr="00196F93">
        <w:rPr>
          <w:rStyle w:val="FootnoteReference"/>
          <w:rFonts w:cs="Times New Roman"/>
          <w:bCs/>
          <w:color w:val="000000" w:themeColor="text1"/>
        </w:rPr>
        <w:footnoteReference w:id="153"/>
      </w:r>
      <w:r w:rsidR="000553BF" w:rsidRPr="00196F93">
        <w:rPr>
          <w:rFonts w:cs="Times New Roman"/>
          <w:color w:val="000000" w:themeColor="text1"/>
        </w:rPr>
        <w:t xml:space="preserve"> This is a direct function of U.S. legislators being beholden to </w:t>
      </w:r>
      <w:r w:rsidR="00324012" w:rsidRPr="00196F93">
        <w:rPr>
          <w:rFonts w:cs="Times New Roman"/>
          <w:color w:val="000000" w:themeColor="text1"/>
        </w:rPr>
        <w:t xml:space="preserve">wealthy interest groups necessary to finance their re-elections. </w:t>
      </w:r>
      <w:r w:rsidR="00711BC8" w:rsidRPr="00196F93">
        <w:rPr>
          <w:rFonts w:cs="Times New Roman"/>
          <w:color w:val="000000" w:themeColor="text1"/>
        </w:rPr>
        <w:t xml:space="preserve"> </w:t>
      </w:r>
      <w:r w:rsidR="00324012" w:rsidRPr="00196F93">
        <w:rPr>
          <w:rFonts w:cs="Times New Roman"/>
          <w:color w:val="000000" w:themeColor="text1"/>
        </w:rPr>
        <w:t xml:space="preserve">In the </w:t>
      </w:r>
      <w:r w:rsidR="00711BC8" w:rsidRPr="00196F93">
        <w:rPr>
          <w:rFonts w:cs="Times New Roman"/>
          <w:color w:val="000000" w:themeColor="text1"/>
        </w:rPr>
        <w:t xml:space="preserve">EU, </w:t>
      </w:r>
      <w:r w:rsidR="00324012" w:rsidRPr="00196F93">
        <w:rPr>
          <w:rFonts w:cs="Times New Roman"/>
          <w:color w:val="000000" w:themeColor="text1"/>
        </w:rPr>
        <w:t>“</w:t>
      </w:r>
      <w:r w:rsidR="00711BC8" w:rsidRPr="00196F93">
        <w:rPr>
          <w:rFonts w:cs="Times New Roman"/>
          <w:color w:val="000000" w:themeColor="text1"/>
        </w:rPr>
        <w:t>industry often wins as well (the success rates are 57% for trade associations and 61% for lobbying firms) but citizen groups and foundations fighting for the public good win at equal rates (56% and 67%)</w:t>
      </w:r>
      <w:r w:rsidR="00324012" w:rsidRPr="00196F93">
        <w:rPr>
          <w:rFonts w:cs="Times New Roman"/>
          <w:color w:val="000000" w:themeColor="text1"/>
        </w:rPr>
        <w:t>, [revealing how]</w:t>
      </w:r>
      <w:r w:rsidR="00711BC8" w:rsidRPr="00196F93">
        <w:rPr>
          <w:rFonts w:cs="Times New Roman"/>
          <w:color w:val="000000" w:themeColor="text1"/>
        </w:rPr>
        <w:t xml:space="preserve"> </w:t>
      </w:r>
      <w:r w:rsidR="00324012" w:rsidRPr="00196F93">
        <w:rPr>
          <w:rFonts w:cs="Times New Roman"/>
          <w:color w:val="000000" w:themeColor="text1"/>
        </w:rPr>
        <w:t>[p]</w:t>
      </w:r>
      <w:proofErr w:type="spellStart"/>
      <w:r w:rsidR="00711BC8" w:rsidRPr="00196F93">
        <w:rPr>
          <w:rFonts w:cs="Times New Roman"/>
          <w:color w:val="000000" w:themeColor="text1"/>
        </w:rPr>
        <w:t>olicymakers</w:t>
      </w:r>
      <w:proofErr w:type="spellEnd"/>
      <w:r w:rsidR="00711BC8" w:rsidRPr="00196F93">
        <w:rPr>
          <w:rFonts w:cs="Times New Roman"/>
          <w:color w:val="000000" w:themeColor="text1"/>
        </w:rPr>
        <w:t xml:space="preserve"> in the EU do not need industry’s euros, so we do not see the same level of pandering to their interests.”</w:t>
      </w:r>
      <w:bookmarkStart w:id="107" w:name="OLE_LINK151"/>
      <w:r w:rsidR="00711BC8" w:rsidRPr="00196F93">
        <w:rPr>
          <w:rStyle w:val="FootnoteReference"/>
          <w:rFonts w:cs="Times New Roman"/>
          <w:bCs/>
          <w:color w:val="000000" w:themeColor="text1"/>
        </w:rPr>
        <w:footnoteReference w:id="154"/>
      </w:r>
      <w:bookmarkEnd w:id="107"/>
      <w:r w:rsidR="00324012" w:rsidRPr="00196F93">
        <w:rPr>
          <w:rFonts w:cs="Times New Roman"/>
          <w:color w:val="000000" w:themeColor="text1"/>
        </w:rPr>
        <w:t xml:space="preserve"> </w:t>
      </w:r>
      <w:r w:rsidR="00324012" w:rsidRPr="00196F93">
        <w:rPr>
          <w:rStyle w:val="FootnoteTextChar"/>
          <w:rFonts w:cs="Times New Roman"/>
          <w:bCs/>
          <w:color w:val="000000" w:themeColor="text1"/>
          <w:sz w:val="24"/>
          <w:szCs w:val="24"/>
        </w:rPr>
        <w:t xml:space="preserve">Although weaker, the influence of business dollars on policy is still observed across the EU with research showing </w:t>
      </w:r>
      <w:r w:rsidR="00D0394B">
        <w:rPr>
          <w:rStyle w:val="FootnoteTextChar"/>
          <w:rFonts w:cs="Times New Roman"/>
          <w:bCs/>
          <w:color w:val="000000" w:themeColor="text1"/>
          <w:sz w:val="24"/>
          <w:szCs w:val="24"/>
        </w:rPr>
        <w:t>“</w:t>
      </w:r>
      <w:r w:rsidR="00324012" w:rsidRPr="00196F93">
        <w:rPr>
          <w:rFonts w:cs="Times New Roman"/>
          <w:color w:val="000000" w:themeColor="text1"/>
        </w:rPr>
        <w:t>fossil fuel interests exercise a significant advantage in lobbying capacity and [this] resource advantage leads to a systematic weakening of EU climate policy.”</w:t>
      </w:r>
      <w:bookmarkStart w:id="108" w:name="_Ref191565000"/>
      <w:r w:rsidR="00324012" w:rsidRPr="00196F93">
        <w:rPr>
          <w:rStyle w:val="FootnoteReference"/>
          <w:rFonts w:cs="Times New Roman"/>
          <w:bCs/>
          <w:color w:val="000000" w:themeColor="text1"/>
        </w:rPr>
        <w:footnoteReference w:id="155"/>
      </w:r>
      <w:bookmarkEnd w:id="108"/>
      <w:r w:rsidR="00D0394B">
        <w:rPr>
          <w:rFonts w:cs="Times New Roman"/>
          <w:color w:val="000000" w:themeColor="text1"/>
        </w:rPr>
        <w:t xml:space="preserve"> </w:t>
      </w:r>
      <w:r w:rsidR="00D0394B">
        <w:rPr>
          <w:rStyle w:val="FootnoteTextChar"/>
          <w:rFonts w:cs="Times New Roman"/>
          <w:bCs/>
          <w:color w:val="000000" w:themeColor="text1"/>
          <w:sz w:val="24"/>
          <w:szCs w:val="24"/>
        </w:rPr>
        <w:t xml:space="preserve">Combined with the greater economic exposure of business to fossil fuels in the U.S., business interests seemingly have far more incentive—and power—to influence policy away from ambitious climate regulation within the U.S. institutional system. </w:t>
      </w:r>
    </w:p>
    <w:p w14:paraId="537DD12E" w14:textId="05D07A85" w:rsidR="002470DF" w:rsidRDefault="00D0394B" w:rsidP="00322BF1">
      <w:pPr>
        <w:spacing w:line="480" w:lineRule="auto"/>
        <w:ind w:firstLine="1080"/>
        <w:contextualSpacing/>
        <w:rPr>
          <w:rFonts w:cs="Times New Roman"/>
          <w:color w:val="000000" w:themeColor="text1"/>
        </w:rPr>
      </w:pPr>
      <w:r>
        <w:rPr>
          <w:rFonts w:cs="Times New Roman"/>
          <w:color w:val="000000" w:themeColor="text1"/>
        </w:rPr>
        <w:t xml:space="preserve">Lobbying around </w:t>
      </w:r>
      <w:r w:rsidR="00584295">
        <w:rPr>
          <w:rFonts w:cs="Times New Roman"/>
          <w:color w:val="000000" w:themeColor="text1"/>
        </w:rPr>
        <w:t xml:space="preserve">broader </w:t>
      </w:r>
      <w:r w:rsidR="00395458">
        <w:rPr>
          <w:rFonts w:cs="Times New Roman"/>
          <w:color w:val="000000" w:themeColor="text1"/>
        </w:rPr>
        <w:t>climate</w:t>
      </w:r>
      <w:r>
        <w:rPr>
          <w:rFonts w:cs="Times New Roman"/>
          <w:color w:val="000000" w:themeColor="text1"/>
        </w:rPr>
        <w:t xml:space="preserve"> policy in the U.S. </w:t>
      </w:r>
      <w:r w:rsidR="00BD5201">
        <w:rPr>
          <w:rFonts w:cs="Times New Roman"/>
          <w:color w:val="000000" w:themeColor="text1"/>
        </w:rPr>
        <w:t>can help illustrate</w:t>
      </w:r>
      <w:r>
        <w:rPr>
          <w:rFonts w:cs="Times New Roman"/>
          <w:color w:val="000000" w:themeColor="text1"/>
        </w:rPr>
        <w:t xml:space="preserve"> this mechanism</w:t>
      </w:r>
      <w:r w:rsidR="006D37DF">
        <w:rPr>
          <w:rFonts w:cs="Times New Roman"/>
          <w:color w:val="000000" w:themeColor="text1"/>
        </w:rPr>
        <w:t xml:space="preserve">. </w:t>
      </w:r>
      <w:r w:rsidR="00584295" w:rsidRPr="00196F93">
        <w:rPr>
          <w:rFonts w:cs="Times New Roman"/>
          <w:color w:val="000000" w:themeColor="text1"/>
        </w:rPr>
        <w:t>Fossil fuel interests spent well over $2 billion on climate change related lobbying between 2000 and 2016, over 3.9% of total lobbying expenditures.</w:t>
      </w:r>
      <w:r w:rsidR="00584295" w:rsidRPr="00196F93">
        <w:rPr>
          <w:rStyle w:val="FootnoteReference"/>
          <w:rFonts w:cs="Times New Roman"/>
          <w:bCs/>
          <w:color w:val="000000" w:themeColor="text1"/>
        </w:rPr>
        <w:footnoteReference w:id="156"/>
      </w:r>
      <w:r w:rsidR="00584295" w:rsidRPr="00196F93">
        <w:rPr>
          <w:rFonts w:cs="Times New Roman"/>
          <w:color w:val="000000" w:themeColor="text1"/>
        </w:rPr>
        <w:t xml:space="preserve"> Oil and Gas lobbying clients specifically contributed over $128 million on federal lobbying alone in 2023, and has already spent over $219 million in federal lobbying in 2024 as of October 26 leading up to the election.</w:t>
      </w:r>
      <w:r w:rsidR="00584295" w:rsidRPr="00196F93">
        <w:rPr>
          <w:rStyle w:val="FootnoteReference"/>
          <w:rFonts w:cs="Times New Roman"/>
          <w:bCs/>
          <w:color w:val="000000" w:themeColor="text1"/>
        </w:rPr>
        <w:footnoteReference w:id="157"/>
      </w:r>
      <w:r w:rsidR="00584295">
        <w:rPr>
          <w:rFonts w:cs="Times New Roman"/>
          <w:color w:val="000000" w:themeColor="text1"/>
        </w:rPr>
        <w:t xml:space="preserve"> </w:t>
      </w:r>
      <w:r w:rsidR="006D37DF">
        <w:rPr>
          <w:rFonts w:cs="Times New Roman"/>
          <w:color w:val="000000" w:themeColor="text1"/>
        </w:rPr>
        <w:t>These lobbying activities have been</w:t>
      </w:r>
      <w:r>
        <w:rPr>
          <w:rFonts w:cs="Times New Roman"/>
          <w:color w:val="000000" w:themeColor="text1"/>
        </w:rPr>
        <w:t xml:space="preserve"> </w:t>
      </w:r>
      <w:r w:rsidRPr="00196F93">
        <w:rPr>
          <w:rFonts w:cs="Times New Roman"/>
          <w:color w:val="000000" w:themeColor="text1"/>
        </w:rPr>
        <w:t>characterized as systemic efforts by organizations seeking to obstruct climate policy by influencing three arenas: “(1) public opinion and what is seen to comprise the public agenda, (2) the media agenda; what and how the media cover climate change, and (3) the focus of political action and which actions politicians propose as their own political agendas.”</w:t>
      </w:r>
      <w:r w:rsidRPr="00196F93">
        <w:rPr>
          <w:rStyle w:val="FootnoteReference"/>
          <w:rFonts w:cs="Times New Roman"/>
          <w:bCs/>
          <w:color w:val="000000" w:themeColor="text1"/>
        </w:rPr>
        <w:footnoteReference w:id="158"/>
      </w:r>
      <w:r w:rsidRPr="00196F93">
        <w:rPr>
          <w:rFonts w:cs="Times New Roman"/>
          <w:color w:val="000000" w:themeColor="text1"/>
        </w:rPr>
        <w:t xml:space="preserve"> </w:t>
      </w:r>
    </w:p>
    <w:p w14:paraId="1E7E7E88" w14:textId="3EE242FB" w:rsidR="00324012" w:rsidRDefault="00C8559E" w:rsidP="00B71A8C">
      <w:pPr>
        <w:spacing w:line="480" w:lineRule="auto"/>
        <w:ind w:firstLine="1080"/>
        <w:contextualSpacing/>
        <w:rPr>
          <w:rFonts w:cs="Times New Roman"/>
          <w:color w:val="000000" w:themeColor="text1"/>
        </w:rPr>
      </w:pPr>
      <w:r>
        <w:rPr>
          <w:rFonts w:cs="Times New Roman"/>
          <w:color w:val="000000" w:themeColor="text1"/>
        </w:rPr>
        <w:t xml:space="preserve"> L</w:t>
      </w:r>
      <w:r w:rsidR="00711BC8" w:rsidRPr="0099558A">
        <w:rPr>
          <w:color w:val="000000" w:themeColor="text1"/>
        </w:rPr>
        <w:t xml:space="preserve">obbying around the </w:t>
      </w:r>
      <w:r w:rsidR="006D37DF" w:rsidRPr="00B71A8C">
        <w:rPr>
          <w:color w:val="000000" w:themeColor="text1"/>
        </w:rPr>
        <w:t xml:space="preserve">2009-2010 </w:t>
      </w:r>
      <w:r w:rsidR="00711BC8" w:rsidRPr="0099558A">
        <w:rPr>
          <w:color w:val="000000" w:themeColor="text1"/>
        </w:rPr>
        <w:t xml:space="preserve">Waxman-Markey </w:t>
      </w:r>
      <w:r w:rsidR="006D37DF" w:rsidRPr="00B71A8C">
        <w:rPr>
          <w:color w:val="000000" w:themeColor="text1"/>
        </w:rPr>
        <w:t xml:space="preserve">(WM) </w:t>
      </w:r>
      <w:r w:rsidR="00711BC8" w:rsidRPr="0099558A">
        <w:rPr>
          <w:color w:val="000000" w:themeColor="text1"/>
        </w:rPr>
        <w:t>bill</w:t>
      </w:r>
      <w:r w:rsidR="00711BC8" w:rsidRPr="0099558A">
        <w:rPr>
          <w:rFonts w:cs="Times New Roman"/>
          <w:color w:val="000000" w:themeColor="text1"/>
        </w:rPr>
        <w:t>—one of the most promising U.S. climate regulation proposals for a national cap-and-trade market system—</w:t>
      </w:r>
      <w:r w:rsidR="00324012" w:rsidRPr="0099558A">
        <w:rPr>
          <w:rFonts w:cs="Times New Roman"/>
          <w:color w:val="000000" w:themeColor="text1"/>
        </w:rPr>
        <w:t xml:space="preserve">that was passed in the House but failed </w:t>
      </w:r>
      <w:r w:rsidR="00584295">
        <w:rPr>
          <w:rFonts w:cs="Times New Roman"/>
          <w:color w:val="000000" w:themeColor="text1"/>
        </w:rPr>
        <w:t>i</w:t>
      </w:r>
      <w:r w:rsidR="00324012" w:rsidRPr="0099558A">
        <w:rPr>
          <w:rFonts w:cs="Times New Roman"/>
          <w:color w:val="000000" w:themeColor="text1"/>
        </w:rPr>
        <w:t>n the Senate vividly illustrates the role of business influence on climate policy.</w:t>
      </w:r>
      <w:r w:rsidR="006D37DF" w:rsidRPr="0099558A">
        <w:rPr>
          <w:rFonts w:cs="Times New Roman"/>
          <w:color w:val="000000" w:themeColor="text1"/>
        </w:rPr>
        <w:t xml:space="preserve"> Companies spent over $700 million on lobbying related to this bill alone.</w:t>
      </w:r>
      <w:r w:rsidR="006D37DF" w:rsidRPr="0099558A">
        <w:rPr>
          <w:rStyle w:val="FootnoteReference"/>
          <w:rFonts w:cs="Times New Roman"/>
          <w:bCs/>
          <w:color w:val="000000" w:themeColor="text1"/>
        </w:rPr>
        <w:footnoteReference w:id="159"/>
      </w:r>
      <w:r w:rsidR="00324012" w:rsidRPr="0099558A">
        <w:rPr>
          <w:rFonts w:cs="Times New Roman"/>
          <w:color w:val="000000" w:themeColor="text1"/>
        </w:rPr>
        <w:t xml:space="preserve"> </w:t>
      </w:r>
      <w:r w:rsidR="00324012" w:rsidRPr="0099558A">
        <w:rPr>
          <w:color w:val="000000" w:themeColor="text1"/>
        </w:rPr>
        <w:t xml:space="preserve">Lobbying </w:t>
      </w:r>
      <w:r w:rsidR="003F5CD9" w:rsidRPr="00B71A8C">
        <w:rPr>
          <w:color w:val="000000" w:themeColor="text1"/>
        </w:rPr>
        <w:t xml:space="preserve">expenses </w:t>
      </w:r>
      <w:r w:rsidR="00711BC8" w:rsidRPr="0099558A">
        <w:rPr>
          <w:rFonts w:cs="Times New Roman"/>
          <w:color w:val="000000" w:themeColor="text1"/>
        </w:rPr>
        <w:t xml:space="preserve">accounted for </w:t>
      </w:r>
      <w:bookmarkStart w:id="110" w:name="OLE_LINK76"/>
      <w:r w:rsidR="00711BC8" w:rsidRPr="0099558A">
        <w:rPr>
          <w:rFonts w:cs="Times New Roman"/>
          <w:color w:val="000000" w:themeColor="text1"/>
        </w:rPr>
        <w:t xml:space="preserve">roughly “14% of all recorded lobbying expenditures at the time, referred to by the media </w:t>
      </w:r>
      <w:bookmarkStart w:id="111" w:name="OLE_LINK6"/>
      <w:r w:rsidR="00711BC8" w:rsidRPr="0099558A">
        <w:rPr>
          <w:rFonts w:cs="Times New Roman"/>
          <w:color w:val="000000" w:themeColor="text1"/>
        </w:rPr>
        <w:t xml:space="preserve">as </w:t>
      </w:r>
      <w:r w:rsidR="003F5CD9" w:rsidRPr="0099558A">
        <w:rPr>
          <w:rFonts w:cs="Times New Roman"/>
          <w:color w:val="000000" w:themeColor="text1"/>
        </w:rPr>
        <w:t>‘</w:t>
      </w:r>
      <w:r w:rsidR="00711BC8" w:rsidRPr="0099558A">
        <w:rPr>
          <w:rFonts w:cs="Times New Roman"/>
          <w:color w:val="000000" w:themeColor="text1"/>
        </w:rPr>
        <w:t>the sum of all lobbies</w:t>
      </w:r>
      <w:r w:rsidR="006D37DF" w:rsidRPr="0099558A">
        <w:rPr>
          <w:rFonts w:cs="Times New Roman"/>
          <w:color w:val="000000" w:themeColor="text1"/>
        </w:rPr>
        <w:t>’</w:t>
      </w:r>
      <w:r w:rsidR="00AD3436" w:rsidRPr="0099558A">
        <w:rPr>
          <w:rFonts w:cs="Times New Roman"/>
          <w:color w:val="000000" w:themeColor="text1"/>
        </w:rPr>
        <w:t>.</w:t>
      </w:r>
      <w:r w:rsidR="003F5CD9" w:rsidRPr="0099558A">
        <w:rPr>
          <w:rFonts w:cs="Times New Roman"/>
          <w:color w:val="000000" w:themeColor="text1"/>
        </w:rPr>
        <w:t>”</w:t>
      </w:r>
      <w:bookmarkStart w:id="112" w:name="_Ref191565056"/>
      <w:r w:rsidR="00711BC8" w:rsidRPr="0099558A">
        <w:rPr>
          <w:rStyle w:val="FootnoteReference"/>
          <w:rFonts w:cs="Times New Roman"/>
          <w:bCs/>
          <w:color w:val="000000" w:themeColor="text1"/>
        </w:rPr>
        <w:footnoteReference w:id="160"/>
      </w:r>
      <w:bookmarkEnd w:id="112"/>
      <w:r w:rsidR="00711BC8" w:rsidRPr="0099558A">
        <w:rPr>
          <w:rFonts w:cs="Times New Roman"/>
          <w:color w:val="000000" w:themeColor="text1"/>
        </w:rPr>
        <w:t xml:space="preserve"> </w:t>
      </w:r>
      <w:bookmarkEnd w:id="110"/>
      <w:bookmarkEnd w:id="111"/>
      <w:r w:rsidR="00711BC8" w:rsidRPr="0099558A">
        <w:rPr>
          <w:rFonts w:cs="Times New Roman"/>
          <w:color w:val="000000" w:themeColor="text1"/>
        </w:rPr>
        <w:t xml:space="preserve">Meng and Rode (2019) conducted a robust statistical analysis to estimate the impact of lobbying interests </w:t>
      </w:r>
      <w:r w:rsidR="006D37DF" w:rsidRPr="0099558A">
        <w:rPr>
          <w:rFonts w:cs="Times New Roman"/>
          <w:color w:val="000000" w:themeColor="text1"/>
        </w:rPr>
        <w:t>and with</w:t>
      </w:r>
      <w:r w:rsidR="00711BC8" w:rsidRPr="0099558A">
        <w:rPr>
          <w:rFonts w:cs="Times New Roman"/>
          <w:color w:val="000000" w:themeColor="text1"/>
        </w:rPr>
        <w:t xml:space="preserve"> a game-theoretic model they find</w:t>
      </w:r>
      <w:r w:rsidR="006D37DF" w:rsidRPr="0099558A">
        <w:rPr>
          <w:rFonts w:cs="Times New Roman"/>
          <w:color w:val="000000" w:themeColor="text1"/>
        </w:rPr>
        <w:t>,</w:t>
      </w:r>
      <w:r w:rsidR="00711BC8" w:rsidRPr="0099558A">
        <w:rPr>
          <w:rFonts w:cs="Times New Roman"/>
          <w:color w:val="000000" w:themeColor="text1"/>
        </w:rPr>
        <w:t xml:space="preserve"> “lobbying lowered the probability of enacting the </w:t>
      </w:r>
      <w:r w:rsidR="006D37DF" w:rsidRPr="0099558A">
        <w:rPr>
          <w:rFonts w:cs="Times New Roman"/>
          <w:color w:val="000000" w:themeColor="text1"/>
        </w:rPr>
        <w:t>[WM]</w:t>
      </w:r>
      <w:r w:rsidR="00711BC8" w:rsidRPr="0099558A">
        <w:rPr>
          <w:rFonts w:cs="Times New Roman"/>
          <w:color w:val="000000" w:themeColor="text1"/>
        </w:rPr>
        <w:t xml:space="preserve"> bill by 13 percentage points”—from an estimated 55% chance of passing to 42% after lobbying—</w:t>
      </w:r>
      <w:r w:rsidR="001A75D6" w:rsidRPr="0099558A">
        <w:rPr>
          <w:rFonts w:cs="Times New Roman"/>
          <w:color w:val="000000" w:themeColor="text1"/>
        </w:rPr>
        <w:t>“</w:t>
      </w:r>
      <w:r w:rsidR="00711BC8" w:rsidRPr="0099558A">
        <w:rPr>
          <w:rFonts w:cs="Times New Roman"/>
          <w:color w:val="000000" w:themeColor="text1"/>
        </w:rPr>
        <w:t>representing an expected social cost of $60 billion (in 2018 dollars)</w:t>
      </w:r>
      <w:r w:rsidR="001A75D6" w:rsidRPr="0099558A">
        <w:rPr>
          <w:rFonts w:cs="Times New Roman"/>
          <w:color w:val="000000" w:themeColor="text1"/>
        </w:rPr>
        <w:t>.</w:t>
      </w:r>
      <w:r w:rsidR="00711BC8" w:rsidRPr="0099558A">
        <w:rPr>
          <w:rFonts w:cs="Times New Roman"/>
          <w:color w:val="000000" w:themeColor="text1"/>
        </w:rPr>
        <w:t>”</w:t>
      </w:r>
      <w:bookmarkStart w:id="113" w:name="OLE_LINK38"/>
      <w:r w:rsidR="00711BC8" w:rsidRPr="0099558A">
        <w:rPr>
          <w:rStyle w:val="FootnoteReference"/>
          <w:rFonts w:cs="Times New Roman"/>
          <w:bCs/>
          <w:color w:val="000000" w:themeColor="text1"/>
        </w:rPr>
        <w:footnoteReference w:id="161"/>
      </w:r>
      <w:r w:rsidR="00711BC8" w:rsidRPr="0099558A">
        <w:rPr>
          <w:rFonts w:cs="Times New Roman"/>
          <w:color w:val="000000" w:themeColor="text1"/>
        </w:rPr>
        <w:t xml:space="preserve"> </w:t>
      </w:r>
      <w:bookmarkEnd w:id="113"/>
      <w:r w:rsidR="00324012" w:rsidRPr="0099558A">
        <w:rPr>
          <w:rFonts w:cs="Times New Roman"/>
          <w:color w:val="000000" w:themeColor="text1"/>
        </w:rPr>
        <w:t>Ultimately, it is very difficult to know the full scope of lobbying</w:t>
      </w:r>
      <w:r w:rsidR="001A75D6" w:rsidRPr="0099558A">
        <w:rPr>
          <w:rFonts w:cs="Times New Roman"/>
          <w:color w:val="000000" w:themeColor="text1"/>
        </w:rPr>
        <w:t>—as much is unreported—</w:t>
      </w:r>
      <w:r w:rsidR="00850C4F" w:rsidRPr="0099558A">
        <w:rPr>
          <w:rFonts w:cs="Times New Roman"/>
          <w:color w:val="000000" w:themeColor="text1"/>
        </w:rPr>
        <w:t>and especially</w:t>
      </w:r>
      <w:r w:rsidR="00850C4F" w:rsidRPr="00196F93">
        <w:rPr>
          <w:rFonts w:cs="Times New Roman"/>
          <w:color w:val="000000" w:themeColor="text1"/>
        </w:rPr>
        <w:t xml:space="preserve"> the tangible impact of business dollars on distorting policy from the public will</w:t>
      </w:r>
      <w:r w:rsidR="001A75D6">
        <w:rPr>
          <w:rFonts w:cs="Times New Roman"/>
          <w:color w:val="000000" w:themeColor="text1"/>
        </w:rPr>
        <w:t xml:space="preserve"> as there are additional challenges to measuring causality</w:t>
      </w:r>
      <w:r w:rsidR="00850C4F" w:rsidRPr="00196F93">
        <w:rPr>
          <w:rFonts w:cs="Times New Roman"/>
          <w:color w:val="000000" w:themeColor="text1"/>
        </w:rPr>
        <w:t>.</w:t>
      </w:r>
      <w:r w:rsidR="00584295">
        <w:rPr>
          <w:rStyle w:val="FootnoteReference"/>
          <w:rFonts w:cs="Times New Roman"/>
          <w:color w:val="000000" w:themeColor="text1"/>
        </w:rPr>
        <w:footnoteReference w:id="162"/>
      </w:r>
      <w:r w:rsidR="00850C4F" w:rsidRPr="00196F93">
        <w:rPr>
          <w:rFonts w:cs="Times New Roman"/>
          <w:color w:val="000000" w:themeColor="text1"/>
        </w:rPr>
        <w:t xml:space="preserve"> However, examples like the </w:t>
      </w:r>
      <w:r w:rsidR="001A75D6">
        <w:rPr>
          <w:rFonts w:cs="Times New Roman"/>
          <w:color w:val="000000" w:themeColor="text1"/>
        </w:rPr>
        <w:t>WM</w:t>
      </w:r>
      <w:r w:rsidR="00850C4F" w:rsidRPr="00196F93">
        <w:rPr>
          <w:rFonts w:cs="Times New Roman"/>
          <w:color w:val="000000" w:themeColor="text1"/>
        </w:rPr>
        <w:t xml:space="preserve"> bill </w:t>
      </w:r>
      <w:r w:rsidR="001A75D6">
        <w:rPr>
          <w:rFonts w:cs="Times New Roman"/>
          <w:color w:val="000000" w:themeColor="text1"/>
        </w:rPr>
        <w:t>illustrate</w:t>
      </w:r>
      <w:r w:rsidR="001A75D6" w:rsidRPr="00196F93">
        <w:rPr>
          <w:rFonts w:cs="Times New Roman"/>
          <w:color w:val="000000" w:themeColor="text1"/>
        </w:rPr>
        <w:t xml:space="preserve"> </w:t>
      </w:r>
      <w:r w:rsidR="00850C4F" w:rsidRPr="00196F93">
        <w:rPr>
          <w:rFonts w:cs="Times New Roman"/>
          <w:color w:val="000000" w:themeColor="text1"/>
        </w:rPr>
        <w:t xml:space="preserve">how the institutional design of the U.S. creates </w:t>
      </w:r>
      <w:r w:rsidR="001A75D6">
        <w:rPr>
          <w:rFonts w:cs="Times New Roman"/>
          <w:color w:val="000000" w:themeColor="text1"/>
        </w:rPr>
        <w:t>a</w:t>
      </w:r>
      <w:r w:rsidR="001A75D6" w:rsidRPr="00196F93">
        <w:rPr>
          <w:rFonts w:cs="Times New Roman"/>
          <w:color w:val="000000" w:themeColor="text1"/>
        </w:rPr>
        <w:t xml:space="preserve"> </w:t>
      </w:r>
      <w:r w:rsidR="00850C4F" w:rsidRPr="00196F93">
        <w:rPr>
          <w:rFonts w:cs="Times New Roman"/>
          <w:color w:val="000000" w:themeColor="text1"/>
        </w:rPr>
        <w:t xml:space="preserve">wholly different incentive structure from the EU’s EC with drastic implications </w:t>
      </w:r>
      <w:r w:rsidR="002470DF">
        <w:rPr>
          <w:rFonts w:cs="Times New Roman"/>
          <w:color w:val="000000" w:themeColor="text1"/>
        </w:rPr>
        <w:t>on</w:t>
      </w:r>
      <w:r w:rsidR="002470DF" w:rsidRPr="00196F93">
        <w:rPr>
          <w:rFonts w:cs="Times New Roman"/>
          <w:color w:val="000000" w:themeColor="text1"/>
        </w:rPr>
        <w:t xml:space="preserve"> </w:t>
      </w:r>
      <w:r w:rsidR="00850C4F" w:rsidRPr="00196F93">
        <w:rPr>
          <w:rFonts w:cs="Times New Roman"/>
          <w:color w:val="000000" w:themeColor="text1"/>
        </w:rPr>
        <w:t>the likelihood of strong climate policy being passed</w:t>
      </w:r>
      <w:r w:rsidR="002470DF">
        <w:rPr>
          <w:rFonts w:cs="Times New Roman"/>
          <w:color w:val="000000" w:themeColor="text1"/>
        </w:rPr>
        <w:t>, and potentially driving this regulatory divergence in climate disclosures</w:t>
      </w:r>
      <w:r w:rsidR="00850C4F" w:rsidRPr="00196F93">
        <w:rPr>
          <w:rFonts w:cs="Times New Roman"/>
          <w:color w:val="000000" w:themeColor="text1"/>
        </w:rPr>
        <w:t>.</w:t>
      </w:r>
    </w:p>
    <w:p w14:paraId="49F53B03" w14:textId="78B95F5D" w:rsidR="002F5758" w:rsidRPr="003C730D" w:rsidRDefault="00711BC8" w:rsidP="00B71A8C">
      <w:pPr>
        <w:spacing w:line="480" w:lineRule="auto"/>
        <w:ind w:firstLine="720"/>
        <w:contextualSpacing/>
        <w:rPr>
          <w:rFonts w:cs="Times New Roman"/>
          <w:color w:val="000000" w:themeColor="text1"/>
        </w:rPr>
      </w:pPr>
      <w:r w:rsidRPr="00196F93">
        <w:rPr>
          <w:rFonts w:cs="Times New Roman"/>
          <w:color w:val="000000" w:themeColor="text1"/>
        </w:rPr>
        <w:t>The institutional design of elections shapes the incentive structure of policymakers in the U.S. to be dependent on business dollars, versus the more insulated EU EC. The impact of lobbying on influencing policy and climate outcomes is well documented and observed across all jurisdictions—however, it plays an outsized role in the U.S. political economy.</w:t>
      </w:r>
      <w:r w:rsidR="002F5758" w:rsidRPr="00196F93">
        <w:rPr>
          <w:rStyle w:val="FootnoteReference"/>
          <w:rFonts w:cs="Times New Roman"/>
          <w:bCs/>
          <w:color w:val="000000" w:themeColor="text1"/>
        </w:rPr>
        <w:footnoteReference w:id="163"/>
      </w:r>
      <w:r w:rsidR="00C8559E">
        <w:rPr>
          <w:rStyle w:val="FootnoteTextChar"/>
          <w:rFonts w:cs="Times New Roman"/>
          <w:bCs/>
          <w:color w:val="000000" w:themeColor="text1"/>
          <w:sz w:val="24"/>
          <w:szCs w:val="24"/>
        </w:rPr>
        <w:t xml:space="preserve"> </w:t>
      </w:r>
      <w:r w:rsidRPr="00196F93">
        <w:rPr>
          <w:rFonts w:cs="Times New Roman"/>
          <w:color w:val="000000" w:themeColor="text1"/>
        </w:rPr>
        <w:t>Given the fossil fuel exposure of the U.S. economy, a significant portion of campaign financing has a direct interest in obstructing ambitious climate policie</w:t>
      </w:r>
      <w:r w:rsidR="00584295">
        <w:rPr>
          <w:rFonts w:cs="Times New Roman"/>
          <w:color w:val="000000" w:themeColor="text1"/>
        </w:rPr>
        <w:t>s,</w:t>
      </w:r>
      <w:r w:rsidR="002F5758">
        <w:rPr>
          <w:rFonts w:cs="Times New Roman"/>
          <w:color w:val="000000" w:themeColor="text1"/>
        </w:rPr>
        <w:t xml:space="preserve"> as</w:t>
      </w:r>
      <w:r w:rsidRPr="00196F93">
        <w:rPr>
          <w:rFonts w:cs="Times New Roman"/>
          <w:color w:val="000000" w:themeColor="text1"/>
        </w:rPr>
        <w:t xml:space="preserve"> shown to directly reduce</w:t>
      </w:r>
      <w:r w:rsidR="00584295">
        <w:rPr>
          <w:rFonts w:cs="Times New Roman"/>
          <w:color w:val="000000" w:themeColor="text1"/>
        </w:rPr>
        <w:t xml:space="preserve"> the</w:t>
      </w:r>
      <w:r w:rsidRPr="00196F93">
        <w:rPr>
          <w:rFonts w:cs="Times New Roman"/>
          <w:color w:val="000000" w:themeColor="text1"/>
        </w:rPr>
        <w:t xml:space="preserve"> likelihood of climate laws</w:t>
      </w:r>
      <w:r w:rsidR="00324012" w:rsidRPr="00196F93">
        <w:rPr>
          <w:rFonts w:cs="Times New Roman"/>
          <w:color w:val="000000" w:themeColor="text1"/>
        </w:rPr>
        <w:t xml:space="preserve"> such as the </w:t>
      </w:r>
      <w:r w:rsidR="002F5758">
        <w:rPr>
          <w:rFonts w:cs="Times New Roman"/>
          <w:color w:val="000000" w:themeColor="text1"/>
        </w:rPr>
        <w:t>WM</w:t>
      </w:r>
      <w:r w:rsidRPr="00196F93">
        <w:rPr>
          <w:rFonts w:cs="Times New Roman"/>
          <w:color w:val="000000" w:themeColor="text1"/>
        </w:rPr>
        <w:t xml:space="preserve">, and more broadly in influencing policy agenda and actually writing the </w:t>
      </w:r>
      <w:r w:rsidR="002F5758">
        <w:rPr>
          <w:rFonts w:cs="Times New Roman"/>
          <w:color w:val="000000" w:themeColor="text1"/>
        </w:rPr>
        <w:t xml:space="preserve">content of </w:t>
      </w:r>
      <w:r w:rsidRPr="00196F93">
        <w:rPr>
          <w:rFonts w:cs="Times New Roman"/>
          <w:color w:val="000000" w:themeColor="text1"/>
        </w:rPr>
        <w:t>laws.</w:t>
      </w:r>
      <w:r w:rsidR="002F5758">
        <w:rPr>
          <w:rStyle w:val="FootnoteReference"/>
          <w:rFonts w:cs="Times New Roman"/>
          <w:color w:val="000000" w:themeColor="text1"/>
        </w:rPr>
        <w:footnoteReference w:id="164"/>
      </w:r>
      <w:r w:rsidR="00C8559E">
        <w:rPr>
          <w:rFonts w:cs="Times New Roman"/>
          <w:color w:val="000000" w:themeColor="text1"/>
        </w:rPr>
        <w:t xml:space="preserve"> In addition to the role of retirement security exposure to financial markets in the U.S., the nature of these political economy factors—i.e. </w:t>
      </w:r>
      <w:r w:rsidR="00C8559E" w:rsidRPr="00196F93">
        <w:rPr>
          <w:rFonts w:cs="Times New Roman"/>
          <w:color w:val="000000" w:themeColor="text1"/>
        </w:rPr>
        <w:t>public exposure to fossil fuel industry exacerbated by t</w:t>
      </w:r>
      <w:r w:rsidR="00C8559E" w:rsidRPr="00B464A1">
        <w:rPr>
          <w:rFonts w:cs="Times New Roman"/>
          <w:color w:val="000000" w:themeColor="text1"/>
        </w:rPr>
        <w:t>he distortionary effects of climate lobbying—within the context of the U.S. institutional design can help provide some possible explanations of the drivers behind the observed divergence from the EU climate disclosure and regulatory paradigm</w:t>
      </w:r>
      <w:r w:rsidR="001D5B95" w:rsidRPr="00B464A1">
        <w:rPr>
          <w:rFonts w:cs="Times New Roman"/>
          <w:color w:val="000000" w:themeColor="text1"/>
        </w:rPr>
        <w:t>. Gordon argues the divergent approaches to ESG in the U.S. and EU will differ significantly as it</w:t>
      </w:r>
      <w:r w:rsidR="001D5B95" w:rsidRPr="00B71A8C">
        <w:rPr>
          <w:rFonts w:cs="Times New Roman"/>
          <w:color w:val="000000" w:themeColor="text1"/>
        </w:rPr>
        <w:t xml:space="preserve"> “reflects political economy differences which also reflect differences in underlying values.”</w:t>
      </w:r>
      <w:r w:rsidR="001D5B95" w:rsidRPr="00B71A8C">
        <w:rPr>
          <w:rStyle w:val="FootnoteReference"/>
          <w:rFonts w:cs="Times New Roman"/>
          <w:color w:val="000000" w:themeColor="text1"/>
        </w:rPr>
        <w:footnoteReference w:id="165"/>
      </w:r>
      <w:r w:rsidR="001D5B95" w:rsidRPr="00B71A8C">
        <w:rPr>
          <w:rFonts w:cs="Times New Roman"/>
          <w:color w:val="000000" w:themeColor="text1"/>
        </w:rPr>
        <w:t xml:space="preserve"> Although investigating the mechanics behind these underlying values is beyond the scope of this paper, this paper</w:t>
      </w:r>
      <w:r w:rsidR="002C087B">
        <w:rPr>
          <w:rFonts w:cs="Times New Roman"/>
          <w:color w:val="000000" w:themeColor="text1"/>
        </w:rPr>
        <w:t>’</w:t>
      </w:r>
      <w:r w:rsidR="001D5B95" w:rsidRPr="00B71A8C">
        <w:rPr>
          <w:rFonts w:cs="Times New Roman"/>
          <w:color w:val="000000" w:themeColor="text1"/>
        </w:rPr>
        <w:t xml:space="preserve">s contribution towards understanding the role of these existing political economy differences within the context of </w:t>
      </w:r>
      <w:r w:rsidR="001D5B95" w:rsidRPr="001771DF">
        <w:rPr>
          <w:rFonts w:cs="Times New Roman"/>
          <w:color w:val="000000" w:themeColor="text1"/>
        </w:rPr>
        <w:t>different institutional designs can assist in understanding the mechanisms at play when shaping future disclosure regimes.</w:t>
      </w:r>
      <w:bookmarkEnd w:id="0"/>
      <w:bookmarkEnd w:id="2"/>
      <w:bookmarkEnd w:id="3"/>
    </w:p>
    <w:p w14:paraId="240F3609" w14:textId="3B43F94D" w:rsidR="003A78BF" w:rsidRPr="00B464A1" w:rsidRDefault="002F32E7" w:rsidP="001771DF">
      <w:pPr>
        <w:pStyle w:val="Heading1"/>
        <w:spacing w:after="0"/>
      </w:pPr>
      <w:r w:rsidRPr="00196F93">
        <w:t xml:space="preserve">Challenges &amp; </w:t>
      </w:r>
      <w:r w:rsidR="00BF44F4" w:rsidRPr="00196F93">
        <w:t>Future</w:t>
      </w:r>
      <w:r w:rsidRPr="00196F93">
        <w:t xml:space="preserve"> </w:t>
      </w:r>
      <w:r w:rsidR="00850C4F" w:rsidRPr="00B464A1">
        <w:t>Implications</w:t>
      </w:r>
      <w:r w:rsidRPr="00B464A1">
        <w:t xml:space="preserve"> </w:t>
      </w:r>
    </w:p>
    <w:p w14:paraId="2CD8288B" w14:textId="62D8B87A" w:rsidR="00711BC8" w:rsidRPr="00B464A1" w:rsidRDefault="00826842" w:rsidP="00322BF1">
      <w:pPr>
        <w:pStyle w:val="Heading2"/>
      </w:pPr>
      <w:r w:rsidRPr="00B464A1">
        <w:t>Practical Challenges in Implementation</w:t>
      </w:r>
    </w:p>
    <w:p w14:paraId="5054DEDE" w14:textId="435F2F0A" w:rsidR="00711BC8" w:rsidRPr="00B464A1" w:rsidRDefault="00F404C7" w:rsidP="00C807C8">
      <w:pPr>
        <w:pStyle w:val="Heading3"/>
        <w:numPr>
          <w:ilvl w:val="0"/>
          <w:numId w:val="7"/>
        </w:numPr>
        <w:spacing w:before="0"/>
        <w:contextualSpacing/>
      </w:pPr>
      <w:r w:rsidRPr="00B464A1">
        <w:t>S</w:t>
      </w:r>
      <w:r w:rsidR="00826842" w:rsidRPr="00B464A1">
        <w:t>3 Emissions</w:t>
      </w:r>
      <w:r w:rsidR="001E231C" w:rsidRPr="00B464A1">
        <w:t xml:space="preserve"> - </w:t>
      </w:r>
      <w:r w:rsidR="00711BC8" w:rsidRPr="00B464A1">
        <w:t>Data Availability &amp; Measurement Challenges</w:t>
      </w:r>
    </w:p>
    <w:p w14:paraId="14D4CFE9" w14:textId="5D9E6412" w:rsidR="00412486" w:rsidRPr="00B464A1" w:rsidRDefault="00850C4F" w:rsidP="001771DF">
      <w:pPr>
        <w:spacing w:line="480" w:lineRule="auto"/>
        <w:ind w:firstLine="1080"/>
        <w:contextualSpacing/>
        <w:rPr>
          <w:rFonts w:cs="Times New Roman"/>
          <w:color w:val="000000" w:themeColor="text1"/>
        </w:rPr>
      </w:pPr>
      <w:r w:rsidRPr="00B464A1">
        <w:rPr>
          <w:rFonts w:cs="Times New Roman"/>
          <w:color w:val="000000" w:themeColor="text1"/>
        </w:rPr>
        <w:t xml:space="preserve">Although the SEC walked back the proposed S3 emissions disclosure requirement, this may also be </w:t>
      </w:r>
      <w:r w:rsidR="003C730D" w:rsidRPr="00B464A1">
        <w:rPr>
          <w:rFonts w:cs="Times New Roman"/>
          <w:color w:val="000000" w:themeColor="text1"/>
        </w:rPr>
        <w:t>partially</w:t>
      </w:r>
      <w:r w:rsidRPr="00B464A1">
        <w:rPr>
          <w:rFonts w:cs="Times New Roman"/>
          <w:color w:val="000000" w:themeColor="text1"/>
        </w:rPr>
        <w:t xml:space="preserve"> attributed to more benign practical</w:t>
      </w:r>
      <w:r w:rsidR="003C730D" w:rsidRPr="00B464A1">
        <w:rPr>
          <w:rFonts w:cs="Times New Roman"/>
          <w:color w:val="000000" w:themeColor="text1"/>
        </w:rPr>
        <w:t xml:space="preserve">ity </w:t>
      </w:r>
      <w:r w:rsidRPr="00B464A1">
        <w:rPr>
          <w:rFonts w:cs="Times New Roman"/>
          <w:color w:val="000000" w:themeColor="text1"/>
        </w:rPr>
        <w:t>and cost challenges hindering the production of decision-useful and reliable emissions data today</w:t>
      </w:r>
      <w:r w:rsidR="001D5B95" w:rsidRPr="00B71A8C">
        <w:rPr>
          <w:rFonts w:cs="Times New Roman"/>
          <w:color w:val="000000" w:themeColor="text1"/>
        </w:rPr>
        <w:t xml:space="preserve"> as Gadinis appears to imply</w:t>
      </w:r>
      <w:r w:rsidRPr="00B464A1">
        <w:rPr>
          <w:rFonts w:cs="Times New Roman"/>
          <w:color w:val="000000" w:themeColor="text1"/>
        </w:rPr>
        <w:t>.</w:t>
      </w:r>
      <w:r w:rsidR="00796524" w:rsidRPr="00B71A8C">
        <w:rPr>
          <w:rStyle w:val="FootnoteReference"/>
          <w:rFonts w:cs="Times New Roman"/>
          <w:color w:val="000000" w:themeColor="text1"/>
        </w:rPr>
        <w:footnoteReference w:id="166"/>
      </w:r>
      <w:r w:rsidR="00796524" w:rsidRPr="00B71A8C">
        <w:rPr>
          <w:rFonts w:cs="Times New Roman"/>
          <w:color w:val="000000" w:themeColor="text1"/>
        </w:rPr>
        <w:t xml:space="preserve"> </w:t>
      </w:r>
      <w:r w:rsidRPr="00B464A1">
        <w:rPr>
          <w:rFonts w:cs="Times New Roman"/>
          <w:color w:val="000000" w:themeColor="text1"/>
        </w:rPr>
        <w:t xml:space="preserve">The </w:t>
      </w:r>
      <w:bookmarkStart w:id="115" w:name="OLE_LINK78"/>
      <w:r w:rsidRPr="00B464A1">
        <w:rPr>
          <w:rFonts w:cs="Times New Roman"/>
          <w:color w:val="000000" w:themeColor="text1"/>
        </w:rPr>
        <w:t>final rules represent the SEC’s response to investor demand for reliable information about the financial impacts of climate-related risks on listed companies’ operations balanced against the costs and burdens imposed by the rules.</w:t>
      </w:r>
      <w:bookmarkEnd w:id="115"/>
      <w:r w:rsidR="00796524" w:rsidRPr="00B71A8C">
        <w:rPr>
          <w:rStyle w:val="FootnoteReference"/>
          <w:rFonts w:cs="Times New Roman"/>
          <w:color w:val="000000" w:themeColor="text1"/>
        </w:rPr>
        <w:footnoteReference w:id="167"/>
      </w:r>
      <w:r w:rsidRPr="00B464A1">
        <w:rPr>
          <w:rFonts w:cs="Times New Roman"/>
          <w:color w:val="000000" w:themeColor="text1"/>
        </w:rPr>
        <w:t xml:space="preserve"> Given issues with S3 data availability, measurement challenges, inconsistencies, and compliance costs this may simply </w:t>
      </w:r>
      <w:r w:rsidR="00412486" w:rsidRPr="00B464A1">
        <w:rPr>
          <w:rFonts w:cs="Times New Roman"/>
          <w:color w:val="000000" w:themeColor="text1"/>
        </w:rPr>
        <w:t>reflect the SEC waiting for the market to evolve and develop more reliable useful carbon accounting frameworks.</w:t>
      </w:r>
      <w:r w:rsidR="00796524" w:rsidRPr="00B464A1">
        <w:rPr>
          <w:rStyle w:val="FootnoteReference"/>
          <w:rFonts w:cs="Times New Roman"/>
          <w:color w:val="000000" w:themeColor="text1"/>
        </w:rPr>
        <w:footnoteReference w:id="168"/>
      </w:r>
    </w:p>
    <w:p w14:paraId="5E817DC4" w14:textId="3D25524B" w:rsidR="00711BC8" w:rsidRPr="00196F93" w:rsidRDefault="00711BC8" w:rsidP="00B71A8C">
      <w:pPr>
        <w:spacing w:line="480" w:lineRule="auto"/>
        <w:ind w:firstLine="1080"/>
        <w:contextualSpacing/>
        <w:rPr>
          <w:rFonts w:cs="Times New Roman"/>
          <w:color w:val="000000" w:themeColor="text1"/>
        </w:rPr>
      </w:pPr>
      <w:bookmarkStart w:id="116" w:name="OLE_LINK79"/>
      <w:r w:rsidRPr="00B464A1">
        <w:rPr>
          <w:rFonts w:cs="Times New Roman"/>
          <w:color w:val="000000" w:themeColor="text1"/>
        </w:rPr>
        <w:t xml:space="preserve">S3 emissions are often the largest portion of a company’s environmental </w:t>
      </w:r>
      <w:r w:rsidRPr="00196F93">
        <w:rPr>
          <w:rFonts w:cs="Times New Roman"/>
          <w:color w:val="000000" w:themeColor="text1"/>
        </w:rPr>
        <w:t>impact, however, there are significant data gaps, measurement accuracy challenges, and costs associated with requiring companies to collect and disseminate data from across their entire global supply chain.</w:t>
      </w:r>
      <w:bookmarkEnd w:id="116"/>
      <w:r w:rsidR="0099558A">
        <w:rPr>
          <w:rStyle w:val="FootnoteReference"/>
          <w:rFonts w:cs="Times New Roman"/>
          <w:color w:val="000000" w:themeColor="text1"/>
        </w:rPr>
        <w:footnoteReference w:id="169"/>
      </w:r>
      <w:r w:rsidRPr="00196F93">
        <w:rPr>
          <w:rFonts w:cs="Times New Roman"/>
          <w:color w:val="000000" w:themeColor="text1"/>
        </w:rPr>
        <w:t xml:space="preserve"> Even under recognized industry standards like the GHG Protocol</w:t>
      </w:r>
      <w:r w:rsidR="00C8559E">
        <w:rPr>
          <w:rFonts w:cs="Times New Roman"/>
          <w:color w:val="000000" w:themeColor="text1"/>
        </w:rPr>
        <w:t xml:space="preserve"> </w:t>
      </w:r>
      <w:r w:rsidRPr="00196F93">
        <w:rPr>
          <w:rFonts w:cs="Times New Roman"/>
          <w:color w:val="000000" w:themeColor="text1"/>
        </w:rPr>
        <w:t xml:space="preserve">and the CDP, there remains great challenges around uniformity and accuracy in measuring </w:t>
      </w:r>
      <w:r w:rsidR="00FA6DFB">
        <w:rPr>
          <w:rFonts w:cs="Times New Roman"/>
          <w:color w:val="000000" w:themeColor="text1"/>
        </w:rPr>
        <w:t>S</w:t>
      </w:r>
      <w:r w:rsidRPr="00196F93">
        <w:rPr>
          <w:rFonts w:cs="Times New Roman"/>
          <w:color w:val="000000" w:themeColor="text1"/>
        </w:rPr>
        <w:t>3 emissions</w:t>
      </w:r>
      <w:r w:rsidR="0099558A">
        <w:rPr>
          <w:rFonts w:cs="Times New Roman"/>
          <w:color w:val="000000" w:themeColor="text1"/>
        </w:rPr>
        <w:t>—</w:t>
      </w:r>
      <w:r w:rsidRPr="00196F93">
        <w:rPr>
          <w:rFonts w:cs="Times New Roman"/>
          <w:color w:val="000000" w:themeColor="text1"/>
        </w:rPr>
        <w:t>and particularly so for certain industries</w:t>
      </w:r>
      <w:r w:rsidR="0099558A">
        <w:rPr>
          <w:rFonts w:cs="Times New Roman"/>
          <w:color w:val="000000" w:themeColor="text1"/>
        </w:rPr>
        <w:t xml:space="preserve"> like finance</w:t>
      </w:r>
      <w:r w:rsidR="00FA6DFB">
        <w:rPr>
          <w:rFonts w:cs="Times New Roman"/>
          <w:color w:val="000000" w:themeColor="text1"/>
        </w:rPr>
        <w:t>—c</w:t>
      </w:r>
      <w:r w:rsidR="0099558A" w:rsidRPr="00196F93">
        <w:rPr>
          <w:rFonts w:cs="Times New Roman"/>
          <w:color w:val="000000" w:themeColor="text1"/>
        </w:rPr>
        <w:t xml:space="preserve">urrently available </w:t>
      </w:r>
      <w:r w:rsidR="00FA6DFB">
        <w:rPr>
          <w:rFonts w:cs="Times New Roman"/>
          <w:color w:val="000000" w:themeColor="text1"/>
        </w:rPr>
        <w:t>S3</w:t>
      </w:r>
      <w:r w:rsidR="0099558A" w:rsidRPr="00196F93">
        <w:rPr>
          <w:rFonts w:cs="Times New Roman"/>
          <w:color w:val="000000" w:themeColor="text1"/>
        </w:rPr>
        <w:t xml:space="preserve"> </w:t>
      </w:r>
      <w:r w:rsidR="0099558A">
        <w:rPr>
          <w:rFonts w:cs="Times New Roman"/>
          <w:color w:val="000000" w:themeColor="text1"/>
        </w:rPr>
        <w:t>data today</w:t>
      </w:r>
      <w:r w:rsidR="0099558A" w:rsidRPr="00196F93">
        <w:rPr>
          <w:rFonts w:cs="Times New Roman"/>
          <w:color w:val="000000" w:themeColor="text1"/>
        </w:rPr>
        <w:t xml:space="preserve"> </w:t>
      </w:r>
      <w:r w:rsidR="0099558A">
        <w:rPr>
          <w:rFonts w:cs="Times New Roman"/>
          <w:color w:val="000000" w:themeColor="text1"/>
        </w:rPr>
        <w:t>“</w:t>
      </w:r>
      <w:r w:rsidR="0099558A" w:rsidRPr="00196F93">
        <w:rPr>
          <w:rFonts w:cs="Times New Roman"/>
          <w:color w:val="000000" w:themeColor="text1"/>
        </w:rPr>
        <w:t>reflect a lot of discretion and represent estimations rather than measurements.</w:t>
      </w:r>
      <w:r w:rsidR="0099558A">
        <w:rPr>
          <w:rFonts w:cs="Times New Roman"/>
          <w:color w:val="000000" w:themeColor="text1"/>
        </w:rPr>
        <w:t>”</w:t>
      </w:r>
      <w:r w:rsidR="0099558A" w:rsidRPr="00196F93">
        <w:rPr>
          <w:rStyle w:val="FootnoteReference"/>
          <w:rFonts w:cs="Times New Roman"/>
          <w:color w:val="000000" w:themeColor="text1"/>
        </w:rPr>
        <w:footnoteReference w:id="170"/>
      </w:r>
      <w:r w:rsidR="00FA6DFB">
        <w:rPr>
          <w:rFonts w:cs="Times New Roman"/>
          <w:color w:val="000000" w:themeColor="text1"/>
        </w:rPr>
        <w:t xml:space="preserve"> </w:t>
      </w:r>
      <w:r w:rsidR="00412486" w:rsidRPr="00196F93">
        <w:rPr>
          <w:rFonts w:cs="Times New Roman"/>
          <w:color w:val="000000" w:themeColor="text1"/>
        </w:rPr>
        <w:t xml:space="preserve">Although there is common ground between voluntary standards like the ISSB and mandatory ESRS, there are divergences in materiality and other differences that subject companies with “duplicative efforts, additional costs, and </w:t>
      </w:r>
      <w:r w:rsidR="00412486" w:rsidRPr="00FA6DFB">
        <w:rPr>
          <w:rFonts w:cs="Times New Roman"/>
          <w:color w:val="000000" w:themeColor="text1"/>
        </w:rPr>
        <w:t>inconsistent perspectives</w:t>
      </w:r>
      <w:r w:rsidR="0016249B" w:rsidRPr="00FA6DFB">
        <w:rPr>
          <w:rFonts w:cs="Times New Roman"/>
          <w:color w:val="000000" w:themeColor="text1"/>
        </w:rPr>
        <w:t>.</w:t>
      </w:r>
      <w:r w:rsidR="00412486" w:rsidRPr="00FA6DFB">
        <w:rPr>
          <w:rFonts w:cs="Times New Roman"/>
          <w:color w:val="000000" w:themeColor="text1"/>
        </w:rPr>
        <w:t>”</w:t>
      </w:r>
      <w:r w:rsidR="00412486" w:rsidRPr="00FA6DFB">
        <w:rPr>
          <w:rStyle w:val="FootnoteReference"/>
          <w:rFonts w:cs="Times New Roman"/>
          <w:color w:val="000000" w:themeColor="text1"/>
        </w:rPr>
        <w:footnoteReference w:id="171"/>
      </w:r>
      <w:r w:rsidR="00412486" w:rsidRPr="00FA6DFB">
        <w:rPr>
          <w:rFonts w:cs="Times New Roman"/>
          <w:color w:val="000000" w:themeColor="text1"/>
        </w:rPr>
        <w:t xml:space="preserve"> </w:t>
      </w:r>
      <w:r w:rsidR="00FA6DFB" w:rsidRPr="00FA6DFB">
        <w:rPr>
          <w:rFonts w:cs="Times New Roman"/>
          <w:color w:val="000000" w:themeColor="text1"/>
        </w:rPr>
        <w:t>The vast majority of S3 calculations today are based on estimated third-party data where the “</w:t>
      </w:r>
      <w:r w:rsidRPr="00FA6DFB">
        <w:rPr>
          <w:rFonts w:cs="Times New Roman"/>
          <w:color w:val="000000" w:themeColor="text1"/>
        </w:rPr>
        <w:t>accuracy of data available in some international databases has been called into question...</w:t>
      </w:r>
      <w:r w:rsidR="007B4C56">
        <w:rPr>
          <w:rFonts w:cs="Times New Roman"/>
          <w:color w:val="000000" w:themeColor="text1"/>
        </w:rPr>
        <w:t xml:space="preserve"> </w:t>
      </w:r>
      <w:r w:rsidR="0016249B" w:rsidRPr="00FA6DFB">
        <w:rPr>
          <w:rFonts w:cs="Times New Roman"/>
          <w:color w:val="000000" w:themeColor="text1"/>
        </w:rPr>
        <w:t>[s]</w:t>
      </w:r>
      <w:proofErr w:type="spellStart"/>
      <w:r w:rsidRPr="00FA6DFB">
        <w:rPr>
          <w:rFonts w:cs="Times New Roman"/>
          <w:color w:val="000000" w:themeColor="text1"/>
        </w:rPr>
        <w:t>ome</w:t>
      </w:r>
      <w:proofErr w:type="spellEnd"/>
      <w:r w:rsidRPr="00FA6DFB">
        <w:rPr>
          <w:rFonts w:cs="Times New Roman"/>
          <w:color w:val="000000" w:themeColor="text1"/>
        </w:rPr>
        <w:t xml:space="preserve"> described currently available </w:t>
      </w:r>
      <w:r w:rsidR="007B4C56">
        <w:rPr>
          <w:rFonts w:cs="Times New Roman"/>
          <w:color w:val="000000" w:themeColor="text1"/>
        </w:rPr>
        <w:t>[S3]</w:t>
      </w:r>
      <w:r w:rsidRPr="00FA6DFB">
        <w:rPr>
          <w:rFonts w:cs="Times New Roman"/>
          <w:color w:val="000000" w:themeColor="text1"/>
        </w:rPr>
        <w:t xml:space="preserve"> emissions as </w:t>
      </w:r>
      <w:r w:rsidR="0016249B" w:rsidRPr="00FA6DFB">
        <w:rPr>
          <w:rFonts w:cs="Times New Roman"/>
          <w:color w:val="000000" w:themeColor="text1"/>
        </w:rPr>
        <w:t>‘</w:t>
      </w:r>
      <w:r w:rsidRPr="00FA6DFB">
        <w:rPr>
          <w:rFonts w:cs="Times New Roman"/>
          <w:color w:val="000000" w:themeColor="text1"/>
        </w:rPr>
        <w:t>ill-defined guesses</w:t>
      </w:r>
      <w:r w:rsidR="0016249B" w:rsidRPr="00FA6DFB">
        <w:rPr>
          <w:rFonts w:cs="Times New Roman"/>
          <w:color w:val="000000" w:themeColor="text1"/>
        </w:rPr>
        <w:t>’</w:t>
      </w:r>
      <w:r w:rsidRPr="00FA6DFB">
        <w:rPr>
          <w:rFonts w:cs="Times New Roman"/>
          <w:color w:val="000000" w:themeColor="text1"/>
        </w:rPr>
        <w:t>, and [w]</w:t>
      </w:r>
      <w:proofErr w:type="spellStart"/>
      <w:r w:rsidRPr="00FA6DFB">
        <w:rPr>
          <w:rFonts w:cs="Times New Roman"/>
          <w:color w:val="000000" w:themeColor="text1"/>
        </w:rPr>
        <w:t>hile</w:t>
      </w:r>
      <w:proofErr w:type="spellEnd"/>
      <w:r w:rsidRPr="00FA6DFB">
        <w:rPr>
          <w:rFonts w:cs="Times New Roman"/>
          <w:color w:val="000000" w:themeColor="text1"/>
        </w:rPr>
        <w:t xml:space="preserve"> they may offer a general sense of the company’s environmental footprint…uncertainties surrounding these figures could rise to well over +/-50% for industry average factors, and +/-100-150% for spend factors.”</w:t>
      </w:r>
      <w:bookmarkStart w:id="118" w:name="OLE_LINK43"/>
      <w:r w:rsidRPr="00FA6DFB">
        <w:rPr>
          <w:rStyle w:val="FootnoteReference"/>
          <w:rFonts w:cs="Times New Roman"/>
          <w:color w:val="000000" w:themeColor="text1"/>
        </w:rPr>
        <w:footnoteReference w:id="172"/>
      </w:r>
      <w:bookmarkEnd w:id="118"/>
      <w:r w:rsidR="00527DD0" w:rsidRPr="00FA6DFB">
        <w:rPr>
          <w:rFonts w:cs="Times New Roman"/>
          <w:color w:val="000000" w:themeColor="text1"/>
        </w:rPr>
        <w:t xml:space="preserve"> </w:t>
      </w:r>
      <w:r w:rsidRPr="00FA6DFB">
        <w:rPr>
          <w:rFonts w:cs="Times New Roman"/>
          <w:color w:val="000000" w:themeColor="text1"/>
        </w:rPr>
        <w:t>Moreover, there are no “generally accepted methodologies around double counting</w:t>
      </w:r>
      <w:r w:rsidR="007B4C56">
        <w:rPr>
          <w:rFonts w:cs="Times New Roman"/>
          <w:color w:val="000000" w:themeColor="text1"/>
        </w:rPr>
        <w:t>,</w:t>
      </w:r>
      <w:r w:rsidRPr="00FA6DFB">
        <w:rPr>
          <w:rFonts w:cs="Times New Roman"/>
          <w:color w:val="000000" w:themeColor="text1"/>
        </w:rPr>
        <w:t xml:space="preserve">” and due to the “complexity of </w:t>
      </w:r>
      <w:r w:rsidR="007B4C56">
        <w:rPr>
          <w:rFonts w:cs="Times New Roman"/>
          <w:color w:val="000000" w:themeColor="text1"/>
        </w:rPr>
        <w:t>[S</w:t>
      </w:r>
      <w:r w:rsidRPr="00FA6DFB">
        <w:rPr>
          <w:rFonts w:cs="Times New Roman"/>
          <w:color w:val="000000" w:themeColor="text1"/>
        </w:rPr>
        <w:t>3</w:t>
      </w:r>
      <w:r w:rsidR="007B4C56">
        <w:rPr>
          <w:rFonts w:cs="Times New Roman"/>
          <w:color w:val="000000" w:themeColor="text1"/>
        </w:rPr>
        <w:t>]</w:t>
      </w:r>
      <w:r w:rsidRPr="00FA6DFB">
        <w:rPr>
          <w:rFonts w:cs="Times New Roman"/>
          <w:color w:val="000000" w:themeColor="text1"/>
        </w:rPr>
        <w:t xml:space="preserve"> </w:t>
      </w:r>
      <w:r w:rsidRPr="00196F93">
        <w:rPr>
          <w:rFonts w:cs="Times New Roman"/>
          <w:color w:val="000000" w:themeColor="text1"/>
        </w:rPr>
        <w:t>accounting for financial institutions</w:t>
      </w:r>
      <w:r w:rsidR="00FA6DFB">
        <w:rPr>
          <w:rFonts w:cs="Times New Roman"/>
          <w:color w:val="000000" w:themeColor="text1"/>
        </w:rPr>
        <w:t>,</w:t>
      </w:r>
      <w:r w:rsidRPr="00196F93">
        <w:rPr>
          <w:rFonts w:cs="Times New Roman"/>
          <w:color w:val="000000" w:themeColor="text1"/>
        </w:rPr>
        <w:t>” these disclosures would be largely incomplete and often useless.</w:t>
      </w:r>
      <w:r w:rsidRPr="00196F93">
        <w:rPr>
          <w:rStyle w:val="FootnoteReference"/>
          <w:rFonts w:cs="Times New Roman"/>
          <w:color w:val="000000" w:themeColor="text1"/>
        </w:rPr>
        <w:footnoteReference w:id="173"/>
      </w:r>
      <w:r w:rsidRPr="00196F93">
        <w:rPr>
          <w:rFonts w:cs="Times New Roman"/>
          <w:color w:val="000000" w:themeColor="text1"/>
        </w:rPr>
        <w:t xml:space="preserve"> “Sweeping disclosure mandates also threaten high compliance costs, unreliable data quality, and misaligned organizational incentives that divert resources from actual emissions reductions</w:t>
      </w:r>
      <w:bookmarkStart w:id="120" w:name="OLE_LINK41"/>
      <w:r w:rsidRPr="00196F93">
        <w:rPr>
          <w:rFonts w:cs="Times New Roman"/>
          <w:color w:val="000000" w:themeColor="text1"/>
        </w:rPr>
        <w:t>.”</w:t>
      </w:r>
      <w:bookmarkStart w:id="121" w:name="OLE_LINK42"/>
      <w:r w:rsidRPr="00196F93">
        <w:rPr>
          <w:rStyle w:val="FootnoteReference"/>
          <w:rFonts w:cs="Times New Roman"/>
          <w:color w:val="000000" w:themeColor="text1"/>
        </w:rPr>
        <w:footnoteReference w:id="174"/>
      </w:r>
      <w:r w:rsidRPr="00196F93">
        <w:rPr>
          <w:rFonts w:cs="Times New Roman"/>
          <w:color w:val="000000" w:themeColor="text1"/>
        </w:rPr>
        <w:t xml:space="preserve"> </w:t>
      </w:r>
      <w:bookmarkEnd w:id="120"/>
      <w:bookmarkEnd w:id="121"/>
      <w:r w:rsidRPr="00196F93">
        <w:rPr>
          <w:rFonts w:cs="Times New Roman"/>
          <w:color w:val="000000" w:themeColor="text1"/>
        </w:rPr>
        <w:t xml:space="preserve">Especially given the higher litigation risks </w:t>
      </w:r>
      <w:r w:rsidR="00FA6DFB">
        <w:rPr>
          <w:rFonts w:cs="Times New Roman"/>
          <w:color w:val="000000" w:themeColor="text1"/>
        </w:rPr>
        <w:t>around securities disclosures in</w:t>
      </w:r>
      <w:r w:rsidR="00FA6DFB" w:rsidRPr="00196F93">
        <w:rPr>
          <w:rFonts w:cs="Times New Roman"/>
          <w:color w:val="000000" w:themeColor="text1"/>
        </w:rPr>
        <w:t xml:space="preserve"> </w:t>
      </w:r>
      <w:r w:rsidRPr="00196F93">
        <w:rPr>
          <w:rFonts w:cs="Times New Roman"/>
          <w:color w:val="000000" w:themeColor="text1"/>
        </w:rPr>
        <w:t xml:space="preserve">the U.S., there are </w:t>
      </w:r>
      <w:r w:rsidR="00680BD4">
        <w:rPr>
          <w:rFonts w:cs="Times New Roman"/>
          <w:color w:val="000000" w:themeColor="text1"/>
        </w:rPr>
        <w:t xml:space="preserve">legitimate </w:t>
      </w:r>
      <w:r w:rsidRPr="00196F93">
        <w:rPr>
          <w:rFonts w:cs="Times New Roman"/>
          <w:color w:val="000000" w:themeColor="text1"/>
        </w:rPr>
        <w:t xml:space="preserve">reasons why the SEC would want to avoid creating </w:t>
      </w:r>
      <w:r w:rsidRPr="00680BD4">
        <w:rPr>
          <w:rFonts w:cs="Times New Roman"/>
          <w:color w:val="000000" w:themeColor="text1"/>
        </w:rPr>
        <w:t>potential litigation around unreliable and misleading disclosures as a practical matter</w:t>
      </w:r>
      <w:r w:rsidR="00224612" w:rsidRPr="00680BD4">
        <w:rPr>
          <w:rFonts w:cs="Times New Roman"/>
          <w:color w:val="000000" w:themeColor="text1"/>
        </w:rPr>
        <w:t xml:space="preserve"> </w:t>
      </w:r>
      <w:r w:rsidR="007B4C56">
        <w:rPr>
          <w:rFonts w:cs="Times New Roman"/>
          <w:color w:val="000000" w:themeColor="text1"/>
        </w:rPr>
        <w:t>today</w:t>
      </w:r>
      <w:r w:rsidR="00224612" w:rsidRPr="00680BD4">
        <w:rPr>
          <w:rFonts w:cs="Times New Roman"/>
          <w:color w:val="000000" w:themeColor="text1"/>
        </w:rPr>
        <w:t>.</w:t>
      </w:r>
      <w:r w:rsidR="00F404C7" w:rsidRPr="00B71A8C">
        <w:rPr>
          <w:rFonts w:cs="Times New Roman"/>
          <w:color w:val="000000" w:themeColor="text1"/>
        </w:rPr>
        <w:t xml:space="preserve"> For these reasons California has a safe harbor for S3 disclosures through 2030</w:t>
      </w:r>
      <w:r w:rsidR="00680BD4" w:rsidRPr="00B71A8C">
        <w:rPr>
          <w:rFonts w:cs="Times New Roman"/>
          <w:color w:val="000000" w:themeColor="text1"/>
        </w:rPr>
        <w:t>, and a</w:t>
      </w:r>
      <w:r w:rsidR="00F404C7" w:rsidRPr="00B71A8C">
        <w:rPr>
          <w:rFonts w:cs="Times New Roman"/>
          <w:color w:val="000000" w:themeColor="text1"/>
        </w:rPr>
        <w:t>lthough there are financial penalties for non-reporting there is no liability for incomplet</w:t>
      </w:r>
      <w:r w:rsidR="007B4C56">
        <w:rPr>
          <w:rFonts w:cs="Times New Roman"/>
          <w:color w:val="000000" w:themeColor="text1"/>
        </w:rPr>
        <w:t xml:space="preserve">e </w:t>
      </w:r>
      <w:r w:rsidR="00F404C7" w:rsidRPr="00B71A8C">
        <w:rPr>
          <w:rFonts w:cs="Times New Roman"/>
          <w:color w:val="000000" w:themeColor="text1"/>
        </w:rPr>
        <w:t>reporting</w:t>
      </w:r>
      <w:r w:rsidR="007B4C56">
        <w:rPr>
          <w:rFonts w:cs="Times New Roman"/>
          <w:color w:val="000000" w:themeColor="text1"/>
        </w:rPr>
        <w:t>.</w:t>
      </w:r>
      <w:r w:rsidR="00F404C7" w:rsidRPr="00B71A8C">
        <w:rPr>
          <w:rFonts w:cs="Times New Roman"/>
          <w:color w:val="000000" w:themeColor="text1"/>
        </w:rPr>
        <w:t xml:space="preserve"> </w:t>
      </w:r>
    </w:p>
    <w:p w14:paraId="41685AF5" w14:textId="77777777" w:rsidR="00826842" w:rsidRPr="001110EE" w:rsidRDefault="00826842" w:rsidP="00B71A8C">
      <w:pPr>
        <w:spacing w:line="480" w:lineRule="auto"/>
        <w:ind w:left="0"/>
        <w:contextualSpacing/>
        <w:rPr>
          <w:rFonts w:cs="Times New Roman"/>
          <w:color w:val="000000" w:themeColor="text1"/>
          <w:sz w:val="2"/>
          <w:szCs w:val="2"/>
        </w:rPr>
      </w:pPr>
    </w:p>
    <w:p w14:paraId="67ED5947" w14:textId="4362828E" w:rsidR="00826842" w:rsidRPr="00196F93" w:rsidRDefault="001E231C" w:rsidP="00B71A8C">
      <w:pPr>
        <w:pStyle w:val="Heading3"/>
        <w:spacing w:before="0"/>
        <w:contextualSpacing/>
      </w:pPr>
      <w:r w:rsidRPr="00196F93">
        <w:t xml:space="preserve">S3 Compliance Infrastructure Costs &amp; Burdens </w:t>
      </w:r>
    </w:p>
    <w:p w14:paraId="0D5BEDCA" w14:textId="0F788D15" w:rsidR="007B4C56" w:rsidRDefault="00795A71" w:rsidP="00322BF1">
      <w:pPr>
        <w:spacing w:line="480" w:lineRule="auto"/>
        <w:ind w:firstLine="1080"/>
        <w:contextualSpacing/>
        <w:rPr>
          <w:rFonts w:cs="Times New Roman"/>
          <w:color w:val="000000" w:themeColor="text1"/>
        </w:rPr>
      </w:pPr>
      <w:r>
        <w:rPr>
          <w:rFonts w:cs="Times New Roman"/>
          <w:color w:val="000000" w:themeColor="text1"/>
        </w:rPr>
        <w:t xml:space="preserve">Reporting </w:t>
      </w:r>
      <w:r w:rsidR="001E231C" w:rsidRPr="00196F93">
        <w:rPr>
          <w:rFonts w:cs="Times New Roman"/>
          <w:color w:val="000000" w:themeColor="text1"/>
        </w:rPr>
        <w:t xml:space="preserve">S3 emissions today </w:t>
      </w:r>
      <w:r>
        <w:rPr>
          <w:rFonts w:cs="Times New Roman"/>
          <w:color w:val="000000" w:themeColor="text1"/>
        </w:rPr>
        <w:t xml:space="preserve">also </w:t>
      </w:r>
      <w:r w:rsidR="001E231C" w:rsidRPr="00196F93">
        <w:rPr>
          <w:rFonts w:cs="Times New Roman"/>
          <w:color w:val="000000" w:themeColor="text1"/>
        </w:rPr>
        <w:t>suffers from a number of practical</w:t>
      </w:r>
      <w:r w:rsidR="007B4C56">
        <w:rPr>
          <w:rFonts w:cs="Times New Roman"/>
          <w:color w:val="000000" w:themeColor="text1"/>
        </w:rPr>
        <w:t xml:space="preserve">ity and cost </w:t>
      </w:r>
      <w:r w:rsidR="001E231C" w:rsidRPr="00196F93">
        <w:rPr>
          <w:rFonts w:cs="Times New Roman"/>
          <w:color w:val="000000" w:themeColor="text1"/>
        </w:rPr>
        <w:t xml:space="preserve">considerations around </w:t>
      </w:r>
      <w:r>
        <w:rPr>
          <w:rFonts w:cs="Times New Roman"/>
          <w:color w:val="000000" w:themeColor="text1"/>
        </w:rPr>
        <w:t>creating the infrastructure needed to reliably</w:t>
      </w:r>
      <w:r w:rsidRPr="00196F93">
        <w:rPr>
          <w:rFonts w:cs="Times New Roman"/>
          <w:color w:val="000000" w:themeColor="text1"/>
        </w:rPr>
        <w:t xml:space="preserve"> </w:t>
      </w:r>
      <w:r w:rsidR="001E231C" w:rsidRPr="00196F93">
        <w:rPr>
          <w:rFonts w:cs="Times New Roman"/>
          <w:color w:val="000000" w:themeColor="text1"/>
        </w:rPr>
        <w:t>access data across the entire value chain as suppliers are often small and medium-sized enterprises (SMEs)—as SMEs represent the vast majority of global businesses.</w:t>
      </w:r>
      <w:bookmarkStart w:id="122" w:name="OLE_LINK44"/>
      <w:r w:rsidR="001E231C" w:rsidRPr="00196F93">
        <w:rPr>
          <w:rStyle w:val="FootnoteReference"/>
          <w:rFonts w:cs="Times New Roman"/>
          <w:color w:val="000000" w:themeColor="text1"/>
        </w:rPr>
        <w:footnoteReference w:id="175"/>
      </w:r>
      <w:bookmarkEnd w:id="122"/>
      <w:r w:rsidR="001E231C" w:rsidRPr="00196F93">
        <w:rPr>
          <w:rFonts w:cs="Times New Roman"/>
          <w:color w:val="000000" w:themeColor="text1"/>
        </w:rPr>
        <w:t xml:space="preserve"> </w:t>
      </w:r>
      <w:r w:rsidR="007B4C56" w:rsidRPr="00196F93">
        <w:rPr>
          <w:rFonts w:cs="Times New Roman"/>
          <w:color w:val="000000" w:themeColor="text1"/>
        </w:rPr>
        <w:t>Gathering accurate data on all direct emissions sources can be complex, and will require developing a “compliance infrastructure”, with significant upfront “costs in setting up reporting systems for gathering and verifying data—e.g. hiring and training new staff, investing in new software and IT data systems, instituting new internal procedures and protocols, and involving senior management.</w:t>
      </w:r>
      <w:r w:rsidR="007B4C56">
        <w:rPr>
          <w:rFonts w:cs="Times New Roman"/>
          <w:color w:val="000000" w:themeColor="text1"/>
        </w:rPr>
        <w:t>”</w:t>
      </w:r>
      <w:r w:rsidR="007B4C56" w:rsidRPr="00196F93">
        <w:rPr>
          <w:rStyle w:val="FootnoteReference"/>
          <w:rFonts w:cs="Times New Roman"/>
          <w:color w:val="000000" w:themeColor="text1"/>
        </w:rPr>
        <w:footnoteReference w:id="176"/>
      </w:r>
      <w:r w:rsidR="001E231C" w:rsidRPr="00196F93">
        <w:rPr>
          <w:rFonts w:cs="Times New Roman"/>
          <w:color w:val="000000" w:themeColor="text1"/>
        </w:rPr>
        <w:t xml:space="preserve">The </w:t>
      </w:r>
      <w:r w:rsidR="00275D49">
        <w:rPr>
          <w:rFonts w:cs="Times New Roman"/>
          <w:color w:val="000000" w:themeColor="text1"/>
        </w:rPr>
        <w:t xml:space="preserve">SEC’s </w:t>
      </w:r>
      <w:r w:rsidR="001E231C" w:rsidRPr="00196F93">
        <w:rPr>
          <w:rFonts w:cs="Times New Roman"/>
          <w:color w:val="000000" w:themeColor="text1"/>
        </w:rPr>
        <w:t xml:space="preserve">proposed S3 mandate would have encompassed far more companies and “entailed significant costs for many suppliers and small businesses, [being] required to provide emissions data to any public companies with which </w:t>
      </w:r>
      <w:r w:rsidR="001E231C" w:rsidRPr="00224612">
        <w:rPr>
          <w:rFonts w:cs="Times New Roman"/>
          <w:color w:val="000000" w:themeColor="text1"/>
        </w:rPr>
        <w:t>they collaborate</w:t>
      </w:r>
      <w:r w:rsidR="00275D49">
        <w:rPr>
          <w:rFonts w:cs="Times New Roman"/>
          <w:color w:val="000000" w:themeColor="text1"/>
        </w:rPr>
        <w:t>,</w:t>
      </w:r>
      <w:r w:rsidR="001E231C" w:rsidRPr="00224612">
        <w:rPr>
          <w:rFonts w:cs="Times New Roman"/>
          <w:color w:val="000000" w:themeColor="text1"/>
        </w:rPr>
        <w:t>”</w:t>
      </w:r>
      <w:r w:rsidR="00412486" w:rsidRPr="00224612">
        <w:rPr>
          <w:rFonts w:cs="Times New Roman"/>
          <w:color w:val="000000" w:themeColor="text1"/>
        </w:rPr>
        <w:t xml:space="preserve"> which would necessarily require investing in a costly compliance infrastructure</w:t>
      </w:r>
      <w:r w:rsidR="001E231C" w:rsidRPr="00224612">
        <w:rPr>
          <w:rFonts w:cs="Times New Roman"/>
          <w:color w:val="000000" w:themeColor="text1"/>
        </w:rPr>
        <w:t>.</w:t>
      </w:r>
      <w:bookmarkStart w:id="123" w:name="OLE_LINK46"/>
      <w:r w:rsidR="001E231C" w:rsidRPr="00224612">
        <w:rPr>
          <w:rStyle w:val="FootnoteReference"/>
          <w:rFonts w:cs="Times New Roman"/>
          <w:color w:val="000000" w:themeColor="text1"/>
        </w:rPr>
        <w:footnoteReference w:id="177"/>
      </w:r>
      <w:r w:rsidR="001E231C" w:rsidRPr="00224612">
        <w:rPr>
          <w:rFonts w:cs="Times New Roman"/>
          <w:color w:val="000000" w:themeColor="text1"/>
        </w:rPr>
        <w:t xml:space="preserve"> </w:t>
      </w:r>
      <w:bookmarkEnd w:id="123"/>
      <w:r w:rsidR="00412486" w:rsidRPr="00224612">
        <w:rPr>
          <w:rFonts w:cs="Times New Roman"/>
          <w:color w:val="000000" w:themeColor="text1"/>
        </w:rPr>
        <w:t>The S3 requirement would have also imposed the “regulatory burden of SEC regulations on small businesses that are not regulated by SEC and are not familiar with SEC requirements</w:t>
      </w:r>
      <w:r w:rsidR="00224612">
        <w:rPr>
          <w:rFonts w:cs="Times New Roman"/>
          <w:color w:val="000000" w:themeColor="text1"/>
        </w:rPr>
        <w:t>.</w:t>
      </w:r>
      <w:r w:rsidR="00412486" w:rsidRPr="00224612">
        <w:rPr>
          <w:rFonts w:cs="Times New Roman"/>
          <w:color w:val="000000" w:themeColor="text1"/>
        </w:rPr>
        <w:t>”</w:t>
      </w:r>
      <w:r w:rsidR="00412486" w:rsidRPr="00224612">
        <w:rPr>
          <w:rStyle w:val="FootnoteReference"/>
          <w:rFonts w:cs="Times New Roman"/>
          <w:color w:val="000000" w:themeColor="text1"/>
        </w:rPr>
        <w:footnoteReference w:id="178"/>
      </w:r>
      <w:r w:rsidR="00224612">
        <w:rPr>
          <w:rFonts w:cs="Times New Roman"/>
          <w:color w:val="000000" w:themeColor="text1"/>
        </w:rPr>
        <w:t xml:space="preserve"> </w:t>
      </w:r>
    </w:p>
    <w:p w14:paraId="572AEB97" w14:textId="0B354EF2" w:rsidR="001E231C" w:rsidRPr="00333504" w:rsidRDefault="001E231C" w:rsidP="00B71A8C">
      <w:pPr>
        <w:spacing w:line="480" w:lineRule="auto"/>
        <w:ind w:firstLine="1080"/>
        <w:contextualSpacing/>
        <w:rPr>
          <w:rFonts w:cs="Times New Roman"/>
          <w:color w:val="000000" w:themeColor="text1"/>
        </w:rPr>
      </w:pPr>
      <w:r w:rsidRPr="00224612">
        <w:rPr>
          <w:rFonts w:cs="Times New Roman"/>
          <w:color w:val="000000" w:themeColor="text1"/>
        </w:rPr>
        <w:t xml:space="preserve">The </w:t>
      </w:r>
      <w:r w:rsidR="00275D49">
        <w:rPr>
          <w:rFonts w:cs="Times New Roman"/>
          <w:color w:val="000000" w:themeColor="text1"/>
        </w:rPr>
        <w:t>SEC</w:t>
      </w:r>
      <w:r w:rsidR="00275D49" w:rsidRPr="00224612">
        <w:rPr>
          <w:rFonts w:cs="Times New Roman"/>
          <w:color w:val="000000" w:themeColor="text1"/>
        </w:rPr>
        <w:t xml:space="preserve"> </w:t>
      </w:r>
      <w:r w:rsidRPr="00224612">
        <w:rPr>
          <w:rFonts w:cs="Times New Roman"/>
          <w:color w:val="000000" w:themeColor="text1"/>
        </w:rPr>
        <w:t>scaled back the S3 proposal in response to “concerns about the feasibility of producing</w:t>
      </w:r>
      <w:r w:rsidRPr="00196F93">
        <w:rPr>
          <w:rFonts w:cs="Times New Roman"/>
          <w:color w:val="000000" w:themeColor="text1"/>
        </w:rPr>
        <w:t xml:space="preserve"> accurate </w:t>
      </w:r>
      <w:r w:rsidR="00680BD4">
        <w:rPr>
          <w:rFonts w:cs="Times New Roman"/>
          <w:color w:val="000000" w:themeColor="text1"/>
        </w:rPr>
        <w:t>[S3]</w:t>
      </w:r>
      <w:r w:rsidRPr="00196F93">
        <w:rPr>
          <w:rFonts w:cs="Times New Roman"/>
          <w:color w:val="000000" w:themeColor="text1"/>
        </w:rPr>
        <w:t xml:space="preserve"> emission figures, the difficulties this posed for certain industries,</w:t>
      </w:r>
      <w:r w:rsidR="000A259F">
        <w:rPr>
          <w:rFonts w:cs="Times New Roman"/>
          <w:color w:val="000000" w:themeColor="text1"/>
        </w:rPr>
        <w:t xml:space="preserve"> </w:t>
      </w:r>
      <w:r w:rsidRPr="00196F93">
        <w:rPr>
          <w:rFonts w:cs="Times New Roman"/>
          <w:color w:val="000000" w:themeColor="text1"/>
        </w:rPr>
        <w:t>such as finance, and the costs of building compliance infrastructures</w:t>
      </w:r>
      <w:r w:rsidR="007B4C56">
        <w:rPr>
          <w:rFonts w:cs="Times New Roman"/>
          <w:color w:val="000000" w:themeColor="text1"/>
        </w:rPr>
        <w:t>”</w:t>
      </w:r>
      <w:r w:rsidRPr="00196F93">
        <w:rPr>
          <w:rFonts w:cs="Times New Roman"/>
          <w:color w:val="000000" w:themeColor="text1"/>
        </w:rPr>
        <w:t xml:space="preserve"> </w:t>
      </w:r>
      <w:r w:rsidR="007B4C56">
        <w:rPr>
          <w:rFonts w:cs="Times New Roman"/>
          <w:color w:val="000000" w:themeColor="text1"/>
        </w:rPr>
        <w:t xml:space="preserve">needed </w:t>
      </w:r>
      <w:r w:rsidRPr="00196F93">
        <w:rPr>
          <w:rFonts w:cs="Times New Roman"/>
          <w:color w:val="000000" w:themeColor="text1"/>
        </w:rPr>
        <w:t xml:space="preserve">within the timeframe </w:t>
      </w:r>
      <w:r w:rsidR="007B4C56">
        <w:rPr>
          <w:rFonts w:cs="Times New Roman"/>
          <w:color w:val="000000" w:themeColor="text1"/>
        </w:rPr>
        <w:t xml:space="preserve">of the </w:t>
      </w:r>
      <w:r w:rsidRPr="00196F93">
        <w:rPr>
          <w:rFonts w:cs="Times New Roman"/>
          <w:color w:val="000000" w:themeColor="text1"/>
        </w:rPr>
        <w:t>rules.</w:t>
      </w:r>
      <w:bookmarkStart w:id="124" w:name="OLE_LINK45"/>
      <w:r w:rsidRPr="00196F93">
        <w:rPr>
          <w:rStyle w:val="FootnoteReference"/>
          <w:rFonts w:cs="Times New Roman"/>
          <w:color w:val="000000" w:themeColor="text1"/>
        </w:rPr>
        <w:footnoteReference w:id="179"/>
      </w:r>
      <w:bookmarkEnd w:id="124"/>
      <w:r w:rsidRPr="00196F93">
        <w:rPr>
          <w:rFonts w:cs="Times New Roman"/>
          <w:color w:val="000000" w:themeColor="text1"/>
        </w:rPr>
        <w:t xml:space="preserve">According to surveys the average U.S. issuer </w:t>
      </w:r>
      <w:r w:rsidR="00333504">
        <w:rPr>
          <w:rFonts w:cs="Times New Roman"/>
          <w:color w:val="000000" w:themeColor="text1"/>
        </w:rPr>
        <w:t xml:space="preserve">voluntarily </w:t>
      </w:r>
      <w:r w:rsidRPr="00196F93">
        <w:rPr>
          <w:rFonts w:cs="Times New Roman"/>
          <w:color w:val="000000" w:themeColor="text1"/>
        </w:rPr>
        <w:t>disclosing GHG emissions is spending</w:t>
      </w:r>
      <w:r w:rsidR="000A259F">
        <w:rPr>
          <w:rFonts w:cs="Times New Roman"/>
          <w:color w:val="000000" w:themeColor="text1"/>
        </w:rPr>
        <w:t xml:space="preserve"> “</w:t>
      </w:r>
      <w:r w:rsidRPr="00196F93">
        <w:rPr>
          <w:rFonts w:cs="Times New Roman"/>
          <w:color w:val="000000" w:themeColor="text1"/>
        </w:rPr>
        <w:t>$533,000 to $677,000 annually on climate-related disclosures</w:t>
      </w:r>
      <w:r w:rsidR="00275D49">
        <w:rPr>
          <w:rFonts w:cs="Times New Roman"/>
          <w:color w:val="000000" w:themeColor="text1"/>
        </w:rPr>
        <w:t>,</w:t>
      </w:r>
      <w:r w:rsidRPr="00196F93">
        <w:rPr>
          <w:rFonts w:cs="Times New Roman"/>
          <w:color w:val="000000" w:themeColor="text1"/>
        </w:rPr>
        <w:t>” while the SE</w:t>
      </w:r>
      <w:r w:rsidR="00333504">
        <w:rPr>
          <w:rFonts w:cs="Times New Roman"/>
          <w:color w:val="000000" w:themeColor="text1"/>
        </w:rPr>
        <w:t xml:space="preserve">C </w:t>
      </w:r>
      <w:r w:rsidRPr="00196F93">
        <w:rPr>
          <w:rFonts w:cs="Times New Roman"/>
          <w:color w:val="000000" w:themeColor="text1"/>
        </w:rPr>
        <w:t>estimate</w:t>
      </w:r>
      <w:r w:rsidR="00333504">
        <w:rPr>
          <w:rFonts w:cs="Times New Roman"/>
          <w:color w:val="000000" w:themeColor="text1"/>
        </w:rPr>
        <w:t>s “</w:t>
      </w:r>
      <w:r w:rsidRPr="00196F93">
        <w:rPr>
          <w:rFonts w:cs="Times New Roman"/>
          <w:color w:val="000000" w:themeColor="text1"/>
        </w:rPr>
        <w:t>the average firm will pay an additional $864,000 for the mandated disclosures”</w:t>
      </w:r>
      <w:r w:rsidR="00333504">
        <w:rPr>
          <w:rFonts w:cs="Times New Roman"/>
          <w:color w:val="000000" w:themeColor="text1"/>
        </w:rPr>
        <w:t xml:space="preserve">, </w:t>
      </w:r>
      <w:r w:rsidR="007B4C56">
        <w:rPr>
          <w:rFonts w:cs="Times New Roman"/>
          <w:color w:val="000000" w:themeColor="text1"/>
        </w:rPr>
        <w:t>as</w:t>
      </w:r>
      <w:r w:rsidR="00333504">
        <w:rPr>
          <w:rFonts w:cs="Times New Roman"/>
          <w:color w:val="000000" w:themeColor="text1"/>
        </w:rPr>
        <w:t xml:space="preserve"> </w:t>
      </w:r>
      <w:r w:rsidRPr="00196F93">
        <w:rPr>
          <w:rFonts w:cs="Times New Roman"/>
          <w:color w:val="000000" w:themeColor="text1"/>
        </w:rPr>
        <w:t xml:space="preserve">“institutional investors are spending an average of $1,372,000 annually to collect, analyze, and report </w:t>
      </w:r>
      <w:r w:rsidRPr="00333504">
        <w:rPr>
          <w:rFonts w:cs="Times New Roman"/>
          <w:color w:val="000000" w:themeColor="text1"/>
        </w:rPr>
        <w:t>climate data” today—figures that don’t include the initial costs of creating the compliance infrastructure or third party verification.</w:t>
      </w:r>
      <w:r w:rsidR="000A259F" w:rsidRPr="00333504">
        <w:rPr>
          <w:rStyle w:val="FootnoteReference"/>
          <w:rFonts w:cs="Times New Roman"/>
          <w:color w:val="000000" w:themeColor="text1"/>
        </w:rPr>
        <w:footnoteReference w:id="180"/>
      </w:r>
      <w:r w:rsidRPr="00333504">
        <w:rPr>
          <w:rFonts w:cs="Times New Roman"/>
          <w:color w:val="000000" w:themeColor="text1"/>
        </w:rPr>
        <w:t xml:space="preserve"> These compliance costs all burden profitability.</w:t>
      </w:r>
    </w:p>
    <w:p w14:paraId="6DFA8616" w14:textId="06A742AC" w:rsidR="00F404C7" w:rsidRPr="00B71A8C" w:rsidRDefault="001E231C" w:rsidP="00B71A8C">
      <w:pPr>
        <w:spacing w:line="480" w:lineRule="auto"/>
        <w:ind w:firstLine="720"/>
        <w:contextualSpacing/>
        <w:rPr>
          <w:rFonts w:cs="Times New Roman"/>
          <w:color w:val="000000" w:themeColor="text1"/>
        </w:rPr>
      </w:pPr>
      <w:r w:rsidRPr="00333504">
        <w:rPr>
          <w:rFonts w:cs="Times New Roman"/>
          <w:color w:val="000000" w:themeColor="text1"/>
        </w:rPr>
        <w:t>Given the immense cost and reliability issues around the discretion in estimation</w:t>
      </w:r>
      <w:r w:rsidR="007B4C56">
        <w:rPr>
          <w:rFonts w:cs="Times New Roman"/>
          <w:color w:val="000000" w:themeColor="text1"/>
        </w:rPr>
        <w:t>s</w:t>
      </w:r>
      <w:r w:rsidRPr="00333504">
        <w:rPr>
          <w:rFonts w:cs="Times New Roman"/>
          <w:color w:val="000000" w:themeColor="text1"/>
        </w:rPr>
        <w:t xml:space="preserve"> required for S3 accounting, the SEC choice may reflect a cost-benefit choice to delay the implementation of a costly mandate on companies until it is possible to produce reliable and decision-useful information for investors that </w:t>
      </w:r>
      <w:r w:rsidR="007B4C56">
        <w:rPr>
          <w:rFonts w:cs="Times New Roman"/>
          <w:color w:val="000000" w:themeColor="text1"/>
        </w:rPr>
        <w:t>justified</w:t>
      </w:r>
      <w:r w:rsidRPr="00333504">
        <w:rPr>
          <w:rFonts w:cs="Times New Roman"/>
          <w:color w:val="000000" w:themeColor="text1"/>
        </w:rPr>
        <w:t xml:space="preserve"> the </w:t>
      </w:r>
      <w:r w:rsidR="007B4C56">
        <w:rPr>
          <w:rFonts w:cs="Times New Roman"/>
          <w:color w:val="000000" w:themeColor="text1"/>
        </w:rPr>
        <w:t xml:space="preserve">financial </w:t>
      </w:r>
      <w:r w:rsidRPr="00333504">
        <w:rPr>
          <w:rFonts w:cs="Times New Roman"/>
          <w:color w:val="000000" w:themeColor="text1"/>
        </w:rPr>
        <w:t>costs.</w:t>
      </w:r>
      <w:r w:rsidR="00F404C7" w:rsidRPr="00B71A8C">
        <w:rPr>
          <w:rStyle w:val="FootnoteReference"/>
          <w:rFonts w:cs="Times New Roman"/>
          <w:color w:val="000000" w:themeColor="text1"/>
        </w:rPr>
        <w:footnoteReference w:id="181"/>
      </w:r>
      <w:r w:rsidRPr="00333504">
        <w:rPr>
          <w:rFonts w:cs="Times New Roman"/>
          <w:color w:val="000000" w:themeColor="text1"/>
        </w:rPr>
        <w:t xml:space="preserve"> Thus, the SEC could also be adopting a delayed wait and see approach to allow more time for methodological development of more reliable S3 accounting standards and data accessibility. </w:t>
      </w:r>
    </w:p>
    <w:p w14:paraId="2FE63D1E" w14:textId="62F5F286" w:rsidR="00826842" w:rsidRPr="00196F93" w:rsidRDefault="00826842" w:rsidP="00322BF1">
      <w:pPr>
        <w:pStyle w:val="Heading2"/>
      </w:pPr>
      <w:r w:rsidRPr="00196F93">
        <w:t xml:space="preserve">Implications for </w:t>
      </w:r>
      <w:r w:rsidR="000B3623" w:rsidRPr="00196F93">
        <w:t xml:space="preserve">Climate &amp; ESG Regulatory </w:t>
      </w:r>
      <w:r w:rsidRPr="00196F93">
        <w:t>Convergence</w:t>
      </w:r>
    </w:p>
    <w:p w14:paraId="0565B49C" w14:textId="0063487F" w:rsidR="00287C50" w:rsidRPr="00196F93" w:rsidRDefault="00826842" w:rsidP="00C807C8">
      <w:pPr>
        <w:pStyle w:val="Heading3"/>
        <w:numPr>
          <w:ilvl w:val="0"/>
          <w:numId w:val="8"/>
        </w:numPr>
        <w:spacing w:before="0"/>
        <w:contextualSpacing/>
      </w:pPr>
      <w:r w:rsidRPr="00196F93">
        <w:t>EU Leadership</w:t>
      </w:r>
      <w:r w:rsidR="0085765C" w:rsidRPr="00196F93">
        <w:t xml:space="preserve"> &amp; </w:t>
      </w:r>
      <w:r w:rsidR="00021BE0">
        <w:t>Potential “</w:t>
      </w:r>
      <w:r w:rsidR="0085765C" w:rsidRPr="00196F93">
        <w:t>California</w:t>
      </w:r>
      <w:r w:rsidR="00021BE0">
        <w:t xml:space="preserve"> Effect”?</w:t>
      </w:r>
    </w:p>
    <w:p w14:paraId="4AEB9A67" w14:textId="0FE1C3E5" w:rsidR="00021BE0" w:rsidRDefault="007B4C56" w:rsidP="00B71A8C">
      <w:pPr>
        <w:spacing w:line="480" w:lineRule="auto"/>
        <w:contextualSpacing/>
        <w:rPr>
          <w:rFonts w:cs="Times New Roman"/>
          <w:color w:val="000000" w:themeColor="text1"/>
        </w:rPr>
      </w:pPr>
      <w:bookmarkStart w:id="125" w:name="OLE_LINK113"/>
      <w:r>
        <w:rPr>
          <w:rFonts w:cs="Times New Roman"/>
          <w:color w:val="000000" w:themeColor="text1"/>
        </w:rPr>
        <w:tab/>
      </w:r>
      <w:r>
        <w:rPr>
          <w:rFonts w:cs="Times New Roman"/>
          <w:color w:val="000000" w:themeColor="text1"/>
        </w:rPr>
        <w:tab/>
      </w:r>
      <w:r w:rsidR="00021BE0">
        <w:rPr>
          <w:rFonts w:cs="Times New Roman"/>
          <w:color w:val="000000" w:themeColor="text1"/>
        </w:rPr>
        <w:t xml:space="preserve">Moving forward, </w:t>
      </w:r>
      <w:r w:rsidR="00333504" w:rsidRPr="00196F93">
        <w:rPr>
          <w:rFonts w:cs="Times New Roman"/>
          <w:color w:val="000000" w:themeColor="text1"/>
        </w:rPr>
        <w:t>the</w:t>
      </w:r>
      <w:r w:rsidR="00287C50" w:rsidRPr="00196F93">
        <w:rPr>
          <w:rFonts w:cs="Times New Roman"/>
          <w:color w:val="000000" w:themeColor="text1"/>
        </w:rPr>
        <w:t xml:space="preserve"> EU will likely continue </w:t>
      </w:r>
      <w:r>
        <w:rPr>
          <w:rFonts w:cs="Times New Roman"/>
          <w:color w:val="000000" w:themeColor="text1"/>
        </w:rPr>
        <w:t>leading</w:t>
      </w:r>
      <w:r w:rsidR="00287C50" w:rsidRPr="00196F93">
        <w:rPr>
          <w:rFonts w:cs="Times New Roman"/>
          <w:color w:val="000000" w:themeColor="text1"/>
        </w:rPr>
        <w:t xml:space="preserve"> with </w:t>
      </w:r>
      <w:r w:rsidR="00224612">
        <w:rPr>
          <w:rFonts w:cs="Times New Roman"/>
          <w:color w:val="000000" w:themeColor="text1"/>
        </w:rPr>
        <w:t>more ambitious</w:t>
      </w:r>
      <w:r w:rsidR="00287C50" w:rsidRPr="00196F93">
        <w:rPr>
          <w:rFonts w:cs="Times New Roman"/>
          <w:color w:val="000000" w:themeColor="text1"/>
        </w:rPr>
        <w:t xml:space="preserve"> ES</w:t>
      </w:r>
      <w:r w:rsidR="00224612">
        <w:rPr>
          <w:rFonts w:cs="Times New Roman"/>
          <w:color w:val="000000" w:themeColor="text1"/>
        </w:rPr>
        <w:t xml:space="preserve">G </w:t>
      </w:r>
      <w:r w:rsidR="00287C50" w:rsidRPr="00196F93">
        <w:rPr>
          <w:rFonts w:cs="Times New Roman"/>
          <w:color w:val="000000" w:themeColor="text1"/>
        </w:rPr>
        <w:t xml:space="preserve">goals </w:t>
      </w:r>
      <w:r w:rsidR="00333504">
        <w:rPr>
          <w:rFonts w:cs="Times New Roman"/>
          <w:color w:val="000000" w:themeColor="text1"/>
        </w:rPr>
        <w:t xml:space="preserve">through </w:t>
      </w:r>
      <w:r w:rsidR="00224612">
        <w:rPr>
          <w:rFonts w:cs="Times New Roman"/>
          <w:color w:val="000000" w:themeColor="text1"/>
        </w:rPr>
        <w:t xml:space="preserve">its broader regulatory mandate and more expansive </w:t>
      </w:r>
      <w:r w:rsidR="00287C50" w:rsidRPr="00196F93">
        <w:rPr>
          <w:rFonts w:cs="Times New Roman"/>
          <w:color w:val="000000" w:themeColor="text1"/>
        </w:rPr>
        <w:t xml:space="preserve">double materiality standard. </w:t>
      </w:r>
      <w:r w:rsidR="003C5AB0">
        <w:rPr>
          <w:rFonts w:cs="Times New Roman"/>
          <w:color w:val="000000" w:themeColor="text1"/>
        </w:rPr>
        <w:t xml:space="preserve"> </w:t>
      </w:r>
      <w:r w:rsidRPr="00196F93">
        <w:rPr>
          <w:rFonts w:cs="Times New Roman"/>
          <w:color w:val="000000" w:themeColor="text1"/>
        </w:rPr>
        <w:t>California’s approach will reflect the state’s environmental and social policy prioriti</w:t>
      </w:r>
      <w:r>
        <w:rPr>
          <w:rFonts w:cs="Times New Roman"/>
          <w:color w:val="000000" w:themeColor="text1"/>
        </w:rPr>
        <w:t xml:space="preserve">es. </w:t>
      </w:r>
      <w:r w:rsidR="00287C50" w:rsidRPr="00196F93">
        <w:rPr>
          <w:rFonts w:cs="Times New Roman"/>
          <w:color w:val="000000" w:themeColor="text1"/>
        </w:rPr>
        <w:t xml:space="preserve">The SEC, however, will be bounded by financial materiality </w:t>
      </w:r>
      <w:r>
        <w:rPr>
          <w:rFonts w:cs="Times New Roman"/>
          <w:color w:val="000000" w:themeColor="text1"/>
        </w:rPr>
        <w:t>and</w:t>
      </w:r>
      <w:r w:rsidRPr="00196F93">
        <w:rPr>
          <w:rFonts w:cs="Times New Roman"/>
          <w:color w:val="000000" w:themeColor="text1"/>
        </w:rPr>
        <w:t xml:space="preserve"> </w:t>
      </w:r>
      <w:r w:rsidR="00287C50" w:rsidRPr="00196F93">
        <w:rPr>
          <w:rFonts w:cs="Times New Roman"/>
          <w:color w:val="000000" w:themeColor="text1"/>
        </w:rPr>
        <w:t xml:space="preserve">a narrower mandate </w:t>
      </w:r>
      <w:r w:rsidR="00224612">
        <w:rPr>
          <w:rFonts w:cs="Times New Roman"/>
          <w:color w:val="000000" w:themeColor="text1"/>
        </w:rPr>
        <w:t>geared towards</w:t>
      </w:r>
      <w:r w:rsidR="00252BC7">
        <w:rPr>
          <w:rFonts w:cs="Times New Roman"/>
          <w:color w:val="000000" w:themeColor="text1"/>
        </w:rPr>
        <w:t xml:space="preserve"> </w:t>
      </w:r>
      <w:r>
        <w:rPr>
          <w:rFonts w:cs="Times New Roman"/>
          <w:color w:val="000000" w:themeColor="text1"/>
        </w:rPr>
        <w:t xml:space="preserve">public </w:t>
      </w:r>
      <w:r w:rsidR="00252BC7">
        <w:rPr>
          <w:rFonts w:cs="Times New Roman"/>
          <w:color w:val="000000" w:themeColor="text1"/>
        </w:rPr>
        <w:t>investors</w:t>
      </w:r>
      <w:r w:rsidR="00287C50" w:rsidRPr="00196F93">
        <w:rPr>
          <w:rFonts w:cs="Times New Roman"/>
          <w:color w:val="000000" w:themeColor="text1"/>
        </w:rPr>
        <w:t>.</w:t>
      </w:r>
      <w:r w:rsidR="00252BC7">
        <w:rPr>
          <w:rFonts w:cs="Times New Roman"/>
          <w:color w:val="000000" w:themeColor="text1"/>
        </w:rPr>
        <w:t xml:space="preserve"> </w:t>
      </w:r>
      <w:r w:rsidR="006F4B55">
        <w:rPr>
          <w:rFonts w:cs="Times New Roman"/>
          <w:color w:val="000000" w:themeColor="text1"/>
        </w:rPr>
        <w:t>It must be noted, however, there is some growing backlash in the EU to the costs imposed by ESG regulations and “</w:t>
      </w:r>
      <w:r w:rsidR="006F4B55" w:rsidRPr="003C5AB0">
        <w:rPr>
          <w:rFonts w:cs="Times New Roman"/>
          <w:color w:val="000000" w:themeColor="text1"/>
        </w:rPr>
        <w:t>complaints that excessive regulations are gutting industry competitiveness</w:t>
      </w:r>
      <w:r w:rsidR="006F4B55">
        <w:rPr>
          <w:rFonts w:cs="Times New Roman"/>
          <w:color w:val="000000" w:themeColor="text1"/>
        </w:rPr>
        <w:t>.”</w:t>
      </w:r>
      <w:r w:rsidR="006F4B55">
        <w:rPr>
          <w:rStyle w:val="FootnoteReference"/>
          <w:rFonts w:cs="Times New Roman"/>
          <w:color w:val="000000" w:themeColor="text1"/>
        </w:rPr>
        <w:footnoteReference w:id="182"/>
      </w:r>
      <w:r w:rsidR="006F4B55">
        <w:rPr>
          <w:rFonts w:cs="Times New Roman"/>
          <w:color w:val="000000" w:themeColor="text1"/>
        </w:rPr>
        <w:t xml:space="preserve"> It remains to be seen whether this will lead to some deregulation, or rather mere streamlining and simplifying of requirements to enhance competitiveness.</w:t>
      </w:r>
      <w:r w:rsidR="006F4B55">
        <w:rPr>
          <w:rStyle w:val="FootnoteReference"/>
          <w:rFonts w:cs="Times New Roman"/>
          <w:color w:val="000000" w:themeColor="text1"/>
        </w:rPr>
        <w:footnoteReference w:id="183"/>
      </w:r>
    </w:p>
    <w:p w14:paraId="4EBDA2E6" w14:textId="204D3505" w:rsidR="00021BE0" w:rsidRPr="00196F93" w:rsidRDefault="00021BE0" w:rsidP="00B71A8C">
      <w:pPr>
        <w:spacing w:line="480" w:lineRule="auto"/>
        <w:ind w:firstLine="1080"/>
        <w:contextualSpacing/>
        <w:rPr>
          <w:rFonts w:cs="Times New Roman"/>
          <w:color w:val="000000" w:themeColor="text1"/>
        </w:rPr>
      </w:pPr>
      <w:r>
        <w:rPr>
          <w:rFonts w:cs="Times New Roman"/>
          <w:color w:val="000000" w:themeColor="text1"/>
        </w:rPr>
        <w:t xml:space="preserve">California’s state-led innovation could </w:t>
      </w:r>
      <w:r w:rsidR="007B4C56">
        <w:rPr>
          <w:rFonts w:cs="Times New Roman"/>
          <w:color w:val="000000" w:themeColor="text1"/>
        </w:rPr>
        <w:t xml:space="preserve">also </w:t>
      </w:r>
      <w:r>
        <w:rPr>
          <w:rFonts w:cs="Times New Roman"/>
          <w:color w:val="000000" w:themeColor="text1"/>
        </w:rPr>
        <w:t>have the impact of a “California Effect”—as the “Brussels Effect” has described EU regulatory leadership on data privacy, environmental, and other matters having a massive impact shaping the global business environment given the influential role the EU in the global economy.</w:t>
      </w:r>
      <w:r>
        <w:rPr>
          <w:rStyle w:val="FootnoteReference"/>
          <w:rFonts w:cs="Times New Roman"/>
          <w:color w:val="000000" w:themeColor="text1"/>
        </w:rPr>
        <w:footnoteReference w:id="184"/>
      </w:r>
      <w:r>
        <w:rPr>
          <w:rFonts w:cs="Times New Roman"/>
          <w:color w:val="000000" w:themeColor="text1"/>
        </w:rPr>
        <w:t xml:space="preserve"> As multinational corporations operating in the EU had to comply with Global Data Protection Regulations (GDPR), and now with CSRD and SFDR requirements, they ended up applying EU rules across the entirety of their global operations to avoid the costs of adjusting their operations and certain disclosures to multiple regulatory regimes.</w:t>
      </w:r>
      <w:r>
        <w:rPr>
          <w:rStyle w:val="FootnoteReference"/>
          <w:rFonts w:cs="Times New Roman"/>
          <w:color w:val="000000" w:themeColor="text1"/>
        </w:rPr>
        <w:footnoteReference w:id="185"/>
      </w:r>
      <w:r>
        <w:rPr>
          <w:rFonts w:cs="Times New Roman"/>
          <w:color w:val="000000" w:themeColor="text1"/>
        </w:rPr>
        <w:t xml:space="preserve"> As enterprises doing business in California may find themselves subject to extensive S3 reporting requirements across their global supply chain, many businesses may find themselves also applying some of the rules across their global operations. California’s leadership could also serve as a model for other states to follow suit with their own laws in the absence of a comprehensive overarching climate reporting regime—if state regulatory authority within this arena is upheld. </w:t>
      </w:r>
    </w:p>
    <w:bookmarkEnd w:id="125"/>
    <w:p w14:paraId="5B005C31" w14:textId="302A7669" w:rsidR="00287C50" w:rsidRPr="001110EE" w:rsidRDefault="00287C50" w:rsidP="00B71A8C">
      <w:pPr>
        <w:spacing w:line="480" w:lineRule="auto"/>
        <w:ind w:left="0"/>
        <w:contextualSpacing/>
        <w:rPr>
          <w:rFonts w:cs="Times New Roman"/>
          <w:color w:val="000000" w:themeColor="text1"/>
          <w:sz w:val="2"/>
          <w:szCs w:val="2"/>
        </w:rPr>
      </w:pPr>
    </w:p>
    <w:p w14:paraId="755F181E" w14:textId="5719E3EA" w:rsidR="00412486" w:rsidRPr="00196F93" w:rsidRDefault="00412486" w:rsidP="00B71A8C">
      <w:pPr>
        <w:pStyle w:val="Heading3"/>
        <w:spacing w:before="0"/>
        <w:contextualSpacing/>
      </w:pPr>
      <w:r w:rsidRPr="00196F93">
        <w:t xml:space="preserve">Litigation Uncertainty </w:t>
      </w:r>
      <w:r w:rsidR="002C087B">
        <w:t>W</w:t>
      </w:r>
      <w:r w:rsidR="002C087B" w:rsidRPr="00196F93">
        <w:t xml:space="preserve">ill </w:t>
      </w:r>
      <w:r w:rsidR="002C087B">
        <w:t>D</w:t>
      </w:r>
      <w:r w:rsidR="002C087B" w:rsidRPr="00196F93">
        <w:t xml:space="preserve">efine </w:t>
      </w:r>
      <w:r w:rsidRPr="00196F93">
        <w:t xml:space="preserve">Legal Authority/Mandate </w:t>
      </w:r>
    </w:p>
    <w:p w14:paraId="5E86D325" w14:textId="57B5D01A" w:rsidR="00412486" w:rsidRPr="001110EE" w:rsidRDefault="00412486" w:rsidP="00B71A8C">
      <w:pPr>
        <w:spacing w:line="480" w:lineRule="auto"/>
        <w:ind w:firstLine="1080"/>
        <w:contextualSpacing/>
      </w:pPr>
      <w:r w:rsidRPr="00196F93">
        <w:rPr>
          <w:rFonts w:cs="Times New Roman"/>
          <w:color w:val="000000" w:themeColor="text1"/>
        </w:rPr>
        <w:t xml:space="preserve">The scope of legal </w:t>
      </w:r>
      <w:r w:rsidRPr="008F2C6E">
        <w:rPr>
          <w:rFonts w:cs="Times New Roman"/>
          <w:color w:val="000000" w:themeColor="text1"/>
        </w:rPr>
        <w:t xml:space="preserve">authority will ultimately depend on how the litigation against the </w:t>
      </w:r>
      <w:r w:rsidR="00A02C3B" w:rsidRPr="00B71A8C">
        <w:rPr>
          <w:rFonts w:cs="Times New Roman"/>
          <w:color w:val="000000" w:themeColor="text1"/>
        </w:rPr>
        <w:t>CA Climate</w:t>
      </w:r>
      <w:r w:rsidR="00A02C3B" w:rsidRPr="008F2C6E">
        <w:rPr>
          <w:rFonts w:cs="Times New Roman"/>
          <w:color w:val="000000" w:themeColor="text1"/>
        </w:rPr>
        <w:t xml:space="preserve"> </w:t>
      </w:r>
      <w:r w:rsidRPr="008F2C6E">
        <w:rPr>
          <w:rFonts w:cs="Times New Roman"/>
          <w:color w:val="000000" w:themeColor="text1"/>
        </w:rPr>
        <w:t>Law</w:t>
      </w:r>
      <w:r w:rsidR="00107F00" w:rsidRPr="00B71A8C">
        <w:rPr>
          <w:rFonts w:cs="Times New Roman"/>
          <w:color w:val="000000" w:themeColor="text1"/>
        </w:rPr>
        <w:t>s</w:t>
      </w:r>
      <w:r w:rsidRPr="008F2C6E">
        <w:rPr>
          <w:rFonts w:cs="Times New Roman"/>
          <w:color w:val="000000" w:themeColor="text1"/>
        </w:rPr>
        <w:t xml:space="preserve"> and SEC Climate </w:t>
      </w:r>
      <w:r w:rsidR="000A259F" w:rsidRPr="008F2C6E">
        <w:rPr>
          <w:rFonts w:cs="Times New Roman"/>
          <w:color w:val="000000" w:themeColor="text1"/>
        </w:rPr>
        <w:t>R</w:t>
      </w:r>
      <w:r w:rsidRPr="008F2C6E">
        <w:rPr>
          <w:rFonts w:cs="Times New Roman"/>
          <w:color w:val="000000" w:themeColor="text1"/>
        </w:rPr>
        <w:t xml:space="preserve">ule pans out. In the most drastic outcome, the courts may find the SEC does not have regulatory authority to mandate </w:t>
      </w:r>
      <w:r w:rsidR="00A01AFD">
        <w:rPr>
          <w:rFonts w:cs="Times New Roman"/>
          <w:color w:val="000000" w:themeColor="text1"/>
        </w:rPr>
        <w:t xml:space="preserve">emissions </w:t>
      </w:r>
      <w:r w:rsidRPr="008F2C6E">
        <w:rPr>
          <w:rFonts w:cs="Times New Roman"/>
          <w:color w:val="000000" w:themeColor="text1"/>
        </w:rPr>
        <w:t>disclosure</w:t>
      </w:r>
      <w:r w:rsidR="00A01AFD">
        <w:rPr>
          <w:rFonts w:cs="Times New Roman"/>
          <w:color w:val="000000" w:themeColor="text1"/>
        </w:rPr>
        <w:t>s</w:t>
      </w:r>
      <w:r w:rsidRPr="008F2C6E">
        <w:rPr>
          <w:rFonts w:cs="Times New Roman"/>
          <w:color w:val="000000" w:themeColor="text1"/>
        </w:rPr>
        <w:t xml:space="preserve">, and California lacks the state </w:t>
      </w:r>
      <w:r w:rsidR="00A01AFD">
        <w:rPr>
          <w:rFonts w:cs="Times New Roman"/>
          <w:color w:val="000000" w:themeColor="text1"/>
        </w:rPr>
        <w:t>authority</w:t>
      </w:r>
      <w:r w:rsidR="00A01AFD" w:rsidRPr="008F2C6E">
        <w:rPr>
          <w:rFonts w:cs="Times New Roman"/>
          <w:color w:val="000000" w:themeColor="text1"/>
        </w:rPr>
        <w:t xml:space="preserve"> </w:t>
      </w:r>
      <w:r w:rsidRPr="008F2C6E">
        <w:rPr>
          <w:rFonts w:cs="Times New Roman"/>
          <w:color w:val="000000" w:themeColor="text1"/>
        </w:rPr>
        <w:t xml:space="preserve">for such far reaching legislation. </w:t>
      </w:r>
      <w:r w:rsidR="00A94F0D">
        <w:rPr>
          <w:rFonts w:cs="Times New Roman"/>
          <w:color w:val="000000" w:themeColor="text1"/>
        </w:rPr>
        <w:t xml:space="preserve">This would perhaps </w:t>
      </w:r>
      <w:r w:rsidRPr="00196F93">
        <w:rPr>
          <w:rFonts w:cs="Times New Roman"/>
          <w:color w:val="000000" w:themeColor="text1"/>
        </w:rPr>
        <w:t>reflect a</w:t>
      </w:r>
      <w:r w:rsidR="00A94F0D">
        <w:rPr>
          <w:rFonts w:cs="Times New Roman"/>
          <w:color w:val="000000" w:themeColor="text1"/>
        </w:rPr>
        <w:t xml:space="preserve"> broader </w:t>
      </w:r>
      <w:r w:rsidRPr="00196F93">
        <w:rPr>
          <w:rFonts w:cs="Times New Roman"/>
          <w:color w:val="000000" w:themeColor="text1"/>
        </w:rPr>
        <w:t>institutional preference to not use financial market regulators or state authorities as the vehicle for climate and social reporting</w:t>
      </w:r>
      <w:r w:rsidR="00446D4A">
        <w:rPr>
          <w:rFonts w:cs="Times New Roman"/>
          <w:color w:val="000000" w:themeColor="text1"/>
        </w:rPr>
        <w:t xml:space="preserve">. </w:t>
      </w:r>
      <w:r w:rsidR="00A94F0D">
        <w:rPr>
          <w:rFonts w:cs="Times New Roman"/>
          <w:color w:val="000000" w:themeColor="text1"/>
        </w:rPr>
        <w:t>In this case</w:t>
      </w:r>
      <w:r w:rsidRPr="00196F93">
        <w:rPr>
          <w:rFonts w:cs="Times New Roman"/>
          <w:color w:val="000000" w:themeColor="text1"/>
        </w:rPr>
        <w:t xml:space="preserve"> requirement</w:t>
      </w:r>
      <w:r w:rsidR="00A94F0D">
        <w:rPr>
          <w:rFonts w:cs="Times New Roman"/>
          <w:color w:val="000000" w:themeColor="text1"/>
        </w:rPr>
        <w:t>s</w:t>
      </w:r>
      <w:r w:rsidRPr="00196F93">
        <w:rPr>
          <w:rFonts w:cs="Times New Roman"/>
          <w:color w:val="000000" w:themeColor="text1"/>
        </w:rPr>
        <w:t xml:space="preserve"> </w:t>
      </w:r>
      <w:r w:rsidR="00A94F0D">
        <w:rPr>
          <w:rFonts w:cs="Times New Roman"/>
          <w:color w:val="000000" w:themeColor="text1"/>
        </w:rPr>
        <w:t>may instead</w:t>
      </w:r>
      <w:r w:rsidR="00A94F0D" w:rsidRPr="00196F93">
        <w:rPr>
          <w:rFonts w:cs="Times New Roman"/>
          <w:color w:val="000000" w:themeColor="text1"/>
        </w:rPr>
        <w:t xml:space="preserve"> </w:t>
      </w:r>
      <w:r w:rsidRPr="00196F93">
        <w:rPr>
          <w:rFonts w:cs="Times New Roman"/>
          <w:color w:val="000000" w:themeColor="text1"/>
        </w:rPr>
        <w:t xml:space="preserve">come out of </w:t>
      </w:r>
      <w:r w:rsidR="00A94F0D">
        <w:rPr>
          <w:rFonts w:cs="Times New Roman"/>
          <w:color w:val="000000" w:themeColor="text1"/>
        </w:rPr>
        <w:t xml:space="preserve">the </w:t>
      </w:r>
      <w:r w:rsidRPr="00196F93">
        <w:rPr>
          <w:rFonts w:cs="Times New Roman"/>
          <w:color w:val="000000" w:themeColor="text1"/>
        </w:rPr>
        <w:t>EPA</w:t>
      </w:r>
      <w:r w:rsidR="00107F00">
        <w:rPr>
          <w:rFonts w:cs="Times New Roman"/>
          <w:color w:val="000000" w:themeColor="text1"/>
        </w:rPr>
        <w:t xml:space="preserve">, </w:t>
      </w:r>
      <w:r w:rsidRPr="00196F93">
        <w:rPr>
          <w:rFonts w:cs="Times New Roman"/>
          <w:color w:val="000000" w:themeColor="text1"/>
        </w:rPr>
        <w:t>if not CARB</w:t>
      </w:r>
      <w:r w:rsidR="00107F00">
        <w:rPr>
          <w:rFonts w:cs="Times New Roman"/>
          <w:color w:val="000000" w:themeColor="text1"/>
        </w:rPr>
        <w:t xml:space="preserve"> or the </w:t>
      </w:r>
      <w:r w:rsidRPr="00196F93">
        <w:rPr>
          <w:rFonts w:cs="Times New Roman"/>
          <w:color w:val="000000" w:themeColor="text1"/>
        </w:rPr>
        <w:t xml:space="preserve">SEC, or through other federal </w:t>
      </w:r>
      <w:r w:rsidR="00A94F0D">
        <w:rPr>
          <w:rFonts w:cs="Times New Roman"/>
          <w:color w:val="000000" w:themeColor="text1"/>
        </w:rPr>
        <w:t>authority</w:t>
      </w:r>
      <w:r w:rsidRPr="00196F93">
        <w:rPr>
          <w:rFonts w:cs="Times New Roman"/>
          <w:color w:val="000000" w:themeColor="text1"/>
        </w:rPr>
        <w:t xml:space="preserve">. However, </w:t>
      </w:r>
      <w:r w:rsidR="00446D4A">
        <w:rPr>
          <w:rFonts w:cs="Times New Roman"/>
          <w:color w:val="000000" w:themeColor="text1"/>
        </w:rPr>
        <w:t xml:space="preserve">it </w:t>
      </w:r>
      <w:r w:rsidR="00107F00">
        <w:rPr>
          <w:rFonts w:cs="Times New Roman"/>
          <w:color w:val="000000" w:themeColor="text1"/>
        </w:rPr>
        <w:t xml:space="preserve">appears unlikely </w:t>
      </w:r>
      <w:r w:rsidR="00A94F0D">
        <w:rPr>
          <w:rFonts w:cs="Times New Roman"/>
          <w:color w:val="000000" w:themeColor="text1"/>
        </w:rPr>
        <w:t xml:space="preserve">we will see legislation mirroring the EC </w:t>
      </w:r>
      <w:r w:rsidR="00107F00">
        <w:rPr>
          <w:rFonts w:cs="Times New Roman"/>
          <w:color w:val="000000" w:themeColor="text1"/>
        </w:rPr>
        <w:t xml:space="preserve">in </w:t>
      </w:r>
      <w:r w:rsidR="00446D4A">
        <w:rPr>
          <w:rFonts w:cs="Times New Roman"/>
          <w:color w:val="000000" w:themeColor="text1"/>
        </w:rPr>
        <w:t>coming</w:t>
      </w:r>
      <w:r w:rsidR="00107F00">
        <w:rPr>
          <w:rFonts w:cs="Times New Roman"/>
          <w:color w:val="000000" w:themeColor="text1"/>
        </w:rPr>
        <w:t xml:space="preserve"> years </w:t>
      </w:r>
      <w:r w:rsidR="00A94F0D">
        <w:rPr>
          <w:rFonts w:cs="Times New Roman"/>
          <w:color w:val="000000" w:themeColor="text1"/>
        </w:rPr>
        <w:t>given</w:t>
      </w:r>
      <w:r w:rsidR="00107F00">
        <w:rPr>
          <w:rFonts w:cs="Times New Roman"/>
          <w:color w:val="000000" w:themeColor="text1"/>
        </w:rPr>
        <w:t xml:space="preserve"> the </w:t>
      </w:r>
      <w:r w:rsidR="00A01AFD">
        <w:rPr>
          <w:rFonts w:cs="Times New Roman"/>
          <w:color w:val="000000" w:themeColor="text1"/>
        </w:rPr>
        <w:t>current congressional mix</w:t>
      </w:r>
      <w:r w:rsidR="00A94F0D">
        <w:rPr>
          <w:rFonts w:cs="Times New Roman"/>
          <w:color w:val="000000" w:themeColor="text1"/>
        </w:rPr>
        <w:t xml:space="preserve"> and Trump administration</w:t>
      </w:r>
      <w:r w:rsidR="00107F00">
        <w:rPr>
          <w:rFonts w:cs="Times New Roman"/>
          <w:color w:val="000000" w:themeColor="text1"/>
        </w:rPr>
        <w:t>.</w:t>
      </w:r>
      <w:r w:rsidR="00107F00">
        <w:rPr>
          <w:rStyle w:val="FootnoteReference"/>
          <w:rFonts w:cs="Times New Roman"/>
          <w:color w:val="000000" w:themeColor="text1"/>
        </w:rPr>
        <w:footnoteReference w:id="186"/>
      </w:r>
    </w:p>
    <w:p w14:paraId="5BB6CB0F" w14:textId="48887A61" w:rsidR="00826842" w:rsidRPr="00196F93" w:rsidRDefault="00287C50" w:rsidP="00C807C8">
      <w:pPr>
        <w:pStyle w:val="Heading3"/>
        <w:numPr>
          <w:ilvl w:val="0"/>
          <w:numId w:val="8"/>
        </w:numPr>
        <w:spacing w:before="0"/>
        <w:contextualSpacing/>
      </w:pPr>
      <w:r w:rsidRPr="00196F93">
        <w:t>Evolving Financial Materiality</w:t>
      </w:r>
      <w:r w:rsidR="000804B0">
        <w:t xml:space="preserve"> &amp; Market Efficiency will drive SEC Regulations</w:t>
      </w:r>
    </w:p>
    <w:p w14:paraId="49B9E25A" w14:textId="7DA87DF3" w:rsidR="000835B6" w:rsidRPr="00196F93" w:rsidRDefault="00246A82" w:rsidP="00B71A8C">
      <w:pPr>
        <w:spacing w:line="480" w:lineRule="auto"/>
        <w:ind w:firstLine="1080"/>
        <w:contextualSpacing/>
        <w:rPr>
          <w:rFonts w:cs="Times New Roman"/>
          <w:color w:val="000000" w:themeColor="text1"/>
        </w:rPr>
      </w:pPr>
      <w:r>
        <w:rPr>
          <w:rFonts w:cs="Times New Roman"/>
          <w:color w:val="000000" w:themeColor="text1"/>
        </w:rPr>
        <w:t>This analysis implies</w:t>
      </w:r>
      <w:r w:rsidRPr="00196F93">
        <w:rPr>
          <w:rFonts w:cs="Times New Roman"/>
          <w:color w:val="000000" w:themeColor="text1"/>
        </w:rPr>
        <w:t xml:space="preserve"> </w:t>
      </w:r>
      <w:r w:rsidR="008E6DCE">
        <w:rPr>
          <w:rFonts w:cs="Times New Roman"/>
          <w:color w:val="000000" w:themeColor="text1"/>
        </w:rPr>
        <w:t>we will</w:t>
      </w:r>
      <w:r w:rsidR="008E6DCE" w:rsidRPr="00196F93">
        <w:rPr>
          <w:rFonts w:cs="Times New Roman"/>
          <w:color w:val="000000" w:themeColor="text1"/>
        </w:rPr>
        <w:t xml:space="preserve"> </w:t>
      </w:r>
      <w:r w:rsidR="001E231C" w:rsidRPr="00196F93">
        <w:rPr>
          <w:rFonts w:cs="Times New Roman"/>
          <w:color w:val="000000" w:themeColor="text1"/>
        </w:rPr>
        <w:t xml:space="preserve">likely observe some convergence, </w:t>
      </w:r>
      <w:r w:rsidR="000804B0">
        <w:rPr>
          <w:rFonts w:cs="Times New Roman"/>
          <w:color w:val="000000" w:themeColor="text1"/>
        </w:rPr>
        <w:t>specifically</w:t>
      </w:r>
      <w:r w:rsidR="001E231C" w:rsidRPr="00196F93">
        <w:rPr>
          <w:rFonts w:cs="Times New Roman"/>
          <w:color w:val="000000" w:themeColor="text1"/>
        </w:rPr>
        <w:t xml:space="preserve"> on S3 disclosures, however, the </w:t>
      </w:r>
      <w:r w:rsidR="000804B0">
        <w:rPr>
          <w:rFonts w:cs="Times New Roman"/>
          <w:color w:val="000000" w:themeColor="text1"/>
        </w:rPr>
        <w:t>distinct</w:t>
      </w:r>
      <w:r w:rsidR="001E231C" w:rsidRPr="00196F93">
        <w:rPr>
          <w:rFonts w:cs="Times New Roman"/>
          <w:color w:val="000000" w:themeColor="text1"/>
        </w:rPr>
        <w:t xml:space="preserve"> regulatory mandates and materiality </w:t>
      </w:r>
      <w:r w:rsidR="000804B0">
        <w:rPr>
          <w:rFonts w:cs="Times New Roman"/>
          <w:color w:val="000000" w:themeColor="text1"/>
        </w:rPr>
        <w:t>frameworks</w:t>
      </w:r>
      <w:r w:rsidR="001E231C" w:rsidRPr="00196F93">
        <w:rPr>
          <w:rFonts w:cs="Times New Roman"/>
          <w:color w:val="000000" w:themeColor="text1"/>
        </w:rPr>
        <w:t xml:space="preserve"> between California, the EU, and the U</w:t>
      </w:r>
      <w:r w:rsidR="00107F00">
        <w:rPr>
          <w:rFonts w:cs="Times New Roman"/>
          <w:color w:val="000000" w:themeColor="text1"/>
        </w:rPr>
        <w:t>.</w:t>
      </w:r>
      <w:r w:rsidR="001E231C" w:rsidRPr="00196F93">
        <w:rPr>
          <w:rFonts w:cs="Times New Roman"/>
          <w:color w:val="000000" w:themeColor="text1"/>
        </w:rPr>
        <w:t>S</w:t>
      </w:r>
      <w:r w:rsidR="00107F00">
        <w:rPr>
          <w:rFonts w:cs="Times New Roman"/>
          <w:color w:val="000000" w:themeColor="text1"/>
        </w:rPr>
        <w:t>. SEC</w:t>
      </w:r>
      <w:r w:rsidR="001E231C" w:rsidRPr="00196F93">
        <w:rPr>
          <w:rFonts w:cs="Times New Roman"/>
          <w:color w:val="000000" w:themeColor="text1"/>
        </w:rPr>
        <w:t xml:space="preserve"> will influence the speed and shape of th</w:t>
      </w:r>
      <w:r w:rsidR="00A94F0D">
        <w:rPr>
          <w:rFonts w:cs="Times New Roman"/>
          <w:color w:val="000000" w:themeColor="text1"/>
        </w:rPr>
        <w:t>e broader disclosure</w:t>
      </w:r>
      <w:r w:rsidR="001E231C" w:rsidRPr="00196F93">
        <w:rPr>
          <w:rFonts w:cs="Times New Roman"/>
          <w:color w:val="000000" w:themeColor="text1"/>
        </w:rPr>
        <w:t xml:space="preserve"> trajectory.</w:t>
      </w:r>
      <w:r w:rsidR="00D13C52" w:rsidRPr="00196F93">
        <w:rPr>
          <w:rFonts w:cs="Times New Roman"/>
          <w:color w:val="000000" w:themeColor="text1"/>
        </w:rPr>
        <w:t xml:space="preserve"> </w:t>
      </w:r>
      <w:r w:rsidR="001E231C" w:rsidRPr="00196F93">
        <w:rPr>
          <w:rFonts w:cs="Times New Roman"/>
          <w:color w:val="000000" w:themeColor="text1"/>
        </w:rPr>
        <w:t>The SEC approach</w:t>
      </w:r>
      <w:r w:rsidR="000835B6" w:rsidRPr="00196F93">
        <w:rPr>
          <w:rFonts w:cs="Times New Roman"/>
          <w:color w:val="000000" w:themeColor="text1"/>
        </w:rPr>
        <w:t xml:space="preserve"> </w:t>
      </w:r>
      <w:r w:rsidR="001E231C" w:rsidRPr="00196F93">
        <w:rPr>
          <w:rFonts w:cs="Times New Roman"/>
          <w:color w:val="000000" w:themeColor="text1"/>
        </w:rPr>
        <w:t xml:space="preserve">will </w:t>
      </w:r>
      <w:r w:rsidR="000835B6" w:rsidRPr="00196F93">
        <w:rPr>
          <w:rFonts w:cs="Times New Roman"/>
          <w:color w:val="000000" w:themeColor="text1"/>
        </w:rPr>
        <w:t>continue to be</w:t>
      </w:r>
      <w:r w:rsidR="001E231C" w:rsidRPr="00196F93">
        <w:rPr>
          <w:rFonts w:cs="Times New Roman"/>
          <w:color w:val="000000" w:themeColor="text1"/>
        </w:rPr>
        <w:t xml:space="preserve"> driven by financial materiality and investor protection</w:t>
      </w:r>
      <w:r w:rsidR="00A94F0D">
        <w:rPr>
          <w:rFonts w:cs="Times New Roman"/>
          <w:color w:val="000000" w:themeColor="text1"/>
        </w:rPr>
        <w:t xml:space="preserve"> as it</w:t>
      </w:r>
      <w:r w:rsidR="001E231C" w:rsidRPr="00196F93">
        <w:rPr>
          <w:rFonts w:cs="Times New Roman"/>
          <w:color w:val="000000" w:themeColor="text1"/>
        </w:rPr>
        <w:t xml:space="preserve"> has taken a probabilistic approach to climate risk disclosures that are likely financially material to the “reasonable investor”.</w:t>
      </w:r>
      <w:r w:rsidR="000A259F">
        <w:rPr>
          <w:rStyle w:val="FootnoteReference"/>
          <w:rFonts w:cs="Times New Roman"/>
          <w:color w:val="000000" w:themeColor="text1"/>
        </w:rPr>
        <w:footnoteReference w:id="187"/>
      </w:r>
      <w:r w:rsidR="001E231C" w:rsidRPr="00196F93">
        <w:rPr>
          <w:rFonts w:cs="Times New Roman"/>
          <w:color w:val="000000" w:themeColor="text1"/>
        </w:rPr>
        <w:t xml:space="preserve"> </w:t>
      </w:r>
      <w:r w:rsidR="000835B6" w:rsidRPr="00196F93">
        <w:rPr>
          <w:rFonts w:cs="Times New Roman"/>
          <w:color w:val="000000" w:themeColor="text1"/>
        </w:rPr>
        <w:t>This approach</w:t>
      </w:r>
      <w:r w:rsidR="001E231C" w:rsidRPr="00196F93">
        <w:rPr>
          <w:rFonts w:cs="Times New Roman"/>
          <w:color w:val="000000" w:themeColor="text1"/>
        </w:rPr>
        <w:t xml:space="preserve"> will </w:t>
      </w:r>
      <w:r w:rsidR="00107F00">
        <w:rPr>
          <w:rFonts w:cs="Times New Roman"/>
          <w:color w:val="000000" w:themeColor="text1"/>
        </w:rPr>
        <w:t xml:space="preserve">likely </w:t>
      </w:r>
      <w:r w:rsidR="000835B6" w:rsidRPr="00196F93">
        <w:rPr>
          <w:rFonts w:cs="Times New Roman"/>
          <w:color w:val="000000" w:themeColor="text1"/>
        </w:rPr>
        <w:t xml:space="preserve">seek to </w:t>
      </w:r>
      <w:r w:rsidR="001E231C" w:rsidRPr="00196F93">
        <w:rPr>
          <w:rFonts w:cs="Times New Roman"/>
          <w:color w:val="000000" w:themeColor="text1"/>
        </w:rPr>
        <w:t xml:space="preserve">minimize burdensome </w:t>
      </w:r>
      <w:r w:rsidR="000835B6" w:rsidRPr="00196F93">
        <w:rPr>
          <w:rFonts w:cs="Times New Roman"/>
          <w:color w:val="000000" w:themeColor="text1"/>
        </w:rPr>
        <w:t xml:space="preserve">regulatory </w:t>
      </w:r>
      <w:r w:rsidR="001E231C" w:rsidRPr="00196F93">
        <w:rPr>
          <w:rFonts w:cs="Times New Roman"/>
          <w:color w:val="000000" w:themeColor="text1"/>
        </w:rPr>
        <w:t>costs unless there is a sufficiently defined and justified benefit to investor decision-making</w:t>
      </w:r>
      <w:bookmarkStart w:id="126" w:name="OLE_LINK116"/>
      <w:r w:rsidR="000835B6" w:rsidRPr="00196F93">
        <w:rPr>
          <w:rFonts w:cs="Times New Roman"/>
          <w:color w:val="000000" w:themeColor="text1"/>
        </w:rPr>
        <w:t xml:space="preserve"> in public capital markets. However, the “reasonable person” standard is dynamic in that the</w:t>
      </w:r>
      <w:r w:rsidR="00CD671D" w:rsidRPr="00196F93">
        <w:rPr>
          <w:rFonts w:cs="Times New Roman"/>
          <w:color w:val="000000" w:themeColor="text1"/>
        </w:rPr>
        <w:t xml:space="preserve"> “deﬁnition is ﬁxed, yet adaptable to dynamic circumstances</w:t>
      </w:r>
      <w:r w:rsidR="000835B6" w:rsidRPr="00196F93">
        <w:rPr>
          <w:rFonts w:cs="Times New Roman"/>
          <w:color w:val="000000" w:themeColor="text1"/>
        </w:rPr>
        <w:t>”, applied to the context of its time.</w:t>
      </w:r>
      <w:r w:rsidR="009428CF">
        <w:rPr>
          <w:rStyle w:val="FootnoteReference"/>
          <w:rFonts w:cs="Times New Roman"/>
          <w:color w:val="000000" w:themeColor="text1"/>
        </w:rPr>
        <w:footnoteReference w:id="188"/>
      </w:r>
      <w:r w:rsidR="000835B6" w:rsidRPr="00196F93">
        <w:rPr>
          <w:rFonts w:cs="Times New Roman"/>
          <w:color w:val="000000" w:themeColor="text1"/>
        </w:rPr>
        <w:t xml:space="preserve"> As Katz argues,</w:t>
      </w:r>
      <w:r w:rsidR="00CD671D" w:rsidRPr="00196F93">
        <w:rPr>
          <w:rFonts w:cs="Times New Roman"/>
          <w:color w:val="000000" w:themeColor="text1"/>
        </w:rPr>
        <w:t xml:space="preserve"> emerging formulations </w:t>
      </w:r>
      <w:r w:rsidR="000835B6" w:rsidRPr="00196F93">
        <w:rPr>
          <w:rFonts w:cs="Times New Roman"/>
          <w:color w:val="000000" w:themeColor="text1"/>
        </w:rPr>
        <w:t>that “</w:t>
      </w:r>
      <w:r w:rsidR="00CD671D" w:rsidRPr="00196F93">
        <w:rPr>
          <w:rFonts w:cs="Times New Roman"/>
          <w:color w:val="000000" w:themeColor="text1"/>
        </w:rPr>
        <w:t>explicitly incorporate a current perspective on stakeholder and environmental impacts</w:t>
      </w:r>
      <w:r w:rsidR="00107F00">
        <w:rPr>
          <w:rFonts w:cs="Times New Roman"/>
          <w:color w:val="000000" w:themeColor="text1"/>
        </w:rPr>
        <w:t>,</w:t>
      </w:r>
      <w:r w:rsidR="000835B6" w:rsidRPr="00196F93">
        <w:rPr>
          <w:rFonts w:cs="Times New Roman"/>
          <w:color w:val="000000" w:themeColor="text1"/>
        </w:rPr>
        <w:t>”</w:t>
      </w:r>
      <w:r w:rsidR="00CD671D" w:rsidRPr="00196F93">
        <w:rPr>
          <w:rFonts w:cs="Times New Roman"/>
          <w:color w:val="000000" w:themeColor="text1"/>
        </w:rPr>
        <w:t xml:space="preserve"> </w:t>
      </w:r>
      <w:r w:rsidR="000835B6" w:rsidRPr="008E6DCE">
        <w:rPr>
          <w:rFonts w:cs="Times New Roman"/>
          <w:color w:val="000000" w:themeColor="text1"/>
        </w:rPr>
        <w:t>could also accomplish the same goal through the “reasonable investor” test, “</w:t>
      </w:r>
      <w:r w:rsidR="00CD671D" w:rsidRPr="008E6DCE">
        <w:rPr>
          <w:rFonts w:cs="Times New Roman"/>
          <w:color w:val="000000" w:themeColor="text1"/>
        </w:rPr>
        <w:t>which is applied in the context of its time</w:t>
      </w:r>
      <w:r w:rsidR="00107F00" w:rsidRPr="008E6DCE">
        <w:rPr>
          <w:rFonts w:cs="Times New Roman"/>
          <w:color w:val="000000" w:themeColor="text1"/>
        </w:rPr>
        <w:t>.</w:t>
      </w:r>
      <w:r w:rsidR="000835B6" w:rsidRPr="008E6DCE">
        <w:rPr>
          <w:rFonts w:cs="Times New Roman"/>
          <w:color w:val="000000" w:themeColor="text1"/>
        </w:rPr>
        <w:t>”</w:t>
      </w:r>
      <w:r w:rsidR="00207729" w:rsidRPr="00B71A8C">
        <w:rPr>
          <w:rStyle w:val="FootnoteReference"/>
          <w:rFonts w:cs="Times New Roman"/>
          <w:color w:val="000000" w:themeColor="text1"/>
        </w:rPr>
        <w:footnoteReference w:id="189"/>
      </w:r>
      <w:r w:rsidR="00207729" w:rsidRPr="00A94F0D">
        <w:rPr>
          <w:rFonts w:cs="Times New Roman"/>
          <w:color w:val="000000" w:themeColor="text1"/>
        </w:rPr>
        <w:t xml:space="preserve"> </w:t>
      </w:r>
      <w:r w:rsidR="001930C2" w:rsidRPr="008E6DCE">
        <w:rPr>
          <w:rFonts w:cs="Times New Roman"/>
          <w:color w:val="000000" w:themeColor="text1"/>
        </w:rPr>
        <w:t xml:space="preserve">The SEC’s wait and see approach </w:t>
      </w:r>
      <w:r w:rsidR="00376FE2">
        <w:rPr>
          <w:rFonts w:cs="Times New Roman"/>
          <w:color w:val="000000" w:themeColor="text1"/>
        </w:rPr>
        <w:t xml:space="preserve">allows </w:t>
      </w:r>
      <w:r w:rsidR="001930C2" w:rsidRPr="008E6DCE">
        <w:rPr>
          <w:rFonts w:cs="Times New Roman"/>
          <w:color w:val="000000" w:themeColor="text1"/>
        </w:rPr>
        <w:t xml:space="preserve">investor demand </w:t>
      </w:r>
      <w:r w:rsidR="00376FE2">
        <w:rPr>
          <w:rFonts w:cs="Times New Roman"/>
          <w:color w:val="000000" w:themeColor="text1"/>
        </w:rPr>
        <w:t xml:space="preserve">to </w:t>
      </w:r>
      <w:r w:rsidR="001930C2" w:rsidRPr="008E6DCE">
        <w:rPr>
          <w:rFonts w:cs="Times New Roman"/>
          <w:color w:val="000000" w:themeColor="text1"/>
        </w:rPr>
        <w:t xml:space="preserve">influence disclosure mandates </w:t>
      </w:r>
      <w:r w:rsidR="00376FE2">
        <w:rPr>
          <w:rFonts w:cs="Times New Roman"/>
          <w:color w:val="000000" w:themeColor="text1"/>
        </w:rPr>
        <w:t>and is</w:t>
      </w:r>
      <w:r w:rsidR="00376FE2" w:rsidRPr="008E6DCE">
        <w:rPr>
          <w:rFonts w:cs="Times New Roman"/>
          <w:color w:val="000000" w:themeColor="text1"/>
        </w:rPr>
        <w:t xml:space="preserve"> </w:t>
      </w:r>
      <w:r w:rsidR="001930C2" w:rsidRPr="008E6DCE">
        <w:rPr>
          <w:rFonts w:cs="Times New Roman"/>
          <w:color w:val="000000" w:themeColor="text1"/>
        </w:rPr>
        <w:t xml:space="preserve">a direct function of </w:t>
      </w:r>
      <w:r w:rsidR="00376FE2">
        <w:rPr>
          <w:rFonts w:cs="Times New Roman"/>
          <w:color w:val="000000" w:themeColor="text1"/>
        </w:rPr>
        <w:t>its</w:t>
      </w:r>
      <w:r w:rsidR="00376FE2" w:rsidRPr="008E6DCE">
        <w:rPr>
          <w:rFonts w:cs="Times New Roman"/>
          <w:color w:val="000000" w:themeColor="text1"/>
        </w:rPr>
        <w:t xml:space="preserve"> </w:t>
      </w:r>
      <w:r w:rsidR="001930C2" w:rsidRPr="008E6DCE">
        <w:rPr>
          <w:rFonts w:cs="Times New Roman"/>
          <w:color w:val="000000" w:themeColor="text1"/>
        </w:rPr>
        <w:t>investor-focus</w:t>
      </w:r>
      <w:r w:rsidR="00376FE2">
        <w:rPr>
          <w:rFonts w:cs="Times New Roman"/>
          <w:color w:val="000000" w:themeColor="text1"/>
        </w:rPr>
        <w:t xml:space="preserve"> on financial materiality</w:t>
      </w:r>
      <w:r w:rsidR="001930C2" w:rsidRPr="008E6DCE">
        <w:rPr>
          <w:rFonts w:cs="Times New Roman"/>
          <w:color w:val="000000" w:themeColor="text1"/>
        </w:rPr>
        <w:t xml:space="preserve">. However, this </w:t>
      </w:r>
      <w:r w:rsidR="008E6DCE">
        <w:rPr>
          <w:rFonts w:cs="Times New Roman"/>
          <w:color w:val="000000" w:themeColor="text1"/>
        </w:rPr>
        <w:t>implies</w:t>
      </w:r>
      <w:r w:rsidR="008E6DCE" w:rsidRPr="008E6DCE">
        <w:rPr>
          <w:rFonts w:cs="Times New Roman"/>
          <w:color w:val="000000" w:themeColor="text1"/>
        </w:rPr>
        <w:t xml:space="preserve"> </w:t>
      </w:r>
      <w:r w:rsidR="001930C2" w:rsidRPr="008E6DCE">
        <w:rPr>
          <w:rFonts w:cs="Times New Roman"/>
          <w:color w:val="000000" w:themeColor="text1"/>
        </w:rPr>
        <w:t xml:space="preserve">market demand and tastes can influence conceptions </w:t>
      </w:r>
      <w:r w:rsidR="001930C2" w:rsidRPr="00196F93">
        <w:rPr>
          <w:rFonts w:cs="Times New Roman"/>
          <w:color w:val="000000" w:themeColor="text1"/>
        </w:rPr>
        <w:t xml:space="preserve">of financial materiality as more of the market rely on ESG and climate </w:t>
      </w:r>
      <w:r w:rsidR="008E6DCE">
        <w:rPr>
          <w:rFonts w:cs="Times New Roman"/>
          <w:color w:val="000000" w:themeColor="text1"/>
        </w:rPr>
        <w:t>factors</w:t>
      </w:r>
      <w:r w:rsidR="008E6DCE" w:rsidRPr="00196F93">
        <w:rPr>
          <w:rFonts w:cs="Times New Roman"/>
          <w:color w:val="000000" w:themeColor="text1"/>
        </w:rPr>
        <w:t xml:space="preserve"> </w:t>
      </w:r>
      <w:r w:rsidR="001930C2" w:rsidRPr="00196F93">
        <w:rPr>
          <w:rFonts w:cs="Times New Roman"/>
          <w:color w:val="000000" w:themeColor="text1"/>
        </w:rPr>
        <w:t>to d</w:t>
      </w:r>
      <w:r w:rsidR="008E6DCE">
        <w:rPr>
          <w:rFonts w:cs="Times New Roman"/>
          <w:color w:val="000000" w:themeColor="text1"/>
        </w:rPr>
        <w:t xml:space="preserve">rive </w:t>
      </w:r>
      <w:r w:rsidR="001930C2" w:rsidRPr="00196F93">
        <w:rPr>
          <w:rFonts w:cs="Times New Roman"/>
          <w:color w:val="000000" w:themeColor="text1"/>
        </w:rPr>
        <w:t xml:space="preserve">capital allocation decisions. </w:t>
      </w:r>
    </w:p>
    <w:bookmarkEnd w:id="126"/>
    <w:p w14:paraId="3D7CD8D3" w14:textId="1529BE6C" w:rsidR="001E231C" w:rsidRPr="00196F93" w:rsidRDefault="001930C2" w:rsidP="00B71A8C">
      <w:pPr>
        <w:spacing w:line="480" w:lineRule="auto"/>
        <w:ind w:firstLine="1080"/>
        <w:contextualSpacing/>
        <w:rPr>
          <w:rFonts w:cs="Times New Roman"/>
          <w:color w:val="000000" w:themeColor="text1"/>
        </w:rPr>
      </w:pPr>
      <w:r w:rsidRPr="00196F93">
        <w:rPr>
          <w:rFonts w:cs="Times New Roman"/>
          <w:color w:val="000000" w:themeColor="text1"/>
        </w:rPr>
        <w:t xml:space="preserve">Although we will likely eventually see SEC convergence on S3 disclosures when it makes practical and economic sense to, </w:t>
      </w:r>
      <w:r w:rsidR="008E6DCE">
        <w:rPr>
          <w:rFonts w:cs="Times New Roman"/>
          <w:color w:val="000000" w:themeColor="text1"/>
        </w:rPr>
        <w:t>this</w:t>
      </w:r>
      <w:r w:rsidR="008E6DCE" w:rsidRPr="00196F93">
        <w:rPr>
          <w:rFonts w:cs="Times New Roman"/>
          <w:color w:val="000000" w:themeColor="text1"/>
        </w:rPr>
        <w:t xml:space="preserve"> </w:t>
      </w:r>
      <w:r w:rsidR="008E6DCE">
        <w:rPr>
          <w:rFonts w:cs="Times New Roman"/>
          <w:color w:val="000000" w:themeColor="text1"/>
        </w:rPr>
        <w:t xml:space="preserve">analysis </w:t>
      </w:r>
      <w:r w:rsidR="00376FE2">
        <w:rPr>
          <w:rFonts w:cs="Times New Roman"/>
          <w:color w:val="000000" w:themeColor="text1"/>
        </w:rPr>
        <w:t>supports findings</w:t>
      </w:r>
      <w:r w:rsidR="008E6DCE">
        <w:rPr>
          <w:rFonts w:cs="Times New Roman"/>
          <w:color w:val="000000" w:themeColor="text1"/>
        </w:rPr>
        <w:t xml:space="preserve"> we are very un</w:t>
      </w:r>
      <w:r w:rsidRPr="00196F93">
        <w:rPr>
          <w:rFonts w:cs="Times New Roman"/>
          <w:color w:val="000000" w:themeColor="text1"/>
        </w:rPr>
        <w:t xml:space="preserve">likely to </w:t>
      </w:r>
      <w:r w:rsidR="008E6DCE">
        <w:rPr>
          <w:rFonts w:cs="Times New Roman"/>
          <w:color w:val="000000" w:themeColor="text1"/>
        </w:rPr>
        <w:t>see</w:t>
      </w:r>
      <w:r w:rsidR="008E6DCE" w:rsidRPr="00196F93">
        <w:rPr>
          <w:rFonts w:cs="Times New Roman"/>
          <w:color w:val="000000" w:themeColor="text1"/>
        </w:rPr>
        <w:t xml:space="preserve"> </w:t>
      </w:r>
      <w:r w:rsidRPr="00196F93">
        <w:rPr>
          <w:rFonts w:cs="Times New Roman"/>
          <w:color w:val="000000" w:themeColor="text1"/>
        </w:rPr>
        <w:t>broader ESG and HRDD requirements in the SEC’s security regulation</w:t>
      </w:r>
      <w:r w:rsidR="00107F00">
        <w:rPr>
          <w:rFonts w:cs="Times New Roman"/>
          <w:color w:val="000000" w:themeColor="text1"/>
        </w:rPr>
        <w:t>s—at least</w:t>
      </w:r>
      <w:r w:rsidRPr="00196F93">
        <w:rPr>
          <w:rFonts w:cs="Times New Roman"/>
          <w:color w:val="000000" w:themeColor="text1"/>
        </w:rPr>
        <w:t xml:space="preserve"> </w:t>
      </w:r>
      <w:r w:rsidR="008E6DCE">
        <w:rPr>
          <w:rFonts w:cs="Times New Roman"/>
          <w:color w:val="000000" w:themeColor="text1"/>
        </w:rPr>
        <w:t xml:space="preserve">in </w:t>
      </w:r>
      <w:r w:rsidR="00376FE2">
        <w:rPr>
          <w:rFonts w:cs="Times New Roman"/>
          <w:color w:val="000000" w:themeColor="text1"/>
        </w:rPr>
        <w:t>foreseeable future</w:t>
      </w:r>
      <w:r w:rsidR="008E6DCE">
        <w:rPr>
          <w:rFonts w:cs="Times New Roman"/>
          <w:color w:val="000000" w:themeColor="text1"/>
        </w:rPr>
        <w:t xml:space="preserve"> </w:t>
      </w:r>
      <w:r w:rsidRPr="00196F93">
        <w:rPr>
          <w:rFonts w:cs="Times New Roman"/>
          <w:color w:val="000000" w:themeColor="text1"/>
        </w:rPr>
        <w:t xml:space="preserve">until they </w:t>
      </w:r>
      <w:r w:rsidR="00107F00">
        <w:rPr>
          <w:rFonts w:cs="Times New Roman"/>
          <w:color w:val="000000" w:themeColor="text1"/>
        </w:rPr>
        <w:t xml:space="preserve">are </w:t>
      </w:r>
      <w:r w:rsidR="00376FE2">
        <w:rPr>
          <w:rFonts w:cs="Times New Roman"/>
          <w:color w:val="000000" w:themeColor="text1"/>
        </w:rPr>
        <w:t>considered</w:t>
      </w:r>
      <w:r w:rsidR="00107F00" w:rsidRPr="00196F93">
        <w:rPr>
          <w:rFonts w:cs="Times New Roman"/>
          <w:color w:val="000000" w:themeColor="text1"/>
        </w:rPr>
        <w:t xml:space="preserve"> </w:t>
      </w:r>
      <w:r w:rsidRPr="00196F93">
        <w:rPr>
          <w:rFonts w:cs="Times New Roman"/>
          <w:color w:val="000000" w:themeColor="text1"/>
        </w:rPr>
        <w:t>financially material</w:t>
      </w:r>
      <w:r w:rsidR="00107F00">
        <w:rPr>
          <w:rFonts w:cs="Times New Roman"/>
          <w:color w:val="000000" w:themeColor="text1"/>
        </w:rPr>
        <w:t xml:space="preserve"> to the reasonable investor</w:t>
      </w:r>
      <w:r w:rsidRPr="00196F93">
        <w:rPr>
          <w:rFonts w:cs="Times New Roman"/>
          <w:color w:val="000000" w:themeColor="text1"/>
        </w:rPr>
        <w:t xml:space="preserve">. </w:t>
      </w:r>
      <w:r w:rsidR="001E231C" w:rsidRPr="00196F93">
        <w:rPr>
          <w:rFonts w:cs="Times New Roman"/>
          <w:color w:val="000000" w:themeColor="text1"/>
        </w:rPr>
        <w:t>The</w:t>
      </w:r>
      <w:r w:rsidRPr="00196F93">
        <w:rPr>
          <w:rFonts w:cs="Times New Roman"/>
          <w:color w:val="000000" w:themeColor="text1"/>
        </w:rPr>
        <w:t>re</w:t>
      </w:r>
      <w:r w:rsidR="001E231C" w:rsidRPr="00196F93">
        <w:rPr>
          <w:rFonts w:cs="Times New Roman"/>
          <w:color w:val="000000" w:themeColor="text1"/>
        </w:rPr>
        <w:t xml:space="preserve"> already are instances today of financially material impacts of human slavery, safety, and environmental issues</w:t>
      </w:r>
      <w:r w:rsidRPr="00196F93">
        <w:rPr>
          <w:rFonts w:cs="Times New Roman"/>
          <w:color w:val="000000" w:themeColor="text1"/>
        </w:rPr>
        <w:t xml:space="preserve"> to a degree</w:t>
      </w:r>
      <w:r w:rsidR="001E231C" w:rsidRPr="00196F93">
        <w:rPr>
          <w:rFonts w:cs="Times New Roman"/>
          <w:color w:val="000000" w:themeColor="text1"/>
        </w:rPr>
        <w:t xml:space="preserve"> at </w:t>
      </w:r>
      <w:r w:rsidRPr="00196F93">
        <w:rPr>
          <w:rFonts w:cs="Times New Roman"/>
          <w:color w:val="000000" w:themeColor="text1"/>
        </w:rPr>
        <w:t xml:space="preserve">certain </w:t>
      </w:r>
      <w:r w:rsidR="001E231C" w:rsidRPr="00196F93">
        <w:rPr>
          <w:rFonts w:cs="Times New Roman"/>
          <w:color w:val="000000" w:themeColor="text1"/>
        </w:rPr>
        <w:t>companies</w:t>
      </w:r>
      <w:r w:rsidR="00246A82">
        <w:rPr>
          <w:rFonts w:cs="Times New Roman"/>
          <w:color w:val="000000" w:themeColor="text1"/>
        </w:rPr>
        <w:t>.</w:t>
      </w:r>
      <w:r w:rsidR="00376FE2">
        <w:rPr>
          <w:rFonts w:cs="Times New Roman"/>
          <w:color w:val="000000" w:themeColor="text1"/>
        </w:rPr>
        <w:t xml:space="preserve"> </w:t>
      </w:r>
      <w:r w:rsidRPr="00196F93">
        <w:rPr>
          <w:rFonts w:cs="Times New Roman"/>
          <w:color w:val="000000" w:themeColor="text1"/>
        </w:rPr>
        <w:t>Thus, the question is when the market has shifted enough these issues are considered “material”</w:t>
      </w:r>
      <w:r w:rsidR="00107F00">
        <w:rPr>
          <w:rFonts w:cs="Times New Roman"/>
          <w:color w:val="000000" w:themeColor="text1"/>
        </w:rPr>
        <w:t>, which depend</w:t>
      </w:r>
      <w:r w:rsidR="00376FE2">
        <w:rPr>
          <w:rFonts w:cs="Times New Roman"/>
          <w:color w:val="000000" w:themeColor="text1"/>
        </w:rPr>
        <w:t>s</w:t>
      </w:r>
      <w:r w:rsidR="00107F00">
        <w:rPr>
          <w:rFonts w:cs="Times New Roman"/>
          <w:color w:val="000000" w:themeColor="text1"/>
        </w:rPr>
        <w:t xml:space="preserve"> on a number of factors including the quality of financial data and analytics as well as </w:t>
      </w:r>
      <w:r w:rsidR="008E6DCE">
        <w:rPr>
          <w:rFonts w:cs="Times New Roman"/>
          <w:color w:val="000000" w:themeColor="text1"/>
        </w:rPr>
        <w:t xml:space="preserve">the speed and degree of change in the evolution of </w:t>
      </w:r>
      <w:r w:rsidR="00107F00">
        <w:rPr>
          <w:rFonts w:cs="Times New Roman"/>
          <w:color w:val="000000" w:themeColor="text1"/>
        </w:rPr>
        <w:t>investor preferences</w:t>
      </w:r>
      <w:r w:rsidRPr="00196F93">
        <w:rPr>
          <w:rFonts w:cs="Times New Roman"/>
          <w:color w:val="000000" w:themeColor="text1"/>
        </w:rPr>
        <w:t>.</w:t>
      </w:r>
    </w:p>
    <w:p w14:paraId="1595669C" w14:textId="77777777" w:rsidR="00826842" w:rsidRPr="001110EE" w:rsidRDefault="00826842" w:rsidP="00B71A8C">
      <w:pPr>
        <w:spacing w:line="480" w:lineRule="auto"/>
        <w:ind w:left="0"/>
        <w:contextualSpacing/>
        <w:rPr>
          <w:rFonts w:cs="Times New Roman"/>
          <w:color w:val="000000" w:themeColor="text1"/>
          <w:sz w:val="2"/>
          <w:szCs w:val="2"/>
        </w:rPr>
      </w:pPr>
    </w:p>
    <w:p w14:paraId="39B3C558" w14:textId="17497615" w:rsidR="001E231C" w:rsidRPr="0053204F" w:rsidRDefault="001E231C" w:rsidP="00B71A8C">
      <w:pPr>
        <w:pStyle w:val="Heading3"/>
        <w:spacing w:before="0"/>
        <w:contextualSpacing/>
      </w:pPr>
      <w:r w:rsidRPr="00196F93">
        <w:t xml:space="preserve">Political Economy Factors </w:t>
      </w:r>
      <w:r w:rsidR="00416E53">
        <w:t>and</w:t>
      </w:r>
      <w:r w:rsidRPr="0053204F">
        <w:t xml:space="preserve"> Welfare will Drive Policy</w:t>
      </w:r>
    </w:p>
    <w:p w14:paraId="6A022872" w14:textId="57DA43BB" w:rsidR="00690C48" w:rsidRPr="0053204F" w:rsidRDefault="00246A82" w:rsidP="00B71A8C">
      <w:pPr>
        <w:spacing w:line="480" w:lineRule="auto"/>
        <w:ind w:firstLine="1080"/>
        <w:contextualSpacing/>
        <w:rPr>
          <w:rFonts w:cs="Times New Roman"/>
          <w:color w:val="000000" w:themeColor="text1"/>
        </w:rPr>
      </w:pPr>
      <w:r>
        <w:rPr>
          <w:rFonts w:cs="Times New Roman"/>
          <w:color w:val="000000" w:themeColor="text1"/>
        </w:rPr>
        <w:t>This analysis highlights there</w:t>
      </w:r>
      <w:r w:rsidRPr="0053204F">
        <w:rPr>
          <w:rFonts w:cs="Times New Roman"/>
          <w:color w:val="000000" w:themeColor="text1"/>
        </w:rPr>
        <w:t xml:space="preserve"> </w:t>
      </w:r>
      <w:r w:rsidR="001E231C" w:rsidRPr="0053204F">
        <w:rPr>
          <w:rFonts w:cs="Times New Roman"/>
          <w:color w:val="000000" w:themeColor="text1"/>
        </w:rPr>
        <w:t xml:space="preserve">are legitimate contentions behind the economic tradeoffs associated with leveraging state power to impose costly </w:t>
      </w:r>
      <w:r w:rsidR="0046046D" w:rsidRPr="0053204F">
        <w:rPr>
          <w:rFonts w:cs="Times New Roman"/>
          <w:color w:val="000000" w:themeColor="text1"/>
        </w:rPr>
        <w:t xml:space="preserve">disclosure </w:t>
      </w:r>
      <w:r w:rsidR="001E231C" w:rsidRPr="0053204F">
        <w:rPr>
          <w:rFonts w:cs="Times New Roman"/>
          <w:color w:val="000000" w:themeColor="text1"/>
        </w:rPr>
        <w:t xml:space="preserve">requirements on companies, especially </w:t>
      </w:r>
      <w:r w:rsidR="00252BC7" w:rsidRPr="0053204F">
        <w:rPr>
          <w:rFonts w:cs="Times New Roman"/>
          <w:color w:val="000000" w:themeColor="text1"/>
        </w:rPr>
        <w:t>when</w:t>
      </w:r>
      <w:r w:rsidR="001E231C" w:rsidRPr="0053204F">
        <w:rPr>
          <w:rFonts w:cs="Times New Roman"/>
          <w:color w:val="000000" w:themeColor="text1"/>
        </w:rPr>
        <w:t xml:space="preserve"> </w:t>
      </w:r>
      <w:r w:rsidR="0046046D" w:rsidRPr="0053204F">
        <w:rPr>
          <w:rFonts w:cs="Times New Roman"/>
          <w:color w:val="000000" w:themeColor="text1"/>
        </w:rPr>
        <w:t xml:space="preserve">the information is not </w:t>
      </w:r>
      <w:r w:rsidR="001E231C" w:rsidRPr="0053204F">
        <w:rPr>
          <w:rFonts w:cs="Times New Roman"/>
          <w:color w:val="000000" w:themeColor="text1"/>
        </w:rPr>
        <w:t xml:space="preserve">very </w:t>
      </w:r>
      <w:r w:rsidR="00690C48" w:rsidRPr="0053204F">
        <w:rPr>
          <w:rFonts w:cs="Times New Roman"/>
          <w:color w:val="000000" w:themeColor="text1"/>
        </w:rPr>
        <w:t>decision useful</w:t>
      </w:r>
      <w:r w:rsidR="001E231C" w:rsidRPr="0053204F">
        <w:rPr>
          <w:rFonts w:cs="Times New Roman"/>
          <w:color w:val="000000" w:themeColor="text1"/>
        </w:rPr>
        <w:t xml:space="preserve">. The broader national politicization and polarization of </w:t>
      </w:r>
      <w:r w:rsidR="00690C48" w:rsidRPr="0053204F">
        <w:rPr>
          <w:rFonts w:cs="Times New Roman"/>
          <w:color w:val="000000" w:themeColor="text1"/>
        </w:rPr>
        <w:t>climate change</w:t>
      </w:r>
      <w:r w:rsidR="001E231C" w:rsidRPr="0053204F">
        <w:rPr>
          <w:rFonts w:cs="Times New Roman"/>
          <w:color w:val="000000" w:themeColor="text1"/>
        </w:rPr>
        <w:t xml:space="preserve"> in the U</w:t>
      </w:r>
      <w:r w:rsidR="00690C48" w:rsidRPr="0053204F">
        <w:rPr>
          <w:rFonts w:cs="Times New Roman"/>
          <w:color w:val="000000" w:themeColor="text1"/>
        </w:rPr>
        <w:t>.</w:t>
      </w:r>
      <w:r w:rsidR="001E231C" w:rsidRPr="0053204F">
        <w:rPr>
          <w:rFonts w:cs="Times New Roman"/>
          <w:color w:val="000000" w:themeColor="text1"/>
        </w:rPr>
        <w:t>S</w:t>
      </w:r>
      <w:r w:rsidR="00690C48" w:rsidRPr="0053204F">
        <w:rPr>
          <w:rFonts w:cs="Times New Roman"/>
          <w:color w:val="000000" w:themeColor="text1"/>
        </w:rPr>
        <w:t>.</w:t>
      </w:r>
      <w:r w:rsidR="001E231C" w:rsidRPr="0053204F">
        <w:rPr>
          <w:rFonts w:cs="Times New Roman"/>
          <w:color w:val="000000" w:themeColor="text1"/>
        </w:rPr>
        <w:t xml:space="preserve"> highlights the </w:t>
      </w:r>
      <w:r w:rsidR="00690C48" w:rsidRPr="0053204F">
        <w:rPr>
          <w:rFonts w:cs="Times New Roman"/>
          <w:color w:val="000000" w:themeColor="text1"/>
        </w:rPr>
        <w:t>incredible</w:t>
      </w:r>
      <w:r w:rsidR="001E231C" w:rsidRPr="0053204F">
        <w:rPr>
          <w:rFonts w:cs="Times New Roman"/>
          <w:color w:val="000000" w:themeColor="text1"/>
        </w:rPr>
        <w:t xml:space="preserve"> social and economic implications around the seismic shift required to move the U.S. from a petro-state towards </w:t>
      </w:r>
      <w:r w:rsidR="00690C48" w:rsidRPr="0053204F">
        <w:rPr>
          <w:rFonts w:cs="Times New Roman"/>
          <w:color w:val="000000" w:themeColor="text1"/>
        </w:rPr>
        <w:t>a net-zero economy</w:t>
      </w:r>
      <w:r w:rsidR="001E231C" w:rsidRPr="0053204F">
        <w:rPr>
          <w:rFonts w:cs="Times New Roman"/>
          <w:color w:val="000000" w:themeColor="text1"/>
        </w:rPr>
        <w:t>.</w:t>
      </w:r>
      <w:r w:rsidR="0046046D" w:rsidRPr="0053204F">
        <w:rPr>
          <w:rStyle w:val="FootnoteReference"/>
          <w:rFonts w:cs="Times New Roman"/>
          <w:color w:val="000000" w:themeColor="text1"/>
        </w:rPr>
        <w:footnoteReference w:id="190"/>
      </w:r>
      <w:r w:rsidR="00690C48" w:rsidRPr="0053204F">
        <w:rPr>
          <w:rFonts w:cs="Times New Roman"/>
          <w:color w:val="000000" w:themeColor="text1"/>
        </w:rPr>
        <w:t xml:space="preserve"> </w:t>
      </w:r>
      <w:r w:rsidR="001E231C" w:rsidRPr="0053204F">
        <w:rPr>
          <w:rFonts w:cs="Times New Roman"/>
          <w:color w:val="000000" w:themeColor="text1"/>
        </w:rPr>
        <w:t>The risk to voter wealth and the broader economic exposure across employment, local economies, financial markets, and retirement security is immense</w:t>
      </w:r>
      <w:r w:rsidR="00416E53">
        <w:rPr>
          <w:rFonts w:cs="Times New Roman"/>
          <w:color w:val="000000" w:themeColor="text1"/>
        </w:rPr>
        <w:t>,</w:t>
      </w:r>
      <w:r w:rsidR="0046046D" w:rsidRPr="0053204F">
        <w:rPr>
          <w:rStyle w:val="FootnoteReference"/>
          <w:rFonts w:cs="Times New Roman"/>
          <w:color w:val="000000" w:themeColor="text1"/>
        </w:rPr>
        <w:footnoteReference w:id="191"/>
      </w:r>
      <w:r w:rsidR="001E231C" w:rsidRPr="0053204F">
        <w:rPr>
          <w:rFonts w:cs="Times New Roman"/>
          <w:color w:val="000000" w:themeColor="text1"/>
        </w:rPr>
        <w:t xml:space="preserve"> </w:t>
      </w:r>
      <w:r w:rsidR="00416E53">
        <w:rPr>
          <w:rFonts w:cs="Times New Roman"/>
          <w:color w:val="000000" w:themeColor="text1"/>
        </w:rPr>
        <w:t>a</w:t>
      </w:r>
      <w:r w:rsidR="00416E53" w:rsidRPr="0053204F">
        <w:rPr>
          <w:rFonts w:cs="Times New Roman"/>
          <w:color w:val="000000" w:themeColor="text1"/>
        </w:rPr>
        <w:t xml:space="preserve">s </w:t>
      </w:r>
      <w:r w:rsidR="001E231C" w:rsidRPr="0053204F">
        <w:rPr>
          <w:rFonts w:cs="Times New Roman"/>
          <w:color w:val="000000" w:themeColor="text1"/>
        </w:rPr>
        <w:t xml:space="preserve">is the cataclysmic planetary ramifications of rapid </w:t>
      </w:r>
      <w:r w:rsidR="00690C48" w:rsidRPr="0053204F">
        <w:rPr>
          <w:rFonts w:cs="Times New Roman"/>
          <w:color w:val="000000" w:themeColor="text1"/>
        </w:rPr>
        <w:t>climate change</w:t>
      </w:r>
      <w:r w:rsidR="001E231C" w:rsidRPr="0053204F">
        <w:rPr>
          <w:rFonts w:cs="Times New Roman"/>
          <w:color w:val="000000" w:themeColor="text1"/>
        </w:rPr>
        <w:t xml:space="preserve"> on both loss of life and even the economic wellbeing of all. Thus, </w:t>
      </w:r>
      <w:r w:rsidR="0046046D" w:rsidRPr="0053204F">
        <w:rPr>
          <w:rFonts w:cs="Times New Roman"/>
          <w:color w:val="000000" w:themeColor="text1"/>
        </w:rPr>
        <w:t xml:space="preserve">the interplay of </w:t>
      </w:r>
      <w:r w:rsidR="001E231C" w:rsidRPr="0053204F">
        <w:rPr>
          <w:rFonts w:cs="Times New Roman"/>
          <w:color w:val="000000" w:themeColor="text1"/>
        </w:rPr>
        <w:t xml:space="preserve">political economy factors </w:t>
      </w:r>
      <w:r w:rsidR="0046046D" w:rsidRPr="0053204F">
        <w:rPr>
          <w:rFonts w:cs="Times New Roman"/>
          <w:color w:val="000000" w:themeColor="text1"/>
        </w:rPr>
        <w:t xml:space="preserve">including fossil fuel economic exposure, retirement security, and lobbying </w:t>
      </w:r>
      <w:r w:rsidR="003F3236">
        <w:rPr>
          <w:rFonts w:cs="Times New Roman"/>
          <w:color w:val="000000" w:themeColor="text1"/>
        </w:rPr>
        <w:t xml:space="preserve">within a given </w:t>
      </w:r>
      <w:r w:rsidR="00376FE2">
        <w:rPr>
          <w:rFonts w:cs="Times New Roman"/>
          <w:color w:val="000000" w:themeColor="text1"/>
        </w:rPr>
        <w:t>institutional</w:t>
      </w:r>
      <w:r w:rsidR="003F3236">
        <w:rPr>
          <w:rFonts w:cs="Times New Roman"/>
          <w:color w:val="000000" w:themeColor="text1"/>
        </w:rPr>
        <w:t xml:space="preserve"> context </w:t>
      </w:r>
      <w:r w:rsidR="001E231C" w:rsidRPr="0053204F">
        <w:rPr>
          <w:rFonts w:cs="Times New Roman"/>
          <w:color w:val="000000" w:themeColor="text1"/>
        </w:rPr>
        <w:t xml:space="preserve">can </w:t>
      </w:r>
      <w:r w:rsidR="0046046D" w:rsidRPr="0053204F">
        <w:rPr>
          <w:rFonts w:cs="Times New Roman"/>
          <w:color w:val="000000" w:themeColor="text1"/>
        </w:rPr>
        <w:t xml:space="preserve">all </w:t>
      </w:r>
      <w:r w:rsidR="001E231C" w:rsidRPr="0053204F">
        <w:rPr>
          <w:rFonts w:cs="Times New Roman"/>
          <w:color w:val="000000" w:themeColor="text1"/>
        </w:rPr>
        <w:t xml:space="preserve">be instructive </w:t>
      </w:r>
      <w:r w:rsidR="0046046D" w:rsidRPr="0053204F">
        <w:rPr>
          <w:rFonts w:cs="Times New Roman"/>
          <w:color w:val="000000" w:themeColor="text1"/>
        </w:rPr>
        <w:t xml:space="preserve">for </w:t>
      </w:r>
      <w:r w:rsidR="001E231C" w:rsidRPr="0053204F">
        <w:rPr>
          <w:rFonts w:cs="Times New Roman"/>
          <w:color w:val="000000" w:themeColor="text1"/>
        </w:rPr>
        <w:t>designing a policy approach that reaches the right balance between economic needs of today versus the needs of the future</w:t>
      </w:r>
      <w:r w:rsidR="0046046D" w:rsidRPr="0053204F">
        <w:rPr>
          <w:rFonts w:cs="Times New Roman"/>
          <w:color w:val="000000" w:themeColor="text1"/>
        </w:rPr>
        <w:t xml:space="preserve">—while </w:t>
      </w:r>
      <w:r w:rsidR="00690C48" w:rsidRPr="0053204F">
        <w:rPr>
          <w:rFonts w:cs="Times New Roman"/>
          <w:color w:val="000000" w:themeColor="text1"/>
        </w:rPr>
        <w:t>being responsive to the economic and social interests and stake.</w:t>
      </w:r>
    </w:p>
    <w:p w14:paraId="1FADD88A" w14:textId="404676B1" w:rsidR="00D17D1F" w:rsidRPr="00196F93" w:rsidRDefault="00690C48" w:rsidP="00B71A8C">
      <w:pPr>
        <w:spacing w:line="480" w:lineRule="auto"/>
        <w:ind w:firstLine="1080"/>
        <w:contextualSpacing/>
        <w:rPr>
          <w:rFonts w:cs="Times New Roman"/>
          <w:color w:val="000000" w:themeColor="text1"/>
        </w:rPr>
      </w:pPr>
      <w:r w:rsidRPr="0053204F">
        <w:rPr>
          <w:rFonts w:cs="Times New Roman"/>
          <w:color w:val="000000" w:themeColor="text1"/>
        </w:rPr>
        <w:t>These</w:t>
      </w:r>
      <w:r w:rsidR="001E231C" w:rsidRPr="0053204F">
        <w:rPr>
          <w:rFonts w:cs="Times New Roman"/>
          <w:color w:val="000000" w:themeColor="text1"/>
        </w:rPr>
        <w:t xml:space="preserve"> factors also raise a pertinent question of whether and to what extent should business </w:t>
      </w:r>
      <w:r w:rsidR="001E231C" w:rsidRPr="003F3236">
        <w:rPr>
          <w:rFonts w:cs="Times New Roman"/>
          <w:color w:val="000000" w:themeColor="text1"/>
        </w:rPr>
        <w:t xml:space="preserve">interests unduly influence election outcomes and </w:t>
      </w:r>
      <w:r w:rsidRPr="003F3236">
        <w:rPr>
          <w:rFonts w:cs="Times New Roman"/>
          <w:color w:val="000000" w:themeColor="text1"/>
        </w:rPr>
        <w:t>drive</w:t>
      </w:r>
      <w:r w:rsidR="001E231C" w:rsidRPr="003F3236">
        <w:rPr>
          <w:rFonts w:cs="Times New Roman"/>
          <w:color w:val="000000" w:themeColor="text1"/>
        </w:rPr>
        <w:t xml:space="preserve"> policymaking across the </w:t>
      </w:r>
      <w:r w:rsidR="0046046D" w:rsidRPr="00B71A8C">
        <w:rPr>
          <w:color w:val="000000" w:themeColor="text1"/>
        </w:rPr>
        <w:t>f</w:t>
      </w:r>
      <w:r w:rsidR="001E231C" w:rsidRPr="003F3236">
        <w:rPr>
          <w:color w:val="000000" w:themeColor="text1"/>
        </w:rPr>
        <w:t xml:space="preserve">ederal and </w:t>
      </w:r>
      <w:r w:rsidR="0046046D" w:rsidRPr="00B71A8C">
        <w:rPr>
          <w:color w:val="000000" w:themeColor="text1"/>
        </w:rPr>
        <w:t>s</w:t>
      </w:r>
      <w:r w:rsidR="001E231C" w:rsidRPr="003F3236">
        <w:rPr>
          <w:color w:val="000000" w:themeColor="text1"/>
        </w:rPr>
        <w:t>tate</w:t>
      </w:r>
      <w:r w:rsidR="001E231C" w:rsidRPr="003F3236">
        <w:rPr>
          <w:rFonts w:cs="Times New Roman"/>
          <w:color w:val="000000" w:themeColor="text1"/>
        </w:rPr>
        <w:t xml:space="preserve"> levels</w:t>
      </w:r>
      <w:r w:rsidR="003F3236" w:rsidRPr="003F3236">
        <w:rPr>
          <w:rFonts w:cs="Times New Roman"/>
          <w:color w:val="000000" w:themeColor="text1"/>
        </w:rPr>
        <w:t>.</w:t>
      </w:r>
      <w:r w:rsidR="001E231C" w:rsidRPr="003F3236">
        <w:rPr>
          <w:rFonts w:cs="Times New Roman"/>
          <w:color w:val="000000" w:themeColor="text1"/>
        </w:rPr>
        <w:t xml:space="preserve"> The political structure of the U.S. will </w:t>
      </w:r>
      <w:r w:rsidR="003F3236" w:rsidRPr="00B71A8C">
        <w:rPr>
          <w:rFonts w:cs="Times New Roman"/>
          <w:color w:val="000000" w:themeColor="text1"/>
        </w:rPr>
        <w:t>be influenced by</w:t>
      </w:r>
      <w:r w:rsidR="003F3236" w:rsidRPr="003F3236">
        <w:rPr>
          <w:rFonts w:cs="Times New Roman"/>
          <w:color w:val="000000" w:themeColor="text1"/>
        </w:rPr>
        <w:t xml:space="preserve"> </w:t>
      </w:r>
      <w:r w:rsidR="001E231C" w:rsidRPr="003F3236">
        <w:rPr>
          <w:rFonts w:cs="Times New Roman"/>
          <w:color w:val="000000" w:themeColor="text1"/>
        </w:rPr>
        <w:t xml:space="preserve">these political economy </w:t>
      </w:r>
      <w:r w:rsidR="003F3236" w:rsidRPr="00B71A8C">
        <w:rPr>
          <w:rFonts w:cs="Times New Roman"/>
          <w:color w:val="000000" w:themeColor="text1"/>
        </w:rPr>
        <w:t>drivers that will likely</w:t>
      </w:r>
      <w:r w:rsidR="003F3236" w:rsidRPr="003F3236">
        <w:rPr>
          <w:rFonts w:cs="Times New Roman"/>
          <w:color w:val="000000" w:themeColor="text1"/>
        </w:rPr>
        <w:t xml:space="preserve"> </w:t>
      </w:r>
      <w:r w:rsidR="001E231C" w:rsidRPr="003F3236">
        <w:rPr>
          <w:rFonts w:cs="Times New Roman"/>
          <w:color w:val="000000" w:themeColor="text1"/>
        </w:rPr>
        <w:t>exacerbate policy distortion</w:t>
      </w:r>
      <w:r w:rsidR="003F3236" w:rsidRPr="00B71A8C">
        <w:rPr>
          <w:rFonts w:cs="Times New Roman"/>
          <w:color w:val="000000" w:themeColor="text1"/>
        </w:rPr>
        <w:t>s</w:t>
      </w:r>
      <w:r w:rsidR="001E231C" w:rsidRPr="003F3236">
        <w:rPr>
          <w:rFonts w:cs="Times New Roman"/>
          <w:color w:val="000000" w:themeColor="text1"/>
        </w:rPr>
        <w:t xml:space="preserve"> away from policies threatening market wealth (i.e. targeting fossil fuel exposure). These </w:t>
      </w:r>
      <w:r w:rsidR="001E231C" w:rsidRPr="0053204F">
        <w:rPr>
          <w:rFonts w:cs="Times New Roman"/>
          <w:color w:val="000000" w:themeColor="text1"/>
        </w:rPr>
        <w:t>mechanics will likely continue to hinder future efforts, and litigation may even upend all of these new climate disclosure rules</w:t>
      </w:r>
      <w:r w:rsidR="0046046D" w:rsidRPr="0053204F">
        <w:rPr>
          <w:rFonts w:cs="Times New Roman"/>
          <w:color w:val="000000" w:themeColor="text1"/>
        </w:rPr>
        <w:t xml:space="preserve"> and laws</w:t>
      </w:r>
      <w:r w:rsidR="001E231C" w:rsidRPr="0053204F">
        <w:rPr>
          <w:rFonts w:cs="Times New Roman"/>
          <w:color w:val="000000" w:themeColor="text1"/>
        </w:rPr>
        <w:t xml:space="preserve">. </w:t>
      </w:r>
      <w:r w:rsidR="003F3236">
        <w:rPr>
          <w:rFonts w:cs="Times New Roman"/>
          <w:color w:val="000000" w:themeColor="text1"/>
        </w:rPr>
        <w:t>This paper</w:t>
      </w:r>
      <w:r w:rsidR="00416E53">
        <w:rPr>
          <w:rFonts w:cs="Times New Roman"/>
          <w:color w:val="000000" w:themeColor="text1"/>
        </w:rPr>
        <w:t>’</w:t>
      </w:r>
      <w:r w:rsidR="003F3236">
        <w:rPr>
          <w:rFonts w:cs="Times New Roman"/>
          <w:color w:val="000000" w:themeColor="text1"/>
        </w:rPr>
        <w:t>s contribution towards understanding the mechanics of these</w:t>
      </w:r>
      <w:r w:rsidR="003F3236" w:rsidRPr="0053204F">
        <w:rPr>
          <w:rFonts w:cs="Times New Roman"/>
          <w:color w:val="000000" w:themeColor="text1"/>
        </w:rPr>
        <w:t xml:space="preserve"> </w:t>
      </w:r>
      <w:r w:rsidR="001E231C" w:rsidRPr="0053204F">
        <w:rPr>
          <w:rFonts w:cs="Times New Roman"/>
          <w:color w:val="000000" w:themeColor="text1"/>
        </w:rPr>
        <w:t xml:space="preserve">factors </w:t>
      </w:r>
      <w:r w:rsidR="003F3236">
        <w:rPr>
          <w:rFonts w:cs="Times New Roman"/>
          <w:color w:val="000000" w:themeColor="text1"/>
        </w:rPr>
        <w:t xml:space="preserve">can hopefully be instructive towards </w:t>
      </w:r>
      <w:r w:rsidR="002C5D97">
        <w:rPr>
          <w:rFonts w:cs="Times New Roman"/>
          <w:color w:val="000000" w:themeColor="text1"/>
        </w:rPr>
        <w:t>further</w:t>
      </w:r>
      <w:r w:rsidR="003F3236">
        <w:rPr>
          <w:rFonts w:cs="Times New Roman"/>
          <w:color w:val="000000" w:themeColor="text1"/>
        </w:rPr>
        <w:t xml:space="preserve"> research and broader legal</w:t>
      </w:r>
      <w:r w:rsidR="001E231C" w:rsidRPr="0053204F">
        <w:rPr>
          <w:rFonts w:cs="Times New Roman"/>
          <w:color w:val="000000" w:themeColor="text1"/>
        </w:rPr>
        <w:t xml:space="preserve"> and policy</w:t>
      </w:r>
      <w:r w:rsidR="003F3236">
        <w:rPr>
          <w:rFonts w:cs="Times New Roman"/>
          <w:color w:val="000000" w:themeColor="text1"/>
        </w:rPr>
        <w:t xml:space="preserve"> reform</w:t>
      </w:r>
      <w:r w:rsidR="001E231C" w:rsidRPr="0053204F">
        <w:rPr>
          <w:rFonts w:cs="Times New Roman"/>
          <w:color w:val="000000" w:themeColor="text1"/>
        </w:rPr>
        <w:t xml:space="preserve"> desig</w:t>
      </w:r>
      <w:r w:rsidR="003F3236">
        <w:rPr>
          <w:rFonts w:cs="Times New Roman"/>
          <w:color w:val="000000" w:themeColor="text1"/>
        </w:rPr>
        <w:t>ning</w:t>
      </w:r>
      <w:r w:rsidR="001E231C" w:rsidRPr="0053204F">
        <w:rPr>
          <w:rFonts w:cs="Times New Roman"/>
          <w:color w:val="000000" w:themeColor="text1"/>
        </w:rPr>
        <w:t xml:space="preserve"> a system more responsive to the</w:t>
      </w:r>
      <w:r w:rsidR="001E231C" w:rsidRPr="00196F93">
        <w:rPr>
          <w:rFonts w:cs="Times New Roman"/>
          <w:color w:val="000000" w:themeColor="text1"/>
        </w:rPr>
        <w:t xml:space="preserve"> will of the polity</w:t>
      </w:r>
      <w:r w:rsidR="002C5D97">
        <w:rPr>
          <w:rFonts w:cs="Times New Roman"/>
          <w:color w:val="000000" w:themeColor="text1"/>
        </w:rPr>
        <w:t>—</w:t>
      </w:r>
      <w:r w:rsidR="001E231C" w:rsidRPr="00196F93">
        <w:rPr>
          <w:rFonts w:cs="Times New Roman"/>
          <w:color w:val="000000" w:themeColor="text1"/>
        </w:rPr>
        <w:t>versus the highest echelon of the economy occupied by the capital-owning class. The</w:t>
      </w:r>
      <w:r w:rsidR="00D13C52" w:rsidRPr="00196F93">
        <w:rPr>
          <w:rFonts w:cs="Times New Roman"/>
          <w:color w:val="000000" w:themeColor="text1"/>
        </w:rPr>
        <w:t xml:space="preserve"> </w:t>
      </w:r>
      <w:r w:rsidR="001E231C" w:rsidRPr="00196F93">
        <w:rPr>
          <w:rFonts w:cs="Times New Roman"/>
          <w:color w:val="000000" w:themeColor="text1"/>
        </w:rPr>
        <w:t>issues raise</w:t>
      </w:r>
      <w:r w:rsidR="00D13C52" w:rsidRPr="00196F93">
        <w:rPr>
          <w:rFonts w:cs="Times New Roman"/>
          <w:color w:val="000000" w:themeColor="text1"/>
        </w:rPr>
        <w:t>d in this analysis raise</w:t>
      </w:r>
      <w:r w:rsidR="001E231C" w:rsidRPr="00196F93">
        <w:rPr>
          <w:rFonts w:cs="Times New Roman"/>
          <w:color w:val="000000" w:themeColor="text1"/>
        </w:rPr>
        <w:t xml:space="preserve"> useful factors to consider in </w:t>
      </w:r>
      <w:r w:rsidR="00D13C52" w:rsidRPr="00196F93">
        <w:rPr>
          <w:rFonts w:cs="Times New Roman"/>
          <w:color w:val="000000" w:themeColor="text1"/>
        </w:rPr>
        <w:t xml:space="preserve">future research and </w:t>
      </w:r>
      <w:r w:rsidR="002C5D97">
        <w:rPr>
          <w:rFonts w:cs="Times New Roman"/>
          <w:color w:val="000000" w:themeColor="text1"/>
        </w:rPr>
        <w:t>institutional design around</w:t>
      </w:r>
      <w:r w:rsidR="002C5D97" w:rsidRPr="00196F93">
        <w:rPr>
          <w:rFonts w:cs="Times New Roman"/>
          <w:color w:val="000000" w:themeColor="text1"/>
        </w:rPr>
        <w:t xml:space="preserve"> </w:t>
      </w:r>
      <w:r w:rsidR="001E231C" w:rsidRPr="00196F93">
        <w:rPr>
          <w:rFonts w:cs="Times New Roman"/>
          <w:color w:val="000000" w:themeColor="text1"/>
        </w:rPr>
        <w:t xml:space="preserve">campaign finance, securities, and corporate law to serve desired ends. </w:t>
      </w:r>
      <w:bookmarkStart w:id="128" w:name="OLE_LINK31"/>
    </w:p>
    <w:p w14:paraId="32DC4377" w14:textId="47150625" w:rsidR="00D17D1F" w:rsidRPr="00196F93" w:rsidRDefault="00D17D1F" w:rsidP="00B71A8C">
      <w:pPr>
        <w:pStyle w:val="Heading1"/>
        <w:spacing w:after="0"/>
      </w:pPr>
      <w:r w:rsidRPr="00196F93">
        <w:t>Conclusion</w:t>
      </w:r>
    </w:p>
    <w:p w14:paraId="35FCE431" w14:textId="7851D52A" w:rsidR="00D13C52" w:rsidRPr="00196F93" w:rsidRDefault="008D5116" w:rsidP="00B71A8C">
      <w:pPr>
        <w:spacing w:line="480" w:lineRule="auto"/>
        <w:ind w:firstLine="720"/>
        <w:contextualSpacing/>
        <w:rPr>
          <w:rFonts w:cs="Times New Roman"/>
          <w:color w:val="000000" w:themeColor="text1"/>
        </w:rPr>
      </w:pPr>
      <w:r w:rsidRPr="00196F93">
        <w:rPr>
          <w:rFonts w:cs="Times New Roman"/>
          <w:color w:val="000000" w:themeColor="text1"/>
        </w:rPr>
        <w:t xml:space="preserve">This paper has explored the divergences between </w:t>
      </w:r>
      <w:r w:rsidR="002C5D97">
        <w:rPr>
          <w:rFonts w:cs="Times New Roman"/>
          <w:color w:val="000000" w:themeColor="text1"/>
        </w:rPr>
        <w:t>climate</w:t>
      </w:r>
      <w:r w:rsidR="002C5D97" w:rsidRPr="00196F93">
        <w:rPr>
          <w:rFonts w:cs="Times New Roman"/>
          <w:color w:val="000000" w:themeColor="text1"/>
        </w:rPr>
        <w:t xml:space="preserve"> </w:t>
      </w:r>
      <w:r w:rsidRPr="00196F93">
        <w:rPr>
          <w:rFonts w:cs="Times New Roman"/>
          <w:color w:val="000000" w:themeColor="text1"/>
        </w:rPr>
        <w:t xml:space="preserve">reporting regimes in </w:t>
      </w:r>
      <w:r w:rsidR="00265AA1">
        <w:rPr>
          <w:rFonts w:cs="Times New Roman"/>
          <w:color w:val="000000" w:themeColor="text1"/>
        </w:rPr>
        <w:t xml:space="preserve">the EU, </w:t>
      </w:r>
      <w:r w:rsidR="00D13C52" w:rsidRPr="00196F93">
        <w:rPr>
          <w:rFonts w:cs="Times New Roman"/>
          <w:color w:val="000000" w:themeColor="text1"/>
        </w:rPr>
        <w:t xml:space="preserve">the </w:t>
      </w:r>
      <w:r w:rsidRPr="00196F93">
        <w:rPr>
          <w:rFonts w:cs="Times New Roman"/>
          <w:color w:val="000000" w:themeColor="text1"/>
        </w:rPr>
        <w:t>U.S.</w:t>
      </w:r>
      <w:r w:rsidR="00265AA1">
        <w:rPr>
          <w:rFonts w:cs="Times New Roman"/>
          <w:color w:val="000000" w:themeColor="text1"/>
        </w:rPr>
        <w:t>, and California by</w:t>
      </w:r>
      <w:r w:rsidRPr="00196F93">
        <w:rPr>
          <w:rFonts w:cs="Times New Roman"/>
          <w:color w:val="000000" w:themeColor="text1"/>
        </w:rPr>
        <w:t xml:space="preserve"> </w:t>
      </w:r>
      <w:r w:rsidR="00D13C52" w:rsidRPr="00196F93">
        <w:rPr>
          <w:rFonts w:cs="Times New Roman"/>
          <w:color w:val="000000" w:themeColor="text1"/>
        </w:rPr>
        <w:t>focusing on</w:t>
      </w:r>
      <w:r w:rsidRPr="00196F93">
        <w:rPr>
          <w:rFonts w:cs="Times New Roman"/>
          <w:color w:val="000000" w:themeColor="text1"/>
        </w:rPr>
        <w:t xml:space="preserve"> the role of legal authority, policy priorities, and political economy factors in driving a wedge in approaches</w:t>
      </w:r>
      <w:r w:rsidR="002C5D97">
        <w:rPr>
          <w:rFonts w:cs="Times New Roman"/>
          <w:color w:val="000000" w:themeColor="text1"/>
        </w:rPr>
        <w:t xml:space="preserve">. </w:t>
      </w:r>
      <w:r w:rsidR="0072584F" w:rsidRPr="00196F93">
        <w:rPr>
          <w:rFonts w:cs="Times New Roman"/>
          <w:color w:val="000000" w:themeColor="text1"/>
        </w:rPr>
        <w:t xml:space="preserve">Differences in </w:t>
      </w:r>
      <w:r w:rsidR="002668D5" w:rsidRPr="00196F93">
        <w:rPr>
          <w:rFonts w:cs="Times New Roman"/>
          <w:color w:val="000000" w:themeColor="text1"/>
        </w:rPr>
        <w:t>regulatory mandate</w:t>
      </w:r>
      <w:r w:rsidR="0072584F" w:rsidRPr="00196F93">
        <w:rPr>
          <w:rFonts w:cs="Times New Roman"/>
          <w:color w:val="000000" w:themeColor="text1"/>
        </w:rPr>
        <w:t xml:space="preserve">s between </w:t>
      </w:r>
      <w:r w:rsidR="00AA4FEA">
        <w:rPr>
          <w:rFonts w:cs="Times New Roman"/>
          <w:color w:val="000000" w:themeColor="text1"/>
        </w:rPr>
        <w:t xml:space="preserve">the </w:t>
      </w:r>
      <w:r w:rsidR="0072584F" w:rsidRPr="00196F93">
        <w:rPr>
          <w:rFonts w:cs="Times New Roman"/>
          <w:color w:val="000000" w:themeColor="text1"/>
        </w:rPr>
        <w:t>relevant regulatory bodies</w:t>
      </w:r>
      <w:r w:rsidR="009428CF">
        <w:rPr>
          <w:rFonts w:cs="Times New Roman"/>
          <w:color w:val="000000" w:themeColor="text1"/>
        </w:rPr>
        <w:t xml:space="preserve"> </w:t>
      </w:r>
      <w:r w:rsidR="0072584F" w:rsidRPr="00196F93">
        <w:rPr>
          <w:rFonts w:cs="Times New Roman"/>
          <w:color w:val="000000" w:themeColor="text1"/>
        </w:rPr>
        <w:t xml:space="preserve">and </w:t>
      </w:r>
      <w:r w:rsidR="002668D5" w:rsidRPr="00196F93">
        <w:rPr>
          <w:rFonts w:cs="Times New Roman"/>
          <w:color w:val="000000" w:themeColor="text1"/>
        </w:rPr>
        <w:t>policy</w:t>
      </w:r>
      <w:r w:rsidR="0072584F" w:rsidRPr="00196F93">
        <w:rPr>
          <w:rFonts w:cs="Times New Roman"/>
          <w:color w:val="000000" w:themeColor="text1"/>
        </w:rPr>
        <w:t xml:space="preserve"> priority</w:t>
      </w:r>
      <w:r w:rsidR="002668D5" w:rsidRPr="00196F93">
        <w:rPr>
          <w:rFonts w:cs="Times New Roman"/>
          <w:color w:val="000000" w:themeColor="text1"/>
        </w:rPr>
        <w:t xml:space="preserve"> differences can explain some of this divergence</w:t>
      </w:r>
      <w:r w:rsidR="00D91E6A" w:rsidRPr="00196F93">
        <w:rPr>
          <w:rFonts w:cs="Times New Roman"/>
          <w:color w:val="000000" w:themeColor="text1"/>
        </w:rPr>
        <w:t xml:space="preserve">. </w:t>
      </w:r>
      <w:r w:rsidR="0072584F" w:rsidRPr="00196F93">
        <w:rPr>
          <w:rFonts w:cs="Times New Roman"/>
          <w:color w:val="000000" w:themeColor="text1"/>
        </w:rPr>
        <w:t xml:space="preserve">However, </w:t>
      </w:r>
      <w:r w:rsidR="00265AA1">
        <w:rPr>
          <w:rFonts w:cs="Times New Roman"/>
          <w:color w:val="000000" w:themeColor="text1"/>
        </w:rPr>
        <w:t xml:space="preserve">a richer analysis of the interplay of </w:t>
      </w:r>
      <w:r w:rsidR="0072584F" w:rsidRPr="00196F93">
        <w:rPr>
          <w:rFonts w:cs="Times New Roman"/>
          <w:color w:val="000000" w:themeColor="text1"/>
        </w:rPr>
        <w:t xml:space="preserve">political economy factors </w:t>
      </w:r>
      <w:r w:rsidR="00265AA1">
        <w:rPr>
          <w:rFonts w:cs="Times New Roman"/>
          <w:color w:val="000000" w:themeColor="text1"/>
        </w:rPr>
        <w:t xml:space="preserve">within the context of political institutional design </w:t>
      </w:r>
      <w:r w:rsidR="0072584F" w:rsidRPr="00196F93">
        <w:rPr>
          <w:rFonts w:cs="Times New Roman"/>
          <w:color w:val="000000" w:themeColor="text1"/>
        </w:rPr>
        <w:t xml:space="preserve">can help us </w:t>
      </w:r>
      <w:r w:rsidR="00265AA1">
        <w:rPr>
          <w:rFonts w:cs="Times New Roman"/>
          <w:color w:val="000000" w:themeColor="text1"/>
        </w:rPr>
        <w:t xml:space="preserve">better </w:t>
      </w:r>
      <w:r w:rsidR="0072584F" w:rsidRPr="00196F93">
        <w:rPr>
          <w:rFonts w:cs="Times New Roman"/>
          <w:color w:val="000000" w:themeColor="text1"/>
        </w:rPr>
        <w:t>understand the mechanisms behind th</w:t>
      </w:r>
      <w:r w:rsidR="002C5D97">
        <w:rPr>
          <w:rFonts w:cs="Times New Roman"/>
          <w:color w:val="000000" w:themeColor="text1"/>
        </w:rPr>
        <w:t>e</w:t>
      </w:r>
      <w:r w:rsidR="0072584F" w:rsidRPr="00196F93">
        <w:rPr>
          <w:rFonts w:cs="Times New Roman"/>
          <w:color w:val="000000" w:themeColor="text1"/>
        </w:rPr>
        <w:t xml:space="preserve"> policy divergence and drivers exacerbating this wed</w:t>
      </w:r>
      <w:r w:rsidR="00372B11" w:rsidRPr="00196F93">
        <w:rPr>
          <w:rFonts w:cs="Times New Roman"/>
          <w:color w:val="000000" w:themeColor="text1"/>
        </w:rPr>
        <w:t>ge.</w:t>
      </w:r>
      <w:r w:rsidR="0072584F" w:rsidRPr="00196F93">
        <w:rPr>
          <w:rFonts w:cs="Times New Roman"/>
          <w:color w:val="000000" w:themeColor="text1"/>
        </w:rPr>
        <w:t xml:space="preserve"> </w:t>
      </w:r>
    </w:p>
    <w:p w14:paraId="21D87072" w14:textId="70DD6137" w:rsidR="00D13C52" w:rsidRPr="00054826" w:rsidRDefault="0072584F" w:rsidP="00B71A8C">
      <w:pPr>
        <w:spacing w:line="480" w:lineRule="auto"/>
        <w:ind w:firstLine="720"/>
        <w:contextualSpacing/>
        <w:rPr>
          <w:rFonts w:cs="Times New Roman"/>
          <w:color w:val="000000" w:themeColor="text1"/>
        </w:rPr>
      </w:pPr>
      <w:r w:rsidRPr="00054826">
        <w:rPr>
          <w:rFonts w:cs="Times New Roman"/>
          <w:color w:val="000000" w:themeColor="text1"/>
        </w:rPr>
        <w:t>Differences in</w:t>
      </w:r>
      <w:r w:rsidR="00D72A60" w:rsidRPr="00054826">
        <w:rPr>
          <w:rFonts w:cs="Times New Roman"/>
          <w:color w:val="000000" w:themeColor="text1"/>
        </w:rPr>
        <w:t xml:space="preserve"> political, economic, and institutional factors will drive some variation </w:t>
      </w:r>
      <w:r w:rsidR="00AA4FEA" w:rsidRPr="00054826">
        <w:rPr>
          <w:rFonts w:cs="Times New Roman"/>
          <w:color w:val="000000" w:themeColor="text1"/>
        </w:rPr>
        <w:t xml:space="preserve">across </w:t>
      </w:r>
      <w:r w:rsidR="00D72A60" w:rsidRPr="00054826">
        <w:rPr>
          <w:rFonts w:cs="Times New Roman"/>
          <w:color w:val="000000" w:themeColor="text1"/>
        </w:rPr>
        <w:t>policy preferences.</w:t>
      </w:r>
      <w:r w:rsidR="00AA4FEA" w:rsidRPr="00054826">
        <w:rPr>
          <w:rFonts w:cs="Times New Roman"/>
          <w:color w:val="000000" w:themeColor="text1"/>
        </w:rPr>
        <w:t xml:space="preserve"> </w:t>
      </w:r>
      <w:r w:rsidR="00D72A60" w:rsidRPr="00054826">
        <w:rPr>
          <w:rFonts w:cs="Times New Roman"/>
          <w:color w:val="000000" w:themeColor="text1"/>
        </w:rPr>
        <w:t xml:space="preserve">The market and voting-citizen exposures to fossil fuel investments through retirement security and employment will </w:t>
      </w:r>
      <w:r w:rsidR="00D17D1F" w:rsidRPr="00054826">
        <w:rPr>
          <w:rFonts w:cs="Times New Roman"/>
          <w:color w:val="000000" w:themeColor="text1"/>
        </w:rPr>
        <w:t xml:space="preserve">compound the problem across </w:t>
      </w:r>
      <w:r w:rsidR="00265AA1" w:rsidRPr="00B71A8C">
        <w:rPr>
          <w:rFonts w:cs="Times New Roman"/>
          <w:color w:val="000000" w:themeColor="text1"/>
        </w:rPr>
        <w:t xml:space="preserve">the </w:t>
      </w:r>
      <w:r w:rsidR="00252BC7" w:rsidRPr="00054826">
        <w:rPr>
          <w:rFonts w:cs="Times New Roman"/>
          <w:color w:val="000000" w:themeColor="text1"/>
        </w:rPr>
        <w:t xml:space="preserve">U.S., and especially </w:t>
      </w:r>
      <w:r w:rsidR="00F54ACB" w:rsidRPr="00B71A8C">
        <w:rPr>
          <w:rFonts w:cs="Times New Roman"/>
          <w:color w:val="000000" w:themeColor="text1"/>
        </w:rPr>
        <w:t xml:space="preserve">across </w:t>
      </w:r>
      <w:r w:rsidR="00252BC7" w:rsidRPr="00054826">
        <w:rPr>
          <w:rFonts w:cs="Times New Roman"/>
          <w:color w:val="000000" w:themeColor="text1"/>
        </w:rPr>
        <w:t>many s</w:t>
      </w:r>
      <w:r w:rsidR="00D17D1F" w:rsidRPr="00054826">
        <w:rPr>
          <w:rFonts w:cs="Times New Roman"/>
          <w:color w:val="000000" w:themeColor="text1"/>
        </w:rPr>
        <w:t>tates</w:t>
      </w:r>
      <w:r w:rsidR="00252BC7" w:rsidRPr="00054826">
        <w:rPr>
          <w:rFonts w:cs="Times New Roman"/>
          <w:color w:val="000000" w:themeColor="text1"/>
        </w:rPr>
        <w:t xml:space="preserve"> </w:t>
      </w:r>
      <w:r w:rsidR="00D17D1F" w:rsidRPr="00054826">
        <w:rPr>
          <w:rFonts w:cs="Times New Roman"/>
          <w:color w:val="000000" w:themeColor="text1"/>
        </w:rPr>
        <w:t xml:space="preserve">with </w:t>
      </w:r>
      <w:r w:rsidR="00AA4FEA" w:rsidRPr="00054826">
        <w:rPr>
          <w:rFonts w:cs="Times New Roman"/>
          <w:color w:val="000000" w:themeColor="text1"/>
        </w:rPr>
        <w:t xml:space="preserve">a </w:t>
      </w:r>
      <w:r w:rsidR="00252BC7" w:rsidRPr="00054826">
        <w:rPr>
          <w:rFonts w:cs="Times New Roman"/>
          <w:color w:val="000000" w:themeColor="text1"/>
        </w:rPr>
        <w:t xml:space="preserve">higher </w:t>
      </w:r>
      <w:r w:rsidR="00D17D1F" w:rsidRPr="00054826">
        <w:rPr>
          <w:rFonts w:cs="Times New Roman"/>
          <w:color w:val="000000" w:themeColor="text1"/>
        </w:rPr>
        <w:t>concentrated exposure</w:t>
      </w:r>
      <w:r w:rsidR="00D72A60" w:rsidRPr="00054826">
        <w:rPr>
          <w:rFonts w:cs="Times New Roman"/>
          <w:color w:val="000000" w:themeColor="text1"/>
        </w:rPr>
        <w:t>.</w:t>
      </w:r>
      <w:r w:rsidR="00D17D1F" w:rsidRPr="00054826">
        <w:rPr>
          <w:rFonts w:cs="Times New Roman"/>
          <w:color w:val="000000" w:themeColor="text1"/>
        </w:rPr>
        <w:t xml:space="preserve"> </w:t>
      </w:r>
      <w:r w:rsidR="00D72A60" w:rsidRPr="00054826">
        <w:rPr>
          <w:rFonts w:cs="Times New Roman"/>
          <w:color w:val="000000" w:themeColor="text1"/>
        </w:rPr>
        <w:t>We can expect l</w:t>
      </w:r>
      <w:r w:rsidR="00D17D1F" w:rsidRPr="00054826">
        <w:rPr>
          <w:rFonts w:cs="Times New Roman"/>
          <w:color w:val="000000" w:themeColor="text1"/>
        </w:rPr>
        <w:t xml:space="preserve">obbying will distort </w:t>
      </w:r>
      <w:r w:rsidR="00265AA1" w:rsidRPr="00B71A8C">
        <w:rPr>
          <w:rFonts w:cs="Times New Roman"/>
          <w:color w:val="000000" w:themeColor="text1"/>
        </w:rPr>
        <w:t xml:space="preserve">the </w:t>
      </w:r>
      <w:r w:rsidR="00D17D1F" w:rsidRPr="00054826">
        <w:rPr>
          <w:rFonts w:cs="Times New Roman"/>
          <w:color w:val="000000" w:themeColor="text1"/>
        </w:rPr>
        <w:t xml:space="preserve">shape, speed, and trajectory </w:t>
      </w:r>
      <w:r w:rsidR="00265AA1" w:rsidRPr="00B71A8C">
        <w:rPr>
          <w:rFonts w:cs="Times New Roman"/>
          <w:color w:val="000000" w:themeColor="text1"/>
        </w:rPr>
        <w:t>of the U.S.</w:t>
      </w:r>
      <w:r w:rsidR="002C5D97">
        <w:rPr>
          <w:rFonts w:cs="Times New Roman"/>
          <w:color w:val="000000" w:themeColor="text1"/>
        </w:rPr>
        <w:t xml:space="preserve">; </w:t>
      </w:r>
      <w:r w:rsidR="00D72A60" w:rsidRPr="00054826">
        <w:rPr>
          <w:rFonts w:cs="Times New Roman"/>
          <w:color w:val="000000" w:themeColor="text1"/>
        </w:rPr>
        <w:t xml:space="preserve">while </w:t>
      </w:r>
      <w:r w:rsidR="00D17D1F" w:rsidRPr="00054826">
        <w:rPr>
          <w:rFonts w:cs="Times New Roman"/>
          <w:color w:val="000000" w:themeColor="text1"/>
        </w:rPr>
        <w:t>difference</w:t>
      </w:r>
      <w:r w:rsidR="00D72A60" w:rsidRPr="00054826">
        <w:rPr>
          <w:rFonts w:cs="Times New Roman"/>
          <w:color w:val="000000" w:themeColor="text1"/>
        </w:rPr>
        <w:t>s</w:t>
      </w:r>
      <w:r w:rsidR="00D17D1F" w:rsidRPr="00054826">
        <w:rPr>
          <w:rFonts w:cs="Times New Roman"/>
          <w:color w:val="000000" w:themeColor="text1"/>
        </w:rPr>
        <w:t xml:space="preserve"> in </w:t>
      </w:r>
      <w:r w:rsidR="002C5D97">
        <w:rPr>
          <w:rFonts w:cs="Times New Roman"/>
          <w:color w:val="000000" w:themeColor="text1"/>
        </w:rPr>
        <w:t xml:space="preserve">the </w:t>
      </w:r>
      <w:r w:rsidR="00D17D1F" w:rsidRPr="00054826">
        <w:rPr>
          <w:rFonts w:cs="Times New Roman"/>
          <w:color w:val="000000" w:themeColor="text1"/>
        </w:rPr>
        <w:t>EU</w:t>
      </w:r>
      <w:r w:rsidR="00F54ACB" w:rsidRPr="00B71A8C">
        <w:rPr>
          <w:rFonts w:cs="Times New Roman"/>
          <w:color w:val="000000" w:themeColor="text1"/>
        </w:rPr>
        <w:t>’s</w:t>
      </w:r>
      <w:r w:rsidR="00D17D1F" w:rsidRPr="00054826">
        <w:rPr>
          <w:rFonts w:cs="Times New Roman"/>
          <w:color w:val="000000" w:themeColor="text1"/>
        </w:rPr>
        <w:t xml:space="preserve"> supranational </w:t>
      </w:r>
      <w:r w:rsidR="00F54ACB" w:rsidRPr="00B71A8C">
        <w:rPr>
          <w:rFonts w:cs="Times New Roman"/>
          <w:color w:val="000000" w:themeColor="text1"/>
        </w:rPr>
        <w:t xml:space="preserve">constitutional structure </w:t>
      </w:r>
      <w:r w:rsidR="00D17D1F" w:rsidRPr="00054826">
        <w:rPr>
          <w:rFonts w:cs="Times New Roman"/>
          <w:color w:val="000000" w:themeColor="text1"/>
        </w:rPr>
        <w:t xml:space="preserve">and </w:t>
      </w:r>
      <w:r w:rsidR="00F54ACB" w:rsidRPr="00B71A8C">
        <w:rPr>
          <w:rFonts w:cs="Times New Roman"/>
          <w:color w:val="000000" w:themeColor="text1"/>
        </w:rPr>
        <w:t xml:space="preserve">role of </w:t>
      </w:r>
      <w:r w:rsidR="00D17D1F" w:rsidRPr="00054826">
        <w:rPr>
          <w:rFonts w:cs="Times New Roman"/>
          <w:color w:val="000000" w:themeColor="text1"/>
        </w:rPr>
        <w:t xml:space="preserve">campaign finance </w:t>
      </w:r>
      <w:r w:rsidR="00F54ACB" w:rsidRPr="00B71A8C">
        <w:rPr>
          <w:rFonts w:cs="Times New Roman"/>
          <w:color w:val="000000" w:themeColor="text1"/>
        </w:rPr>
        <w:t>in</w:t>
      </w:r>
      <w:r w:rsidR="00D17D1F" w:rsidRPr="00054826">
        <w:rPr>
          <w:rFonts w:cs="Times New Roman"/>
          <w:color w:val="000000" w:themeColor="text1"/>
        </w:rPr>
        <w:t xml:space="preserve"> non-direct </w:t>
      </w:r>
      <w:r w:rsidR="00F54ACB" w:rsidRPr="00B71A8C">
        <w:rPr>
          <w:rFonts w:cs="Times New Roman"/>
          <w:color w:val="000000" w:themeColor="text1"/>
        </w:rPr>
        <w:t xml:space="preserve">EC </w:t>
      </w:r>
      <w:r w:rsidR="00D17D1F" w:rsidRPr="00054826">
        <w:rPr>
          <w:rFonts w:cs="Times New Roman"/>
          <w:color w:val="000000" w:themeColor="text1"/>
        </w:rPr>
        <w:t xml:space="preserve">elections </w:t>
      </w:r>
      <w:r w:rsidR="00D72A60" w:rsidRPr="00054826">
        <w:rPr>
          <w:rFonts w:cs="Times New Roman"/>
          <w:color w:val="000000" w:themeColor="text1"/>
        </w:rPr>
        <w:t xml:space="preserve">will better </w:t>
      </w:r>
      <w:r w:rsidR="00D17D1F" w:rsidRPr="00054826">
        <w:rPr>
          <w:rFonts w:cs="Times New Roman"/>
          <w:color w:val="000000" w:themeColor="text1"/>
        </w:rPr>
        <w:t xml:space="preserve">insulate policymaking from business </w:t>
      </w:r>
      <w:r w:rsidR="00265AA1" w:rsidRPr="00B71A8C">
        <w:rPr>
          <w:rFonts w:cs="Times New Roman"/>
          <w:color w:val="000000" w:themeColor="text1"/>
        </w:rPr>
        <w:t xml:space="preserve">interests’ </w:t>
      </w:r>
      <w:r w:rsidR="00D17D1F" w:rsidRPr="00054826">
        <w:rPr>
          <w:rFonts w:cs="Times New Roman"/>
          <w:color w:val="000000" w:themeColor="text1"/>
        </w:rPr>
        <w:t xml:space="preserve">influence. </w:t>
      </w:r>
      <w:r w:rsidR="00F97EA1" w:rsidRPr="00054826">
        <w:rPr>
          <w:rFonts w:cs="Times New Roman"/>
          <w:color w:val="000000" w:themeColor="text1"/>
        </w:rPr>
        <w:t>There will likely be convergence on S3, and more ESG factors</w:t>
      </w:r>
      <w:r w:rsidR="00265AA1" w:rsidRPr="00054826">
        <w:rPr>
          <w:rFonts w:cs="Times New Roman"/>
          <w:color w:val="000000" w:themeColor="text1"/>
        </w:rPr>
        <w:t>,</w:t>
      </w:r>
      <w:r w:rsidR="00F97EA1" w:rsidRPr="00054826">
        <w:rPr>
          <w:rFonts w:cs="Times New Roman"/>
          <w:color w:val="000000" w:themeColor="text1"/>
        </w:rPr>
        <w:t xml:space="preserve"> as they become </w:t>
      </w:r>
      <w:r w:rsidR="00265AA1" w:rsidRPr="00054826">
        <w:rPr>
          <w:rFonts w:cs="Times New Roman"/>
          <w:color w:val="000000" w:themeColor="text1"/>
        </w:rPr>
        <w:t xml:space="preserve">more reliable, decision-useful, and critically </w:t>
      </w:r>
      <w:r w:rsidR="00F97EA1" w:rsidRPr="00054826">
        <w:rPr>
          <w:rFonts w:cs="Times New Roman"/>
          <w:color w:val="000000" w:themeColor="text1"/>
        </w:rPr>
        <w:t>financially material to the evolving</w:t>
      </w:r>
      <w:r w:rsidR="00265AA1" w:rsidRPr="00054826">
        <w:rPr>
          <w:rFonts w:cs="Times New Roman"/>
          <w:color w:val="000000" w:themeColor="text1"/>
        </w:rPr>
        <w:t xml:space="preserve"> concept of the</w:t>
      </w:r>
      <w:r w:rsidR="00F97EA1" w:rsidRPr="00054826">
        <w:rPr>
          <w:rFonts w:cs="Times New Roman"/>
          <w:color w:val="000000" w:themeColor="text1"/>
        </w:rPr>
        <w:t xml:space="preserve"> reasonable investor in the market. However, the SEC is much less likely to step in where there are more attenuated links to financial impact.</w:t>
      </w:r>
    </w:p>
    <w:p w14:paraId="41712952" w14:textId="7F54374E" w:rsidR="00A521A6" w:rsidRPr="00196F93" w:rsidRDefault="00D72A60" w:rsidP="00B71A8C">
      <w:pPr>
        <w:spacing w:line="480" w:lineRule="auto"/>
        <w:ind w:firstLine="1080"/>
        <w:contextualSpacing/>
        <w:rPr>
          <w:rFonts w:cs="Times New Roman"/>
          <w:color w:val="000000" w:themeColor="text1"/>
        </w:rPr>
      </w:pPr>
      <w:r w:rsidRPr="00054826">
        <w:rPr>
          <w:rFonts w:cs="Times New Roman"/>
          <w:color w:val="000000" w:themeColor="text1"/>
        </w:rPr>
        <w:t xml:space="preserve">This analysis raises </w:t>
      </w:r>
      <w:r w:rsidR="008028C6" w:rsidRPr="00054826">
        <w:rPr>
          <w:rFonts w:cs="Times New Roman"/>
          <w:color w:val="000000" w:themeColor="text1"/>
        </w:rPr>
        <w:t xml:space="preserve">pertinent institutional design questions around which </w:t>
      </w:r>
      <w:r w:rsidRPr="00054826">
        <w:rPr>
          <w:rFonts w:cs="Times New Roman"/>
          <w:color w:val="000000" w:themeColor="text1"/>
        </w:rPr>
        <w:t>regulatory bod</w:t>
      </w:r>
      <w:r w:rsidR="00F54ACB" w:rsidRPr="00054826">
        <w:rPr>
          <w:rFonts w:cs="Times New Roman"/>
          <w:color w:val="000000" w:themeColor="text1"/>
        </w:rPr>
        <w:t>y</w:t>
      </w:r>
      <w:r w:rsidR="008028C6" w:rsidRPr="00054826">
        <w:rPr>
          <w:rFonts w:cs="Times New Roman"/>
          <w:color w:val="000000" w:themeColor="text1"/>
        </w:rPr>
        <w:t xml:space="preserve"> ought to compel corporate disclosures necessary for broader societal transparency. Moreover, it explores the</w:t>
      </w:r>
      <w:r w:rsidR="00D91E6A" w:rsidRPr="00054826">
        <w:rPr>
          <w:rFonts w:cs="Times New Roman"/>
          <w:color w:val="000000" w:themeColor="text1"/>
        </w:rPr>
        <w:t xml:space="preserve"> </w:t>
      </w:r>
      <w:r w:rsidR="00F54ACB" w:rsidRPr="00054826">
        <w:rPr>
          <w:rFonts w:cs="Times New Roman"/>
          <w:color w:val="000000" w:themeColor="text1"/>
        </w:rPr>
        <w:t xml:space="preserve">interplay of </w:t>
      </w:r>
      <w:r w:rsidR="00D91E6A" w:rsidRPr="00054826">
        <w:rPr>
          <w:rFonts w:cs="Times New Roman"/>
          <w:color w:val="000000" w:themeColor="text1"/>
        </w:rPr>
        <w:t xml:space="preserve">economic interests </w:t>
      </w:r>
      <w:r w:rsidR="00F54ACB" w:rsidRPr="00054826">
        <w:rPr>
          <w:rFonts w:cs="Times New Roman"/>
          <w:color w:val="000000" w:themeColor="text1"/>
        </w:rPr>
        <w:t xml:space="preserve">with the design of </w:t>
      </w:r>
      <w:r w:rsidR="00F54ACB">
        <w:rPr>
          <w:rFonts w:cs="Times New Roman"/>
          <w:color w:val="000000" w:themeColor="text1"/>
        </w:rPr>
        <w:t>policymaking bodies in</w:t>
      </w:r>
      <w:r w:rsidR="00F54ACB" w:rsidRPr="00196F93">
        <w:rPr>
          <w:rFonts w:cs="Times New Roman"/>
          <w:color w:val="000000" w:themeColor="text1"/>
        </w:rPr>
        <w:t xml:space="preserve"> </w:t>
      </w:r>
      <w:r w:rsidR="00D91E6A" w:rsidRPr="00196F93">
        <w:rPr>
          <w:rFonts w:cs="Times New Roman"/>
          <w:color w:val="000000" w:themeColor="text1"/>
        </w:rPr>
        <w:t xml:space="preserve">distorting policy </w:t>
      </w:r>
      <w:r w:rsidR="00F54ACB">
        <w:rPr>
          <w:rFonts w:cs="Times New Roman"/>
          <w:color w:val="000000" w:themeColor="text1"/>
        </w:rPr>
        <w:t>and regulatory outcomes</w:t>
      </w:r>
      <w:r w:rsidR="00D91E6A" w:rsidRPr="00196F93">
        <w:rPr>
          <w:rFonts w:cs="Times New Roman"/>
          <w:color w:val="000000" w:themeColor="text1"/>
        </w:rPr>
        <w:t xml:space="preserve">. Future research can hopefully build on this analysis to better understand what institutional structure may better </w:t>
      </w:r>
      <w:r w:rsidR="00D17D1F" w:rsidRPr="00196F93">
        <w:rPr>
          <w:rFonts w:cs="Times New Roman"/>
          <w:color w:val="000000" w:themeColor="text1"/>
        </w:rPr>
        <w:t xml:space="preserve">limit the distortionary impacts of the influence of </w:t>
      </w:r>
      <w:r w:rsidR="00B903C4" w:rsidRPr="00196F93">
        <w:rPr>
          <w:rFonts w:cs="Times New Roman"/>
          <w:color w:val="000000" w:themeColor="text1"/>
        </w:rPr>
        <w:t>money</w:t>
      </w:r>
      <w:r w:rsidR="00D17D1F" w:rsidRPr="00196F93">
        <w:rPr>
          <w:rFonts w:cs="Times New Roman"/>
          <w:color w:val="000000" w:themeColor="text1"/>
        </w:rPr>
        <w:t xml:space="preserve"> from </w:t>
      </w:r>
      <w:r w:rsidR="00B903C4" w:rsidRPr="00196F93">
        <w:rPr>
          <w:rFonts w:cs="Times New Roman"/>
          <w:color w:val="000000" w:themeColor="text1"/>
        </w:rPr>
        <w:t>f</w:t>
      </w:r>
      <w:r w:rsidR="00D17D1F" w:rsidRPr="00196F93">
        <w:rPr>
          <w:rFonts w:cs="Times New Roman"/>
          <w:color w:val="000000" w:themeColor="text1"/>
        </w:rPr>
        <w:t xml:space="preserve">ossil </w:t>
      </w:r>
      <w:r w:rsidR="00B903C4" w:rsidRPr="00196F93">
        <w:rPr>
          <w:rFonts w:cs="Times New Roman"/>
          <w:color w:val="000000" w:themeColor="text1"/>
        </w:rPr>
        <w:t>f</w:t>
      </w:r>
      <w:r w:rsidR="00D17D1F" w:rsidRPr="00196F93">
        <w:rPr>
          <w:rFonts w:cs="Times New Roman"/>
          <w:color w:val="000000" w:themeColor="text1"/>
        </w:rPr>
        <w:t xml:space="preserve">uel and other industries in driving election outcomes and deciding </w:t>
      </w:r>
      <w:r w:rsidR="00D91E6A" w:rsidRPr="00196F93">
        <w:rPr>
          <w:rFonts w:cs="Times New Roman"/>
          <w:color w:val="000000" w:themeColor="text1"/>
        </w:rPr>
        <w:t>policy</w:t>
      </w:r>
      <w:r w:rsidR="00F54ACB">
        <w:rPr>
          <w:rFonts w:cs="Times New Roman"/>
          <w:color w:val="000000" w:themeColor="text1"/>
        </w:rPr>
        <w:t>,</w:t>
      </w:r>
      <w:r w:rsidR="00D17D1F" w:rsidRPr="00196F93">
        <w:rPr>
          <w:rFonts w:cs="Times New Roman"/>
          <w:color w:val="000000" w:themeColor="text1"/>
        </w:rPr>
        <w:t xml:space="preserve"> </w:t>
      </w:r>
      <w:r w:rsidR="00D91E6A" w:rsidRPr="00196F93">
        <w:rPr>
          <w:rFonts w:cs="Times New Roman"/>
          <w:color w:val="000000" w:themeColor="text1"/>
        </w:rPr>
        <w:t>to a</w:t>
      </w:r>
      <w:r w:rsidR="00D17D1F" w:rsidRPr="00196F93">
        <w:rPr>
          <w:rFonts w:cs="Times New Roman"/>
          <w:color w:val="000000" w:themeColor="text1"/>
        </w:rPr>
        <w:t xml:space="preserve">t least more closely represent the will of the </w:t>
      </w:r>
      <w:r w:rsidR="00D13C52" w:rsidRPr="00196F93">
        <w:rPr>
          <w:rFonts w:cs="Times New Roman"/>
          <w:color w:val="000000" w:themeColor="text1"/>
        </w:rPr>
        <w:t>people’s</w:t>
      </w:r>
      <w:r w:rsidR="00D17D1F" w:rsidRPr="00196F93">
        <w:rPr>
          <w:rFonts w:cs="Times New Roman"/>
          <w:color w:val="000000" w:themeColor="text1"/>
        </w:rPr>
        <w:t xml:space="preserve"> interests</w:t>
      </w:r>
      <w:r w:rsidR="00F54ACB">
        <w:rPr>
          <w:rFonts w:cs="Times New Roman"/>
          <w:color w:val="000000" w:themeColor="text1"/>
        </w:rPr>
        <w:t xml:space="preserve"> and</w:t>
      </w:r>
      <w:r w:rsidR="00D17D1F" w:rsidRPr="00196F93">
        <w:rPr>
          <w:rFonts w:cs="Times New Roman"/>
          <w:color w:val="000000" w:themeColor="text1"/>
        </w:rPr>
        <w:t xml:space="preserve"> economy as whole</w:t>
      </w:r>
      <w:r w:rsidR="002C5D97">
        <w:rPr>
          <w:rFonts w:cs="Times New Roman"/>
          <w:color w:val="000000" w:themeColor="text1"/>
        </w:rPr>
        <w:t xml:space="preserve">, </w:t>
      </w:r>
      <w:r w:rsidR="00D17D1F" w:rsidRPr="00196F93">
        <w:rPr>
          <w:rFonts w:cs="Times New Roman"/>
          <w:color w:val="000000" w:themeColor="text1"/>
        </w:rPr>
        <w:t>versus</w:t>
      </w:r>
      <w:r w:rsidR="002C5D97">
        <w:rPr>
          <w:rFonts w:cs="Times New Roman"/>
          <w:color w:val="000000" w:themeColor="text1"/>
        </w:rPr>
        <w:t xml:space="preserve"> a</w:t>
      </w:r>
      <w:r w:rsidR="00D17D1F" w:rsidRPr="00196F93">
        <w:rPr>
          <w:rFonts w:cs="Times New Roman"/>
          <w:color w:val="000000" w:themeColor="text1"/>
        </w:rPr>
        <w:t xml:space="preserve"> subset of </w:t>
      </w:r>
      <w:r w:rsidR="00D91E6A" w:rsidRPr="00196F93">
        <w:rPr>
          <w:rFonts w:cs="Times New Roman"/>
          <w:color w:val="000000" w:themeColor="text1"/>
        </w:rPr>
        <w:t>today’s</w:t>
      </w:r>
      <w:r w:rsidR="00D17D1F" w:rsidRPr="00196F93">
        <w:rPr>
          <w:rFonts w:cs="Times New Roman"/>
          <w:color w:val="000000" w:themeColor="text1"/>
        </w:rPr>
        <w:t xml:space="preserve"> business interests</w:t>
      </w:r>
      <w:r w:rsidR="008028C6">
        <w:rPr>
          <w:rFonts w:cs="Times New Roman"/>
          <w:color w:val="000000" w:themeColor="text1"/>
        </w:rPr>
        <w:t>.</w:t>
      </w:r>
      <w:r w:rsidR="00F37553">
        <w:rPr>
          <w:rFonts w:cs="Times New Roman"/>
          <w:color w:val="000000" w:themeColor="text1"/>
        </w:rPr>
        <w:t xml:space="preserve"> Future research can additionally hopefully extend this analysis outside the climate disclosure context to better understand the dynamics shaping the broader divergence in approaches to corporate transparency between </w:t>
      </w:r>
      <w:r w:rsidR="00AC7B07">
        <w:rPr>
          <w:rFonts w:cs="Times New Roman"/>
          <w:color w:val="000000" w:themeColor="text1"/>
        </w:rPr>
        <w:t>jurisdictions</w:t>
      </w:r>
      <w:r w:rsidR="00F37553">
        <w:rPr>
          <w:rFonts w:cs="Times New Roman"/>
          <w:color w:val="000000" w:themeColor="text1"/>
        </w:rPr>
        <w:t xml:space="preserve">. </w:t>
      </w:r>
      <w:bookmarkEnd w:id="1"/>
      <w:bookmarkEnd w:id="5"/>
      <w:bookmarkEnd w:id="18"/>
      <w:bookmarkEnd w:id="128"/>
    </w:p>
    <w:sectPr w:rsidR="00A521A6" w:rsidRPr="00196F93" w:rsidSect="008B18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otala, Omar-HLSCLINICS" w:date="2025-03-12T22:24:00Z" w:initials="OM">
    <w:p w14:paraId="42F3271D" w14:textId="77777777" w:rsidR="00E93C02" w:rsidRDefault="00E93C02" w:rsidP="00E93C02">
      <w:r>
        <w:rPr>
          <w:rStyle w:val="CommentReference"/>
        </w:rPr>
        <w:annotationRef/>
      </w:r>
      <w:r>
        <w:rPr>
          <w:sz w:val="20"/>
          <w:szCs w:val="20"/>
        </w:rPr>
        <w:t xml:space="preserve">Contribution: </w:t>
      </w:r>
    </w:p>
    <w:p w14:paraId="053060AD" w14:textId="77777777" w:rsidR="00E93C02" w:rsidRDefault="00E93C02" w:rsidP="00E93C02">
      <w:r>
        <w:rPr>
          <w:sz w:val="20"/>
          <w:szCs w:val="20"/>
        </w:rPr>
        <w:t>1) highlight divergence in corporate transparency/disclosure paradigms through climate case study</w:t>
      </w:r>
    </w:p>
    <w:p w14:paraId="2BF977DC" w14:textId="77777777" w:rsidR="00E93C02" w:rsidRDefault="00E93C02" w:rsidP="00E93C02">
      <w:r>
        <w:rPr>
          <w:sz w:val="20"/>
          <w:szCs w:val="20"/>
        </w:rPr>
        <w:t>2) shine light on how identity of rulemaker shapes disclosure and other CG mandates</w:t>
      </w:r>
    </w:p>
    <w:p w14:paraId="1C77F071" w14:textId="77777777" w:rsidR="00E93C02" w:rsidRDefault="00E93C02" w:rsidP="00E93C02">
      <w:r>
        <w:rPr>
          <w:sz w:val="20"/>
          <w:szCs w:val="20"/>
        </w:rPr>
        <w:t xml:space="preserve">3) analyze the role of political economy factors in further driving a wedge/divergence. </w:t>
      </w:r>
    </w:p>
    <w:p w14:paraId="404FD766" w14:textId="77777777" w:rsidR="00E93C02" w:rsidRDefault="00E93C02" w:rsidP="00E93C02">
      <w:r>
        <w:rPr>
          <w:sz w:val="20"/>
          <w:szCs w:val="20"/>
        </w:rPr>
        <w:t>4) uniquely this paper melds together these factors while adding a STATE-LEVEL exposure analysis to try and explain divergence within US + across EU and US. By shining light on correlation between economic exposure and political posture highlights role of PE factors in driving corporate transparency and CG to meet needs of voting population. Raises interesting analysis for further study to measure degree of causality, but also more importantly to highlight the key factors at play in driving such divergence.</w:t>
      </w:r>
    </w:p>
    <w:p w14:paraId="06A59F1C" w14:textId="77777777" w:rsidR="00E93C02" w:rsidRDefault="00E93C02" w:rsidP="00E93C02">
      <w:r>
        <w:rPr>
          <w:sz w:val="20"/>
          <w:szCs w:val="20"/>
        </w:rPr>
        <w:t>Namely, the importance of understanding the broader economic and social costs imposed by shifting paradigms that reveal a much more complex picture than political culture wars in the US, but rather real economic insecurity in the face of rapid socio-economic change/redevelopment.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59F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B8130" w16cex:dateUtc="2025-03-13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59F1C" w16cid:durableId="590B8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9EDF" w14:textId="77777777" w:rsidR="00DB218F" w:rsidRDefault="00DB218F" w:rsidP="00372B11">
      <w:r>
        <w:separator/>
      </w:r>
    </w:p>
  </w:endnote>
  <w:endnote w:type="continuationSeparator" w:id="0">
    <w:p w14:paraId="2A7EF32C" w14:textId="77777777" w:rsidR="00DB218F" w:rsidRDefault="00DB218F" w:rsidP="00372B11">
      <w:r>
        <w:continuationSeparator/>
      </w:r>
    </w:p>
  </w:endnote>
  <w:endnote w:type="continuationNotice" w:id="1">
    <w:p w14:paraId="373EB206" w14:textId="77777777" w:rsidR="00DB218F" w:rsidRDefault="00DB2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BC16" w14:textId="77777777" w:rsidR="00DB218F" w:rsidRDefault="00DB218F" w:rsidP="00372B11">
      <w:r>
        <w:separator/>
      </w:r>
    </w:p>
  </w:footnote>
  <w:footnote w:type="continuationSeparator" w:id="0">
    <w:p w14:paraId="3DD772DD" w14:textId="77777777" w:rsidR="00DB218F" w:rsidRDefault="00DB218F" w:rsidP="00372B11">
      <w:r>
        <w:continuationSeparator/>
      </w:r>
    </w:p>
  </w:footnote>
  <w:footnote w:type="continuationNotice" w:id="1">
    <w:p w14:paraId="75D67A9A" w14:textId="77777777" w:rsidR="00DB218F" w:rsidRDefault="00DB218F"/>
  </w:footnote>
  <w:footnote w:id="2">
    <w:p w14:paraId="278CD0BF" w14:textId="6CACF46B" w:rsidR="0044358F" w:rsidRPr="003C5AB0" w:rsidRDefault="0044358F">
      <w:pPr>
        <w:pStyle w:val="FootnoteText"/>
        <w:rPr>
          <w:sz w:val="18"/>
          <w:szCs w:val="18"/>
        </w:rPr>
      </w:pPr>
      <w:r w:rsidRPr="003C5AB0">
        <w:rPr>
          <w:rStyle w:val="FootnoteReference"/>
          <w:sz w:val="18"/>
          <w:szCs w:val="18"/>
        </w:rPr>
        <w:footnoteRef/>
      </w:r>
      <w:r w:rsidRPr="003C5AB0">
        <w:rPr>
          <w:sz w:val="18"/>
          <w:szCs w:val="18"/>
        </w:rPr>
        <w:t xml:space="preserve"> </w:t>
      </w:r>
      <w:bookmarkStart w:id="8" w:name="OLE_LINK56"/>
      <w:r w:rsidRPr="003C5AB0">
        <w:rPr>
          <w:color w:val="000000"/>
          <w:sz w:val="18"/>
          <w:szCs w:val="18"/>
        </w:rPr>
        <w:t xml:space="preserve">Oluwatobi Timothy </w:t>
      </w:r>
      <w:proofErr w:type="spellStart"/>
      <w:r w:rsidRPr="003C5AB0">
        <w:rPr>
          <w:color w:val="000000"/>
          <w:sz w:val="18"/>
          <w:szCs w:val="18"/>
        </w:rPr>
        <w:t>Soyombo</w:t>
      </w:r>
      <w:proofErr w:type="spellEnd"/>
      <w:r w:rsidRPr="003C5AB0">
        <w:rPr>
          <w:color w:val="000000"/>
          <w:sz w:val="18"/>
          <w:szCs w:val="18"/>
        </w:rPr>
        <w:t xml:space="preserve"> et al.,</w:t>
      </w:r>
      <w:r w:rsidRPr="003C5AB0">
        <w:rPr>
          <w:rStyle w:val="apple-converted-space"/>
          <w:color w:val="000000"/>
          <w:sz w:val="18"/>
          <w:szCs w:val="18"/>
        </w:rPr>
        <w:t> </w:t>
      </w:r>
      <w:r w:rsidRPr="003C5AB0">
        <w:rPr>
          <w:color w:val="000000"/>
          <w:sz w:val="18"/>
          <w:szCs w:val="18"/>
        </w:rPr>
        <w:t>Sustainability Reporting in corporations: A Comparative Review of practices in the USA and Europe</w:t>
      </w:r>
      <w:r w:rsidRPr="003C5AB0">
        <w:rPr>
          <w:rStyle w:val="apple-converted-space"/>
          <w:color w:val="000000"/>
          <w:sz w:val="18"/>
          <w:szCs w:val="18"/>
        </w:rPr>
        <w:t> </w:t>
      </w:r>
      <w:r w:rsidRPr="003C5AB0">
        <w:rPr>
          <w:color w:val="000000"/>
          <w:sz w:val="18"/>
          <w:szCs w:val="18"/>
        </w:rPr>
        <w:t>GSC Advanced Research and Reviews</w:t>
      </w:r>
      <w:r w:rsidRPr="003C5AB0">
        <w:rPr>
          <w:rStyle w:val="apple-converted-space"/>
          <w:color w:val="000000"/>
          <w:sz w:val="18"/>
          <w:szCs w:val="18"/>
        </w:rPr>
        <w:t> </w:t>
      </w:r>
      <w:r w:rsidRPr="003C5AB0">
        <w:rPr>
          <w:color w:val="000000"/>
          <w:sz w:val="18"/>
          <w:szCs w:val="18"/>
        </w:rPr>
        <w:t>(2024)</w:t>
      </w:r>
      <w:r w:rsidR="00460FE1" w:rsidRPr="003C5AB0">
        <w:rPr>
          <w:color w:val="000000"/>
          <w:sz w:val="18"/>
          <w:szCs w:val="18"/>
        </w:rPr>
        <w:t>.</w:t>
      </w:r>
      <w:bookmarkEnd w:id="8"/>
    </w:p>
  </w:footnote>
  <w:footnote w:id="3">
    <w:p w14:paraId="743D8536" w14:textId="40ECE5F9" w:rsidR="00E35EF9" w:rsidRPr="003C5AB0" w:rsidRDefault="00E35EF9">
      <w:pPr>
        <w:pStyle w:val="FootnoteText"/>
        <w:rPr>
          <w:sz w:val="18"/>
          <w:szCs w:val="18"/>
        </w:rPr>
      </w:pPr>
      <w:r w:rsidRPr="003C5AB0">
        <w:rPr>
          <w:rStyle w:val="FootnoteReference"/>
          <w:sz w:val="18"/>
          <w:szCs w:val="18"/>
        </w:rPr>
        <w:footnoteRef/>
      </w:r>
      <w:r w:rsidRPr="003C5AB0">
        <w:rPr>
          <w:sz w:val="18"/>
          <w:szCs w:val="18"/>
        </w:rPr>
        <w:t xml:space="preserve"> </w:t>
      </w:r>
      <w:r w:rsidR="00B04F1B" w:rsidRPr="003C5AB0">
        <w:rPr>
          <w:color w:val="000000"/>
          <w:sz w:val="18"/>
          <w:szCs w:val="18"/>
        </w:rPr>
        <w:t>Leah Malone et al.,</w:t>
      </w:r>
      <w:r w:rsidR="00B04F1B" w:rsidRPr="003C5AB0">
        <w:rPr>
          <w:rStyle w:val="apple-converted-space"/>
          <w:color w:val="000000"/>
          <w:sz w:val="18"/>
          <w:szCs w:val="18"/>
        </w:rPr>
        <w:t> </w:t>
      </w:r>
      <w:r w:rsidR="006748C7" w:rsidRPr="003C5AB0">
        <w:rPr>
          <w:color w:val="000000"/>
          <w:sz w:val="18"/>
          <w:szCs w:val="18"/>
        </w:rPr>
        <w:t>SEC</w:t>
      </w:r>
      <w:r w:rsidR="00B04F1B" w:rsidRPr="003C5AB0">
        <w:rPr>
          <w:color w:val="000000"/>
          <w:sz w:val="18"/>
          <w:szCs w:val="18"/>
        </w:rPr>
        <w:t xml:space="preserve"> finalizes landmark climate-related disclosure rules</w:t>
      </w:r>
      <w:r w:rsidR="006748C7" w:rsidRPr="003C5AB0">
        <w:rPr>
          <w:color w:val="000000"/>
          <w:sz w:val="18"/>
          <w:szCs w:val="18"/>
        </w:rPr>
        <w:t>,</w:t>
      </w:r>
      <w:r w:rsidR="00B04F1B" w:rsidRPr="003C5AB0">
        <w:rPr>
          <w:rStyle w:val="apple-converted-space"/>
          <w:color w:val="000000"/>
          <w:sz w:val="18"/>
          <w:szCs w:val="18"/>
        </w:rPr>
        <w:t> </w:t>
      </w:r>
      <w:r w:rsidR="00B04F1B" w:rsidRPr="003C5AB0">
        <w:rPr>
          <w:color w:val="000000"/>
          <w:sz w:val="18"/>
          <w:szCs w:val="18"/>
        </w:rPr>
        <w:t>Simpson Thatcher</w:t>
      </w:r>
      <w:r w:rsidR="00B04F1B" w:rsidRPr="003C5AB0">
        <w:rPr>
          <w:rStyle w:val="apple-converted-space"/>
          <w:color w:val="000000"/>
          <w:sz w:val="18"/>
          <w:szCs w:val="18"/>
        </w:rPr>
        <w:t> </w:t>
      </w:r>
      <w:r w:rsidR="00B04F1B" w:rsidRPr="003C5AB0">
        <w:rPr>
          <w:color w:val="000000"/>
          <w:sz w:val="18"/>
          <w:szCs w:val="18"/>
        </w:rPr>
        <w:t xml:space="preserve">(2024), </w:t>
      </w:r>
      <w:hyperlink r:id="rId1" w:history="1">
        <w:r w:rsidR="0004276A" w:rsidRPr="003C5AB0">
          <w:rPr>
            <w:rStyle w:val="Hyperlink"/>
            <w:sz w:val="18"/>
            <w:szCs w:val="18"/>
          </w:rPr>
          <w:t>https://www.stblaw.com/docs/default-source/publications/esg-alert_03_07_24.pdf</w:t>
        </w:r>
      </w:hyperlink>
      <w:r w:rsidR="00B04F1B" w:rsidRPr="003C5AB0">
        <w:rPr>
          <w:color w:val="000000"/>
          <w:sz w:val="18"/>
          <w:szCs w:val="18"/>
        </w:rPr>
        <w:t>.</w:t>
      </w:r>
      <w:r w:rsidR="0004276A" w:rsidRPr="003C5AB0">
        <w:rPr>
          <w:color w:val="000000"/>
          <w:sz w:val="18"/>
          <w:szCs w:val="18"/>
        </w:rPr>
        <w:t xml:space="preserve"> </w:t>
      </w:r>
      <w:r w:rsidR="00B04F1B" w:rsidRPr="003C5AB0">
        <w:rPr>
          <w:rStyle w:val="apple-converted-space"/>
          <w:color w:val="000000"/>
          <w:sz w:val="18"/>
          <w:szCs w:val="18"/>
        </w:rPr>
        <w:t> </w:t>
      </w:r>
    </w:p>
  </w:footnote>
  <w:footnote w:id="4">
    <w:p w14:paraId="24AA1BEF" w14:textId="2753B328" w:rsidR="00E35EF9" w:rsidRPr="003C5AB0" w:rsidRDefault="00E35EF9">
      <w:pPr>
        <w:pStyle w:val="FootnoteText"/>
        <w:rPr>
          <w:sz w:val="18"/>
          <w:szCs w:val="18"/>
        </w:rPr>
      </w:pPr>
      <w:r w:rsidRPr="003C5AB0">
        <w:rPr>
          <w:rStyle w:val="FootnoteReference"/>
          <w:sz w:val="18"/>
          <w:szCs w:val="18"/>
        </w:rPr>
        <w:footnoteRef/>
      </w:r>
      <w:r w:rsidRPr="003C5AB0">
        <w:rPr>
          <w:sz w:val="18"/>
          <w:szCs w:val="18"/>
        </w:rPr>
        <w:t xml:space="preserve"> </w:t>
      </w:r>
      <w:r w:rsidR="00807B52" w:rsidRPr="003C5AB0">
        <w:rPr>
          <w:color w:val="000000"/>
          <w:sz w:val="18"/>
          <w:szCs w:val="18"/>
        </w:rPr>
        <w:t xml:space="preserve">Helen </w:t>
      </w:r>
      <w:bookmarkStart w:id="10" w:name="OLE_LINK122"/>
      <w:r w:rsidR="00807B52" w:rsidRPr="003C5AB0">
        <w:rPr>
          <w:color w:val="000000"/>
          <w:sz w:val="18"/>
          <w:szCs w:val="18"/>
        </w:rPr>
        <w:t>Booth-Tobin</w:t>
      </w:r>
      <w:bookmarkEnd w:id="10"/>
      <w:r w:rsidR="00807B52" w:rsidRPr="003C5AB0">
        <w:rPr>
          <w:color w:val="000000"/>
          <w:sz w:val="18"/>
          <w:szCs w:val="18"/>
        </w:rPr>
        <w:t>,</w:t>
      </w:r>
      <w:r w:rsidR="00807B52" w:rsidRPr="003C5AB0">
        <w:rPr>
          <w:rStyle w:val="apple-converted-space"/>
          <w:color w:val="000000"/>
          <w:sz w:val="18"/>
          <w:szCs w:val="18"/>
        </w:rPr>
        <w:t> </w:t>
      </w:r>
      <w:r w:rsidR="00807B52" w:rsidRPr="003C5AB0">
        <w:rPr>
          <w:color w:val="000000"/>
          <w:sz w:val="18"/>
          <w:szCs w:val="18"/>
        </w:rPr>
        <w:t>California’s first-in-the-nation climate disclosure legislation sets new standard for corporate transparency,</w:t>
      </w:r>
      <w:r w:rsidR="00807B52" w:rsidRPr="003C5AB0">
        <w:rPr>
          <w:rStyle w:val="apple-converted-space"/>
          <w:color w:val="000000"/>
          <w:sz w:val="18"/>
          <w:szCs w:val="18"/>
        </w:rPr>
        <w:t> </w:t>
      </w:r>
      <w:r w:rsidR="00807B52" w:rsidRPr="003C5AB0">
        <w:rPr>
          <w:color w:val="000000"/>
          <w:sz w:val="18"/>
          <w:szCs w:val="18"/>
        </w:rPr>
        <w:t>Ceres</w:t>
      </w:r>
      <w:r w:rsidR="00807B52" w:rsidRPr="003C5AB0">
        <w:rPr>
          <w:rStyle w:val="apple-converted-space"/>
          <w:color w:val="000000"/>
          <w:sz w:val="18"/>
          <w:szCs w:val="18"/>
        </w:rPr>
        <w:t> </w:t>
      </w:r>
      <w:r w:rsidR="00807B52" w:rsidRPr="003C5AB0">
        <w:rPr>
          <w:color w:val="000000"/>
          <w:sz w:val="18"/>
          <w:szCs w:val="18"/>
        </w:rPr>
        <w:t xml:space="preserve">(2023), </w:t>
      </w:r>
      <w:hyperlink r:id="rId2" w:history="1">
        <w:r w:rsidR="0004276A" w:rsidRPr="003C5AB0">
          <w:rPr>
            <w:rStyle w:val="Hyperlink"/>
            <w:sz w:val="18"/>
            <w:szCs w:val="18"/>
          </w:rPr>
          <w:t>https://www.ceres.org/news-center/press-releases/californias-first-nation-climate-disclosure-legislation-sets-new</w:t>
        </w:r>
      </w:hyperlink>
      <w:r w:rsidR="00807B52" w:rsidRPr="003C5AB0">
        <w:rPr>
          <w:color w:val="000000"/>
          <w:sz w:val="18"/>
          <w:szCs w:val="18"/>
        </w:rPr>
        <w:t>.</w:t>
      </w:r>
      <w:r w:rsidR="0004276A" w:rsidRPr="003C5AB0">
        <w:rPr>
          <w:color w:val="000000"/>
          <w:sz w:val="18"/>
          <w:szCs w:val="18"/>
        </w:rPr>
        <w:t xml:space="preserve"> </w:t>
      </w:r>
      <w:r w:rsidR="00807B52" w:rsidRPr="003C5AB0">
        <w:rPr>
          <w:rStyle w:val="apple-converted-space"/>
          <w:color w:val="000000"/>
          <w:sz w:val="18"/>
          <w:szCs w:val="18"/>
        </w:rPr>
        <w:t> </w:t>
      </w:r>
    </w:p>
  </w:footnote>
  <w:footnote w:id="5">
    <w:p w14:paraId="29833587" w14:textId="72195CC3" w:rsidR="00790DBE" w:rsidRPr="003C5AB0" w:rsidRDefault="00790DBE">
      <w:pPr>
        <w:pStyle w:val="FootnoteText"/>
        <w:rPr>
          <w:sz w:val="18"/>
          <w:szCs w:val="18"/>
        </w:rPr>
      </w:pPr>
      <w:r w:rsidRPr="003C5AB0">
        <w:rPr>
          <w:rStyle w:val="FootnoteReference"/>
          <w:sz w:val="18"/>
          <w:szCs w:val="18"/>
        </w:rPr>
        <w:footnoteRef/>
      </w:r>
      <w:r w:rsidRPr="003C5AB0">
        <w:rPr>
          <w:sz w:val="18"/>
          <w:szCs w:val="18"/>
        </w:rPr>
        <w:t xml:space="preserve"> </w:t>
      </w:r>
      <w:r w:rsidR="00351D45" w:rsidRPr="003C5AB0">
        <w:rPr>
          <w:color w:val="000000"/>
          <w:sz w:val="18"/>
          <w:szCs w:val="18"/>
        </w:rPr>
        <w:t>Corporate sustainability reporting,</w:t>
      </w:r>
      <w:r w:rsidR="00351D45" w:rsidRPr="003C5AB0">
        <w:rPr>
          <w:rStyle w:val="apple-converted-space"/>
          <w:color w:val="000000"/>
          <w:sz w:val="18"/>
          <w:szCs w:val="18"/>
        </w:rPr>
        <w:t> </w:t>
      </w:r>
      <w:r w:rsidR="00351D45" w:rsidRPr="003C5AB0">
        <w:rPr>
          <w:color w:val="000000"/>
          <w:sz w:val="18"/>
          <w:szCs w:val="18"/>
        </w:rPr>
        <w:t>EU Commission</w:t>
      </w:r>
      <w:r w:rsidR="00351D45" w:rsidRPr="003C5AB0">
        <w:rPr>
          <w:rStyle w:val="apple-converted-space"/>
          <w:color w:val="000000"/>
          <w:sz w:val="18"/>
          <w:szCs w:val="18"/>
        </w:rPr>
        <w:t> </w:t>
      </w:r>
      <w:r w:rsidR="00351D45" w:rsidRPr="003C5AB0">
        <w:rPr>
          <w:color w:val="000000"/>
          <w:sz w:val="18"/>
          <w:szCs w:val="18"/>
        </w:rPr>
        <w:t xml:space="preserve">(2024), </w:t>
      </w:r>
      <w:hyperlink r:id="rId3" w:history="1">
        <w:r w:rsidR="00351D45" w:rsidRPr="003C5AB0">
          <w:rPr>
            <w:rStyle w:val="Hyperlink"/>
            <w:sz w:val="18"/>
            <w:szCs w:val="18"/>
          </w:rPr>
          <w:t>https://finance.ec.europa.eu/capital-markets-union-and-financial-markets/company-reporting-and-auditing/company-reporting/corporate-sustainability-reporting_en</w:t>
        </w:r>
      </w:hyperlink>
      <w:r w:rsidR="00351D45" w:rsidRPr="003C5AB0">
        <w:rPr>
          <w:color w:val="000000"/>
          <w:sz w:val="18"/>
          <w:szCs w:val="18"/>
        </w:rPr>
        <w:t>.</w:t>
      </w:r>
      <w:r w:rsidR="00351D45" w:rsidRPr="003C5AB0">
        <w:rPr>
          <w:rStyle w:val="apple-converted-space"/>
          <w:color w:val="000000"/>
          <w:sz w:val="18"/>
          <w:szCs w:val="18"/>
        </w:rPr>
        <w:t xml:space="preserve"> </w:t>
      </w:r>
    </w:p>
  </w:footnote>
  <w:footnote w:id="6">
    <w:p w14:paraId="5C3534D4" w14:textId="19F44A5D" w:rsidR="00980846" w:rsidRPr="003C5AB0" w:rsidRDefault="00980846" w:rsidP="00980846">
      <w:pPr>
        <w:pStyle w:val="FootnoteText"/>
        <w:rPr>
          <w:sz w:val="18"/>
          <w:szCs w:val="18"/>
        </w:rPr>
      </w:pPr>
      <w:r w:rsidRPr="003C5AB0">
        <w:rPr>
          <w:rStyle w:val="FootnoteReference"/>
          <w:sz w:val="18"/>
          <w:szCs w:val="18"/>
        </w:rPr>
        <w:footnoteRef/>
      </w:r>
      <w:r w:rsidRPr="003C5AB0">
        <w:rPr>
          <w:sz w:val="18"/>
          <w:szCs w:val="18"/>
        </w:rPr>
        <w:t xml:space="preserve"> </w:t>
      </w:r>
      <w:r w:rsidRPr="003C5AB0">
        <w:rPr>
          <w:rFonts w:cs="Times New Roman"/>
          <w:color w:val="000000" w:themeColor="text1"/>
          <w:sz w:val="18"/>
          <w:szCs w:val="18"/>
        </w:rPr>
        <w:t>George J. Benston,</w:t>
      </w:r>
      <w:r w:rsidR="0004276A" w:rsidRPr="003C5AB0">
        <w:rPr>
          <w:rFonts w:cs="Times New Roman"/>
          <w:color w:val="000000" w:themeColor="text1"/>
          <w:sz w:val="18"/>
          <w:szCs w:val="18"/>
        </w:rPr>
        <w:t xml:space="preserve"> </w:t>
      </w:r>
      <w:r w:rsidRPr="003C5AB0">
        <w:rPr>
          <w:rFonts w:cs="Times New Roman"/>
          <w:color w:val="000000" w:themeColor="text1"/>
          <w:sz w:val="18"/>
          <w:szCs w:val="18"/>
        </w:rPr>
        <w:t>Accounting and corporate accountability</w:t>
      </w:r>
      <w:r w:rsidR="0004276A" w:rsidRPr="003C5AB0">
        <w:rPr>
          <w:rFonts w:cs="Times New Roman"/>
          <w:color w:val="000000" w:themeColor="text1"/>
          <w:sz w:val="18"/>
          <w:szCs w:val="18"/>
        </w:rPr>
        <w:t xml:space="preserve">, </w:t>
      </w:r>
      <w:r w:rsidRPr="003C5AB0">
        <w:rPr>
          <w:rFonts w:cs="Times New Roman"/>
          <w:color w:val="000000" w:themeColor="text1"/>
          <w:sz w:val="18"/>
          <w:szCs w:val="18"/>
        </w:rPr>
        <w:t xml:space="preserve">Accounting, Organizations and Society, Elsevier, vol. 7(2), 87-105 (1982). </w:t>
      </w:r>
    </w:p>
  </w:footnote>
  <w:footnote w:id="7">
    <w:p w14:paraId="00389990" w14:textId="1333CA05" w:rsidR="00980846" w:rsidRPr="003C5AB0" w:rsidRDefault="00980846" w:rsidP="00980846">
      <w:pPr>
        <w:pStyle w:val="FootnoteText"/>
        <w:rPr>
          <w:sz w:val="18"/>
          <w:szCs w:val="18"/>
        </w:rPr>
      </w:pPr>
      <w:r w:rsidRPr="003C5AB0">
        <w:rPr>
          <w:rStyle w:val="FootnoteReference"/>
          <w:sz w:val="18"/>
          <w:szCs w:val="18"/>
        </w:rPr>
        <w:footnoteRef/>
      </w:r>
      <w:r w:rsidRPr="003C5AB0">
        <w:rPr>
          <w:sz w:val="18"/>
          <w:szCs w:val="18"/>
        </w:rPr>
        <w:t xml:space="preserve"> </w:t>
      </w:r>
      <w:r w:rsidR="00351D45" w:rsidRPr="003C5AB0">
        <w:rPr>
          <w:rFonts w:cs="Times New Roman"/>
          <w:i/>
          <w:iCs/>
          <w:color w:val="000000" w:themeColor="text1"/>
          <w:sz w:val="18"/>
          <w:szCs w:val="18"/>
        </w:rPr>
        <w:t>Id.</w:t>
      </w:r>
      <w:r w:rsidRPr="003C5AB0">
        <w:rPr>
          <w:rFonts w:cs="Times New Roman"/>
          <w:i/>
          <w:iCs/>
          <w:color w:val="000000" w:themeColor="text1"/>
          <w:sz w:val="18"/>
          <w:szCs w:val="18"/>
        </w:rPr>
        <w:t xml:space="preserve"> </w:t>
      </w:r>
    </w:p>
  </w:footnote>
  <w:footnote w:id="8">
    <w:p w14:paraId="78597FE0" w14:textId="75A79EF8" w:rsidR="003B5F61" w:rsidRPr="004A5F86" w:rsidRDefault="003B5F61">
      <w:pPr>
        <w:pStyle w:val="FootnoteText"/>
        <w:rPr>
          <w:sz w:val="18"/>
          <w:szCs w:val="18"/>
        </w:rPr>
      </w:pPr>
      <w:r w:rsidRPr="004A5F86">
        <w:rPr>
          <w:rStyle w:val="FootnoteReference"/>
          <w:sz w:val="18"/>
          <w:szCs w:val="18"/>
        </w:rPr>
        <w:footnoteRef/>
      </w:r>
      <w:r w:rsidRPr="004A5F86">
        <w:rPr>
          <w:sz w:val="18"/>
          <w:szCs w:val="18"/>
        </w:rPr>
        <w:t xml:space="preserve"> </w:t>
      </w:r>
      <w:r w:rsidRPr="003C5AB0">
        <w:rPr>
          <w:color w:val="000000"/>
          <w:sz w:val="18"/>
          <w:szCs w:val="18"/>
        </w:rPr>
        <w:t>Stavros Gadinis,</w:t>
      </w:r>
      <w:r w:rsidRPr="003C5AB0">
        <w:rPr>
          <w:rStyle w:val="apple-converted-space"/>
          <w:color w:val="000000"/>
          <w:sz w:val="18"/>
          <w:szCs w:val="18"/>
        </w:rPr>
        <w:t> </w:t>
      </w:r>
      <w:r w:rsidRPr="003C5AB0">
        <w:rPr>
          <w:color w:val="000000"/>
          <w:sz w:val="18"/>
          <w:szCs w:val="18"/>
        </w:rPr>
        <w:t xml:space="preserve">Dissonance in </w:t>
      </w:r>
      <w:r w:rsidRPr="004A5F86">
        <w:rPr>
          <w:color w:val="000000"/>
          <w:sz w:val="18"/>
          <w:szCs w:val="18"/>
        </w:rPr>
        <w:t>C</w:t>
      </w:r>
      <w:r w:rsidRPr="003C5AB0">
        <w:rPr>
          <w:color w:val="000000"/>
          <w:sz w:val="18"/>
          <w:szCs w:val="18"/>
        </w:rPr>
        <w:t xml:space="preserve">limate </w:t>
      </w:r>
      <w:r w:rsidRPr="004A5F86">
        <w:rPr>
          <w:color w:val="000000"/>
          <w:sz w:val="18"/>
          <w:szCs w:val="18"/>
        </w:rPr>
        <w:t>D</w:t>
      </w:r>
      <w:r w:rsidRPr="003C5AB0">
        <w:rPr>
          <w:color w:val="000000"/>
          <w:sz w:val="18"/>
          <w:szCs w:val="18"/>
        </w:rPr>
        <w:t>isclosure: The SEC, EU, California, and ISSB regimes</w:t>
      </w:r>
      <w:r w:rsidRPr="003C5AB0">
        <w:rPr>
          <w:rStyle w:val="apple-converted-space"/>
          <w:color w:val="000000"/>
          <w:sz w:val="18"/>
          <w:szCs w:val="18"/>
        </w:rPr>
        <w:t> </w:t>
      </w:r>
      <w:r w:rsidRPr="003C5AB0">
        <w:rPr>
          <w:color w:val="000000"/>
          <w:sz w:val="18"/>
          <w:szCs w:val="18"/>
        </w:rPr>
        <w:t>SSRN</w:t>
      </w:r>
      <w:r w:rsidRPr="003C5AB0">
        <w:rPr>
          <w:rStyle w:val="apple-converted-space"/>
          <w:color w:val="000000"/>
          <w:sz w:val="18"/>
          <w:szCs w:val="18"/>
        </w:rPr>
        <w:t> </w:t>
      </w:r>
      <w:r w:rsidRPr="003C5AB0">
        <w:rPr>
          <w:color w:val="000000"/>
          <w:sz w:val="18"/>
          <w:szCs w:val="18"/>
        </w:rPr>
        <w:t>(2024)</w:t>
      </w:r>
      <w:r w:rsidR="00460FE1" w:rsidRPr="003C5AB0">
        <w:rPr>
          <w:color w:val="000000"/>
          <w:sz w:val="18"/>
          <w:szCs w:val="18"/>
        </w:rPr>
        <w:t>.</w:t>
      </w:r>
    </w:p>
  </w:footnote>
  <w:footnote w:id="9">
    <w:p w14:paraId="36BFB226" w14:textId="60B7BCF4" w:rsidR="00017AE6" w:rsidRPr="004A5F86" w:rsidRDefault="00017AE6">
      <w:pPr>
        <w:pStyle w:val="FootnoteText"/>
        <w:rPr>
          <w:sz w:val="18"/>
          <w:szCs w:val="18"/>
        </w:rPr>
      </w:pPr>
      <w:r w:rsidRPr="004A5F86">
        <w:rPr>
          <w:rStyle w:val="FootnoteReference"/>
          <w:sz w:val="18"/>
          <w:szCs w:val="18"/>
        </w:rPr>
        <w:footnoteRef/>
      </w:r>
      <w:r w:rsidRPr="004A5F86">
        <w:rPr>
          <w:sz w:val="18"/>
          <w:szCs w:val="18"/>
        </w:rPr>
        <w:t xml:space="preserve"> </w:t>
      </w:r>
      <w:bookmarkStart w:id="14" w:name="OLE_LINK11"/>
      <w:r w:rsidRPr="003C5AB0">
        <w:rPr>
          <w:sz w:val="18"/>
          <w:szCs w:val="18"/>
        </w:rPr>
        <w:t>Jeffrey N. Gordon, Unbundling Climate Change Risk from ESG (August 19, 2023). Columbia Law and Economics Working Paper No. 667, 5</w:t>
      </w:r>
      <w:bookmarkEnd w:id="14"/>
      <w:r w:rsidR="00460FE1" w:rsidRPr="003C5AB0">
        <w:rPr>
          <w:sz w:val="18"/>
          <w:szCs w:val="18"/>
        </w:rPr>
        <w:t>.</w:t>
      </w:r>
    </w:p>
  </w:footnote>
  <w:footnote w:id="10">
    <w:p w14:paraId="67DB8425" w14:textId="0E170487" w:rsidR="00C807C8" w:rsidRPr="004A5F86" w:rsidRDefault="00C807C8">
      <w:pPr>
        <w:pStyle w:val="FootnoteText"/>
        <w:rPr>
          <w:sz w:val="18"/>
          <w:szCs w:val="18"/>
        </w:rPr>
      </w:pPr>
      <w:r w:rsidRPr="004A5F86">
        <w:rPr>
          <w:rStyle w:val="FootnoteReference"/>
          <w:sz w:val="18"/>
          <w:szCs w:val="18"/>
        </w:rPr>
        <w:footnoteRef/>
      </w:r>
      <w:r w:rsidRPr="004A5F86">
        <w:rPr>
          <w:sz w:val="18"/>
          <w:szCs w:val="18"/>
        </w:rPr>
        <w:t xml:space="preserve"> </w:t>
      </w:r>
      <w:r w:rsidR="003B5F61" w:rsidRPr="003C5AB0">
        <w:rPr>
          <w:sz w:val="18"/>
          <w:szCs w:val="18"/>
        </w:rPr>
        <w:t xml:space="preserve">John </w:t>
      </w:r>
      <w:proofErr w:type="spellStart"/>
      <w:r w:rsidR="003B5F61" w:rsidRPr="003C5AB0">
        <w:rPr>
          <w:sz w:val="18"/>
          <w:szCs w:val="18"/>
        </w:rPr>
        <w:t>Armour</w:t>
      </w:r>
      <w:proofErr w:type="spellEnd"/>
      <w:r w:rsidR="003B5F61" w:rsidRPr="003C5AB0">
        <w:rPr>
          <w:sz w:val="18"/>
          <w:szCs w:val="18"/>
        </w:rPr>
        <w:t xml:space="preserve"> &amp; David A. Jr. Skeel, "Who Writes the Rules for Hostile Takeovers, and Why? The Peculiar Divergence of US and UK Takeover Regulation" (2007). Faculty Scholarship at Penn Law. </w:t>
      </w:r>
    </w:p>
  </w:footnote>
  <w:footnote w:id="11">
    <w:p w14:paraId="4D297557" w14:textId="31C73C20"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22" w:name="OLE_LINK117"/>
      <w:bookmarkStart w:id="23" w:name="OLE_LINK37"/>
      <w:r w:rsidR="00991B71" w:rsidRPr="003C5AB0">
        <w:rPr>
          <w:sz w:val="18"/>
          <w:szCs w:val="18"/>
        </w:rPr>
        <w:t>Directive (EU) 2022/2464 of the European Parliament and of the Council of 14 December 2022</w:t>
      </w:r>
      <w:r w:rsidR="00CF2091" w:rsidRPr="003C5AB0">
        <w:rPr>
          <w:sz w:val="18"/>
          <w:szCs w:val="18"/>
        </w:rPr>
        <w:t>,</w:t>
      </w:r>
      <w:r w:rsidR="00991B71" w:rsidRPr="003C5AB0">
        <w:rPr>
          <w:sz w:val="18"/>
          <w:szCs w:val="18"/>
        </w:rPr>
        <w:t xml:space="preserve"> amending Regulation (EU) No 537/2014, Directive 2004/109/EC, Directive 2006/43/EC and Directive 2013/34/EU. </w:t>
      </w:r>
      <w:hyperlink r:id="rId4" w:history="1">
        <w:r w:rsidR="00991B71" w:rsidRPr="003C5AB0">
          <w:rPr>
            <w:rStyle w:val="Hyperlink"/>
            <w:sz w:val="18"/>
            <w:szCs w:val="18"/>
          </w:rPr>
          <w:t>https://eur-lex.europa.eu/legal-content/EN/TXT/?uri=CELEX:32022L2464</w:t>
        </w:r>
      </w:hyperlink>
      <w:r w:rsidR="00C2226B" w:rsidRPr="003C5AB0">
        <w:rPr>
          <w:sz w:val="18"/>
          <w:szCs w:val="18"/>
        </w:rPr>
        <w:t xml:space="preserve"> </w:t>
      </w:r>
      <w:bookmarkEnd w:id="22"/>
      <w:bookmarkEnd w:id="23"/>
    </w:p>
  </w:footnote>
  <w:footnote w:id="12">
    <w:p w14:paraId="53C7726D" w14:textId="77777777" w:rsidR="004F4761" w:rsidRPr="003C5AB0" w:rsidRDefault="004F4761" w:rsidP="004F4761">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13">
    <w:p w14:paraId="37014949" w14:textId="4EF916F9" w:rsidR="00BD4410" w:rsidRPr="003C5AB0" w:rsidRDefault="00BD4410">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14">
    <w:p w14:paraId="491D33BF" w14:textId="2F38F522" w:rsidR="00991B71" w:rsidRPr="003C5AB0" w:rsidRDefault="00991B71">
      <w:pPr>
        <w:pStyle w:val="FootnoteText"/>
        <w:rPr>
          <w:sz w:val="18"/>
          <w:szCs w:val="18"/>
        </w:rPr>
      </w:pPr>
      <w:r w:rsidRPr="003C5AB0">
        <w:rPr>
          <w:rStyle w:val="FootnoteReference"/>
          <w:sz w:val="18"/>
          <w:szCs w:val="18"/>
        </w:rPr>
        <w:footnoteRef/>
      </w:r>
      <w:r w:rsidRPr="003C5AB0">
        <w:rPr>
          <w:sz w:val="18"/>
          <w:szCs w:val="18"/>
        </w:rPr>
        <w:t xml:space="preserve"> </w:t>
      </w:r>
      <w:r w:rsidR="00CF2091" w:rsidRPr="003C5AB0">
        <w:rPr>
          <w:i/>
          <w:iCs/>
          <w:sz w:val="18"/>
          <w:szCs w:val="18"/>
        </w:rPr>
        <w:t>Id.</w:t>
      </w:r>
    </w:p>
  </w:footnote>
  <w:footnote w:id="15">
    <w:p w14:paraId="42F995AB" w14:textId="2ED9F70E" w:rsidR="001947F7" w:rsidRPr="003C5AB0" w:rsidRDefault="001947F7">
      <w:pPr>
        <w:pStyle w:val="FootnoteText"/>
        <w:rPr>
          <w:sz w:val="18"/>
          <w:szCs w:val="18"/>
        </w:rPr>
      </w:pPr>
      <w:r w:rsidRPr="003C5AB0">
        <w:rPr>
          <w:rStyle w:val="FootnoteReference"/>
          <w:sz w:val="18"/>
          <w:szCs w:val="18"/>
        </w:rPr>
        <w:footnoteRef/>
      </w:r>
      <w:r w:rsidRPr="003C5AB0">
        <w:rPr>
          <w:sz w:val="18"/>
          <w:szCs w:val="18"/>
        </w:rPr>
        <w:t xml:space="preserve"> </w:t>
      </w:r>
      <w:r w:rsidR="009A429C" w:rsidRPr="003C5AB0">
        <w:rPr>
          <w:i/>
          <w:iCs/>
          <w:sz w:val="18"/>
          <w:szCs w:val="18"/>
        </w:rPr>
        <w:t>Id.</w:t>
      </w:r>
    </w:p>
  </w:footnote>
  <w:footnote w:id="16">
    <w:p w14:paraId="7871B232" w14:textId="2F3302FE" w:rsidR="00E50015" w:rsidRPr="003C5AB0" w:rsidRDefault="00E50015" w:rsidP="00E50015">
      <w:pPr>
        <w:pStyle w:val="FootnoteText"/>
        <w:rPr>
          <w:sz w:val="18"/>
          <w:szCs w:val="18"/>
        </w:rPr>
      </w:pPr>
      <w:r w:rsidRPr="003C5AB0">
        <w:rPr>
          <w:rStyle w:val="FootnoteReference"/>
          <w:sz w:val="18"/>
          <w:szCs w:val="18"/>
        </w:rPr>
        <w:footnoteRef/>
      </w:r>
      <w:bookmarkStart w:id="24" w:name="OLE_LINK9"/>
      <w:r w:rsidRPr="003C5AB0">
        <w:rPr>
          <w:sz w:val="18"/>
          <w:szCs w:val="18"/>
        </w:rPr>
        <w:t xml:space="preserve"> </w:t>
      </w:r>
      <w:bookmarkStart w:id="25" w:name="OLE_LINK39"/>
      <w:r w:rsidR="00F11873" w:rsidRPr="003C5AB0">
        <w:rPr>
          <w:color w:val="000000"/>
          <w:sz w:val="18"/>
          <w:szCs w:val="18"/>
        </w:rPr>
        <w:t>Gadinis,</w:t>
      </w:r>
      <w:r w:rsidR="00F11873" w:rsidRPr="003C5AB0">
        <w:rPr>
          <w:rStyle w:val="apple-converted-space"/>
          <w:color w:val="000000"/>
          <w:sz w:val="18"/>
          <w:szCs w:val="18"/>
        </w:rPr>
        <w:t> </w:t>
      </w:r>
      <w:r w:rsidR="000C3916" w:rsidRPr="004A5F86">
        <w:rPr>
          <w:rStyle w:val="apple-converted-space"/>
          <w:color w:val="000000"/>
          <w:sz w:val="18"/>
          <w:szCs w:val="18"/>
        </w:rPr>
        <w:t xml:space="preserve">supra note </w:t>
      </w:r>
      <w:r w:rsidR="000C3916" w:rsidRPr="004A5F86">
        <w:rPr>
          <w:rStyle w:val="apple-converted-space"/>
          <w:color w:val="000000"/>
          <w:sz w:val="18"/>
          <w:szCs w:val="18"/>
        </w:rPr>
        <w:fldChar w:fldCharType="begin"/>
      </w:r>
      <w:r w:rsidR="000C3916" w:rsidRPr="004A5F86">
        <w:rPr>
          <w:rStyle w:val="apple-converted-space"/>
          <w:color w:val="000000"/>
          <w:sz w:val="18"/>
          <w:szCs w:val="18"/>
        </w:rPr>
        <w:instrText xml:space="preserve"> NOTEREF _Ref191563183 \h </w:instrText>
      </w:r>
      <w:r w:rsidR="008439E1" w:rsidRPr="004A5F86">
        <w:rPr>
          <w:rStyle w:val="apple-converted-space"/>
          <w:color w:val="000000"/>
          <w:sz w:val="18"/>
          <w:szCs w:val="18"/>
        </w:rPr>
        <w:instrText xml:space="preserve"> \* MERGEFORMAT </w:instrText>
      </w:r>
      <w:r w:rsidR="000C3916" w:rsidRPr="004A5F86">
        <w:rPr>
          <w:rStyle w:val="apple-converted-space"/>
          <w:color w:val="000000"/>
          <w:sz w:val="18"/>
          <w:szCs w:val="18"/>
        </w:rPr>
      </w:r>
      <w:r w:rsidR="000C3916" w:rsidRPr="004A5F86">
        <w:rPr>
          <w:rStyle w:val="apple-converted-space"/>
          <w:color w:val="000000"/>
          <w:sz w:val="18"/>
          <w:szCs w:val="18"/>
        </w:rPr>
        <w:fldChar w:fldCharType="separate"/>
      </w:r>
      <w:r w:rsidR="003C5AB0">
        <w:rPr>
          <w:rStyle w:val="apple-converted-space"/>
          <w:color w:val="000000"/>
          <w:sz w:val="18"/>
          <w:szCs w:val="18"/>
        </w:rPr>
        <w:t>7</w:t>
      </w:r>
      <w:r w:rsidR="000C3916" w:rsidRPr="004A5F86">
        <w:rPr>
          <w:rStyle w:val="apple-converted-space"/>
          <w:color w:val="000000"/>
          <w:sz w:val="18"/>
          <w:szCs w:val="18"/>
        </w:rPr>
        <w:fldChar w:fldCharType="end"/>
      </w:r>
      <w:r w:rsidR="000C3916" w:rsidRPr="004A5F86">
        <w:rPr>
          <w:rStyle w:val="apple-converted-space"/>
          <w:color w:val="000000"/>
          <w:sz w:val="18"/>
          <w:szCs w:val="18"/>
        </w:rPr>
        <w:t>,</w:t>
      </w:r>
      <w:r w:rsidR="00F11873" w:rsidRPr="003C5AB0">
        <w:rPr>
          <w:color w:val="000000"/>
          <w:sz w:val="18"/>
          <w:szCs w:val="18"/>
        </w:rPr>
        <w:t xml:space="preserve"> at 23.</w:t>
      </w:r>
      <w:bookmarkEnd w:id="24"/>
      <w:bookmarkEnd w:id="25"/>
    </w:p>
  </w:footnote>
  <w:footnote w:id="17">
    <w:p w14:paraId="3CCE0F6A" w14:textId="2B930AEA" w:rsidR="00E50015" w:rsidRPr="003C5AB0" w:rsidRDefault="00E50015" w:rsidP="00E50015">
      <w:pPr>
        <w:pStyle w:val="FootnoteText"/>
        <w:rPr>
          <w:sz w:val="18"/>
          <w:szCs w:val="18"/>
        </w:rPr>
      </w:pPr>
      <w:r w:rsidRPr="003C5AB0">
        <w:rPr>
          <w:rStyle w:val="FootnoteReference"/>
          <w:sz w:val="18"/>
          <w:szCs w:val="18"/>
        </w:rPr>
        <w:footnoteRef/>
      </w:r>
      <w:r w:rsidRPr="003C5AB0">
        <w:rPr>
          <w:sz w:val="18"/>
          <w:szCs w:val="18"/>
        </w:rPr>
        <w:t xml:space="preserve"> Michael B. Gerrard, California and Europe Require Scope 3 Climate Disclosures Despite SEC Retreat, N.Y.L.J., MAY 10, 2024 (2024)</w:t>
      </w:r>
      <w:r w:rsidR="00460FE1" w:rsidRPr="003C5AB0">
        <w:rPr>
          <w:sz w:val="18"/>
          <w:szCs w:val="18"/>
        </w:rPr>
        <w:t>.</w:t>
      </w:r>
    </w:p>
  </w:footnote>
  <w:footnote w:id="18">
    <w:p w14:paraId="7CBB01A8" w14:textId="07EDB69A" w:rsidR="001947F7" w:rsidRPr="003C5AB0" w:rsidRDefault="001947F7">
      <w:pPr>
        <w:pStyle w:val="FootnoteText"/>
        <w:rPr>
          <w:sz w:val="18"/>
          <w:szCs w:val="18"/>
        </w:rPr>
      </w:pPr>
      <w:r w:rsidRPr="003C5AB0">
        <w:rPr>
          <w:rStyle w:val="FootnoteReference"/>
          <w:sz w:val="18"/>
          <w:szCs w:val="18"/>
        </w:rPr>
        <w:footnoteRef/>
      </w:r>
      <w:r w:rsidRPr="003C5AB0">
        <w:rPr>
          <w:sz w:val="18"/>
          <w:szCs w:val="18"/>
        </w:rPr>
        <w:t xml:space="preserve"> </w:t>
      </w:r>
      <w:r w:rsidR="00DD0E37" w:rsidRPr="003C5AB0">
        <w:rPr>
          <w:sz w:val="18"/>
          <w:szCs w:val="18"/>
        </w:rPr>
        <w:t>Gadinis</w:t>
      </w:r>
      <w:r w:rsidR="00F11873" w:rsidRPr="003C5AB0">
        <w:rPr>
          <w:sz w:val="18"/>
          <w:szCs w:val="18"/>
        </w:rPr>
        <w:t xml:space="preserve">, supra note </w:t>
      </w:r>
      <w:r w:rsidR="00017AE6" w:rsidRPr="003C5AB0">
        <w:rPr>
          <w:sz w:val="18"/>
          <w:szCs w:val="18"/>
        </w:rPr>
        <w:fldChar w:fldCharType="begin"/>
      </w:r>
      <w:r w:rsidR="00017AE6" w:rsidRPr="003C5AB0">
        <w:rPr>
          <w:sz w:val="18"/>
          <w:szCs w:val="18"/>
        </w:rPr>
        <w:instrText xml:space="preserve"> NOTEREF _Ref191563183 \h </w:instrText>
      </w:r>
      <w:r w:rsidR="008439E1" w:rsidRPr="003C5AB0">
        <w:rPr>
          <w:sz w:val="18"/>
          <w:szCs w:val="18"/>
        </w:rPr>
        <w:instrText xml:space="preserve"> \* MERGEFORMAT </w:instrText>
      </w:r>
      <w:r w:rsidR="00017AE6" w:rsidRPr="003C5AB0">
        <w:rPr>
          <w:sz w:val="18"/>
          <w:szCs w:val="18"/>
        </w:rPr>
      </w:r>
      <w:r w:rsidR="00017AE6" w:rsidRPr="003C5AB0">
        <w:rPr>
          <w:sz w:val="18"/>
          <w:szCs w:val="18"/>
        </w:rPr>
        <w:fldChar w:fldCharType="separate"/>
      </w:r>
      <w:r w:rsidR="003C5AB0">
        <w:rPr>
          <w:sz w:val="18"/>
          <w:szCs w:val="18"/>
        </w:rPr>
        <w:t>7</w:t>
      </w:r>
      <w:r w:rsidR="00017AE6" w:rsidRPr="003C5AB0">
        <w:rPr>
          <w:sz w:val="18"/>
          <w:szCs w:val="18"/>
        </w:rPr>
        <w:fldChar w:fldCharType="end"/>
      </w:r>
      <w:r w:rsidR="00017AE6" w:rsidRPr="003C5AB0">
        <w:rPr>
          <w:sz w:val="18"/>
          <w:szCs w:val="18"/>
        </w:rPr>
        <w:t>.</w:t>
      </w:r>
    </w:p>
  </w:footnote>
  <w:footnote w:id="19">
    <w:p w14:paraId="525A94DA" w14:textId="119AAA90" w:rsidR="001947F7" w:rsidRPr="003C5AB0" w:rsidRDefault="001947F7">
      <w:pPr>
        <w:pStyle w:val="FootnoteText"/>
        <w:rPr>
          <w:sz w:val="18"/>
          <w:szCs w:val="18"/>
        </w:rPr>
      </w:pPr>
      <w:r w:rsidRPr="003C5AB0">
        <w:rPr>
          <w:rStyle w:val="FootnoteReference"/>
          <w:sz w:val="18"/>
          <w:szCs w:val="18"/>
        </w:rPr>
        <w:footnoteRef/>
      </w:r>
      <w:r w:rsidRPr="003C5AB0">
        <w:rPr>
          <w:sz w:val="18"/>
          <w:szCs w:val="18"/>
        </w:rPr>
        <w:t xml:space="preserve"> </w:t>
      </w:r>
      <w:r w:rsidR="00F11873" w:rsidRPr="003C5AB0">
        <w:rPr>
          <w:i/>
          <w:iCs/>
          <w:sz w:val="18"/>
          <w:szCs w:val="18"/>
        </w:rPr>
        <w:t>Id.</w:t>
      </w:r>
      <w:r w:rsidR="00F11873" w:rsidRPr="003C5AB0">
        <w:rPr>
          <w:sz w:val="18"/>
          <w:szCs w:val="18"/>
        </w:rPr>
        <w:t xml:space="preserve"> at 24.</w:t>
      </w:r>
    </w:p>
  </w:footnote>
  <w:footnote w:id="20">
    <w:p w14:paraId="2761045E" w14:textId="7904A1D9" w:rsidR="001947F7" w:rsidRPr="003C5AB0" w:rsidRDefault="001947F7">
      <w:pPr>
        <w:pStyle w:val="FootnoteText"/>
        <w:rPr>
          <w:sz w:val="18"/>
          <w:szCs w:val="18"/>
        </w:rPr>
      </w:pPr>
      <w:r w:rsidRPr="003C5AB0">
        <w:rPr>
          <w:rStyle w:val="FootnoteReference"/>
          <w:sz w:val="18"/>
          <w:szCs w:val="18"/>
        </w:rPr>
        <w:footnoteRef/>
      </w:r>
      <w:r w:rsidRPr="003C5AB0">
        <w:rPr>
          <w:sz w:val="18"/>
          <w:szCs w:val="18"/>
        </w:rPr>
        <w:t xml:space="preserve"> </w:t>
      </w:r>
      <w:r w:rsidR="00D5407E" w:rsidRPr="003C5AB0">
        <w:rPr>
          <w:sz w:val="18"/>
          <w:szCs w:val="18"/>
        </w:rPr>
        <w:t xml:space="preserve">The Enhancement and Standardization of Climate-Related Disclosures for Investors, Exchange Act Release No. 34-95267, 87 Fed. Reg. 21334 (proposed Mar. 21, 2024) (to be codified at 17 C.F.R. pts. 210, 229, 232, 239, and 249), U.S. Securities and Exchange Commission, </w:t>
      </w:r>
      <w:hyperlink r:id="rId5" w:history="1">
        <w:r w:rsidR="00D5407E" w:rsidRPr="003C5AB0">
          <w:rPr>
            <w:rStyle w:val="Hyperlink"/>
            <w:sz w:val="18"/>
            <w:szCs w:val="18"/>
          </w:rPr>
          <w:t>https://www.sec.gov/rules-regulations/2024/03/s7-10-22</w:t>
        </w:r>
      </w:hyperlink>
      <w:r w:rsidR="00D5407E" w:rsidRPr="003C5AB0">
        <w:rPr>
          <w:sz w:val="18"/>
          <w:szCs w:val="18"/>
        </w:rPr>
        <w:t xml:space="preserve">. </w:t>
      </w:r>
    </w:p>
  </w:footnote>
  <w:footnote w:id="21">
    <w:p w14:paraId="4F06D32D" w14:textId="4582E905"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r w:rsidR="00D5407E" w:rsidRPr="003C5AB0">
        <w:rPr>
          <w:sz w:val="18"/>
          <w:szCs w:val="18"/>
        </w:rPr>
        <w:t xml:space="preserve">Malone, supra note </w:t>
      </w:r>
      <w:r w:rsidR="000C3916" w:rsidRPr="003C5AB0">
        <w:rPr>
          <w:sz w:val="18"/>
          <w:szCs w:val="18"/>
        </w:rPr>
        <w:fldChar w:fldCharType="begin"/>
      </w:r>
      <w:r w:rsidR="000C3916" w:rsidRPr="003C5AB0">
        <w:rPr>
          <w:sz w:val="18"/>
          <w:szCs w:val="18"/>
        </w:rPr>
        <w:instrText xml:space="preserve"> NOTEREF _Ref191564256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2</w:t>
      </w:r>
      <w:r w:rsidR="000C3916" w:rsidRPr="003C5AB0">
        <w:rPr>
          <w:sz w:val="18"/>
          <w:szCs w:val="18"/>
        </w:rPr>
        <w:fldChar w:fldCharType="end"/>
      </w:r>
      <w:r w:rsidR="00D5407E" w:rsidRPr="003C5AB0">
        <w:rPr>
          <w:sz w:val="18"/>
          <w:szCs w:val="18"/>
        </w:rPr>
        <w:t>.</w:t>
      </w:r>
      <w:r w:rsidR="001947F7" w:rsidRPr="003C5AB0">
        <w:rPr>
          <w:sz w:val="18"/>
          <w:szCs w:val="18"/>
        </w:rPr>
        <w:t xml:space="preserve"> </w:t>
      </w:r>
    </w:p>
  </w:footnote>
  <w:footnote w:id="22">
    <w:p w14:paraId="48CF7FC0" w14:textId="3B4B2071" w:rsidR="001947F7" w:rsidRPr="003C5AB0" w:rsidRDefault="001947F7">
      <w:pPr>
        <w:pStyle w:val="FootnoteText"/>
        <w:rPr>
          <w:sz w:val="18"/>
          <w:szCs w:val="18"/>
        </w:rPr>
      </w:pPr>
      <w:r w:rsidRPr="003C5AB0">
        <w:rPr>
          <w:rStyle w:val="FootnoteReference"/>
          <w:sz w:val="18"/>
          <w:szCs w:val="18"/>
        </w:rPr>
        <w:footnoteRef/>
      </w:r>
      <w:r w:rsidR="00395064" w:rsidRPr="003C5AB0">
        <w:rPr>
          <w:sz w:val="18"/>
          <w:szCs w:val="18"/>
        </w:rPr>
        <w:t xml:space="preserve"> </w:t>
      </w:r>
      <w:r w:rsidR="00D5407E" w:rsidRPr="003C5AB0">
        <w:rPr>
          <w:sz w:val="18"/>
          <w:szCs w:val="18"/>
        </w:rPr>
        <w:t xml:space="preserve">Exchange Act Release No. 34-95267, supra note </w:t>
      </w:r>
      <w:r w:rsidR="008959B6" w:rsidRPr="003C5AB0">
        <w:rPr>
          <w:sz w:val="18"/>
          <w:szCs w:val="18"/>
        </w:rPr>
        <w:fldChar w:fldCharType="begin"/>
      </w:r>
      <w:r w:rsidR="008959B6" w:rsidRPr="003C5AB0">
        <w:rPr>
          <w:sz w:val="18"/>
          <w:szCs w:val="18"/>
        </w:rPr>
        <w:instrText xml:space="preserve"> NOTEREF _Ref191564360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19</w:t>
      </w:r>
      <w:r w:rsidR="008959B6" w:rsidRPr="003C5AB0">
        <w:rPr>
          <w:sz w:val="18"/>
          <w:szCs w:val="18"/>
        </w:rPr>
        <w:fldChar w:fldCharType="end"/>
      </w:r>
      <w:r w:rsidR="00D5407E" w:rsidRPr="003C5AB0">
        <w:rPr>
          <w:sz w:val="18"/>
          <w:szCs w:val="18"/>
        </w:rPr>
        <w:t xml:space="preserve">; </w:t>
      </w:r>
      <w:r w:rsidRPr="003C5AB0">
        <w:rPr>
          <w:sz w:val="18"/>
          <w:szCs w:val="18"/>
        </w:rPr>
        <w:t xml:space="preserve">See </w:t>
      </w:r>
      <w:r w:rsidR="00D5407E" w:rsidRPr="003C5AB0">
        <w:rPr>
          <w:sz w:val="18"/>
          <w:szCs w:val="18"/>
        </w:rPr>
        <w:t>a</w:t>
      </w:r>
      <w:r w:rsidRPr="003C5AB0">
        <w:rPr>
          <w:sz w:val="18"/>
          <w:szCs w:val="18"/>
        </w:rPr>
        <w:t xml:space="preserve">lso </w:t>
      </w:r>
      <w:r w:rsidR="00D5407E" w:rsidRPr="003C5AB0">
        <w:rPr>
          <w:sz w:val="18"/>
          <w:szCs w:val="18"/>
        </w:rPr>
        <w:t xml:space="preserve">Gadinis, </w:t>
      </w:r>
      <w:r w:rsidR="003507F9" w:rsidRPr="003C5AB0">
        <w:rPr>
          <w:sz w:val="18"/>
          <w:szCs w:val="18"/>
        </w:rPr>
        <w:t xml:space="preserve">supra note </w:t>
      </w:r>
      <w:r w:rsidR="000C3916" w:rsidRPr="003C5AB0">
        <w:rPr>
          <w:sz w:val="18"/>
          <w:szCs w:val="18"/>
        </w:rPr>
        <w:fldChar w:fldCharType="begin"/>
      </w:r>
      <w:r w:rsidR="000C3916" w:rsidRPr="003C5AB0">
        <w:rPr>
          <w:sz w:val="18"/>
          <w:szCs w:val="18"/>
        </w:rPr>
        <w:instrText xml:space="preserve"> NOTEREF _Ref191563183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7</w:t>
      </w:r>
      <w:r w:rsidR="000C3916" w:rsidRPr="003C5AB0">
        <w:rPr>
          <w:sz w:val="18"/>
          <w:szCs w:val="18"/>
        </w:rPr>
        <w:fldChar w:fldCharType="end"/>
      </w:r>
      <w:r w:rsidR="00D5407E" w:rsidRPr="003C5AB0">
        <w:rPr>
          <w:sz w:val="18"/>
          <w:szCs w:val="18"/>
        </w:rPr>
        <w:t>.</w:t>
      </w:r>
    </w:p>
  </w:footnote>
  <w:footnote w:id="23">
    <w:p w14:paraId="68A079F7" w14:textId="4C287195" w:rsidR="006748C7" w:rsidRPr="003C5AB0" w:rsidRDefault="006748C7" w:rsidP="006748C7">
      <w:pPr>
        <w:pStyle w:val="FootnoteText"/>
        <w:rPr>
          <w:sz w:val="18"/>
          <w:szCs w:val="18"/>
        </w:rPr>
      </w:pPr>
      <w:r w:rsidRPr="003C5AB0">
        <w:rPr>
          <w:rStyle w:val="FootnoteReference"/>
          <w:sz w:val="18"/>
          <w:szCs w:val="18"/>
        </w:rPr>
        <w:footnoteRef/>
      </w:r>
      <w:r w:rsidRPr="003C5AB0">
        <w:rPr>
          <w:sz w:val="18"/>
          <w:szCs w:val="18"/>
        </w:rPr>
        <w:t xml:space="preserve"> Malone, supra note </w:t>
      </w:r>
      <w:r w:rsidR="000C3916" w:rsidRPr="003C5AB0">
        <w:rPr>
          <w:sz w:val="18"/>
          <w:szCs w:val="18"/>
        </w:rPr>
        <w:fldChar w:fldCharType="begin"/>
      </w:r>
      <w:r w:rsidR="000C3916" w:rsidRPr="003C5AB0">
        <w:rPr>
          <w:sz w:val="18"/>
          <w:szCs w:val="18"/>
        </w:rPr>
        <w:instrText xml:space="preserve"> NOTEREF _Ref191564256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2</w:t>
      </w:r>
      <w:r w:rsidR="000C3916" w:rsidRPr="003C5AB0">
        <w:rPr>
          <w:sz w:val="18"/>
          <w:szCs w:val="18"/>
        </w:rPr>
        <w:fldChar w:fldCharType="end"/>
      </w:r>
      <w:r w:rsidRPr="003C5AB0">
        <w:rPr>
          <w:sz w:val="18"/>
          <w:szCs w:val="18"/>
        </w:rPr>
        <w:t xml:space="preserve">. </w:t>
      </w:r>
    </w:p>
  </w:footnote>
  <w:footnote w:id="24">
    <w:p w14:paraId="6DDBE562" w14:textId="1946385E" w:rsidR="004F3F80" w:rsidRPr="003C5AB0" w:rsidRDefault="004F3F80" w:rsidP="004F3F80">
      <w:pPr>
        <w:pStyle w:val="FootnoteText"/>
        <w:rPr>
          <w:sz w:val="18"/>
          <w:szCs w:val="18"/>
        </w:rPr>
      </w:pPr>
      <w:r w:rsidRPr="003C5AB0">
        <w:rPr>
          <w:rStyle w:val="FootnoteReference"/>
          <w:sz w:val="18"/>
          <w:szCs w:val="18"/>
        </w:rPr>
        <w:footnoteRef/>
      </w:r>
      <w:r w:rsidRPr="003C5AB0">
        <w:rPr>
          <w:sz w:val="18"/>
          <w:szCs w:val="18"/>
        </w:rPr>
        <w:t xml:space="preserve"> </w:t>
      </w:r>
      <w:r w:rsidR="00D5407E" w:rsidRPr="003C5AB0">
        <w:rPr>
          <w:i/>
          <w:iCs/>
          <w:sz w:val="18"/>
          <w:szCs w:val="18"/>
        </w:rPr>
        <w:t>Id.</w:t>
      </w:r>
      <w:r w:rsidR="00D5407E" w:rsidRPr="003C5AB0">
        <w:rPr>
          <w:sz w:val="18"/>
          <w:szCs w:val="18"/>
        </w:rPr>
        <w:t xml:space="preserve"> </w:t>
      </w:r>
    </w:p>
  </w:footnote>
  <w:footnote w:id="25">
    <w:p w14:paraId="210FCA4A" w14:textId="469A4C80" w:rsidR="001947F7" w:rsidRPr="003C5AB0" w:rsidRDefault="001947F7" w:rsidP="001947F7">
      <w:pPr>
        <w:pStyle w:val="FootnoteText"/>
        <w:rPr>
          <w:sz w:val="18"/>
          <w:szCs w:val="18"/>
        </w:rPr>
      </w:pPr>
      <w:r w:rsidRPr="003C5AB0">
        <w:rPr>
          <w:rStyle w:val="FootnoteReference"/>
          <w:sz w:val="18"/>
          <w:szCs w:val="18"/>
        </w:rPr>
        <w:footnoteRef/>
      </w:r>
      <w:r w:rsidRPr="003C5AB0">
        <w:rPr>
          <w:sz w:val="18"/>
          <w:szCs w:val="18"/>
        </w:rPr>
        <w:t xml:space="preserve"> Gadinis</w:t>
      </w:r>
      <w:r w:rsidR="00D5407E" w:rsidRPr="003C5AB0">
        <w:rPr>
          <w:sz w:val="18"/>
          <w:szCs w:val="18"/>
        </w:rPr>
        <w:t xml:space="preserve">, </w:t>
      </w:r>
      <w:r w:rsidR="003507F9" w:rsidRPr="003C5AB0">
        <w:rPr>
          <w:sz w:val="18"/>
          <w:szCs w:val="18"/>
        </w:rPr>
        <w:t xml:space="preserve">supra note </w:t>
      </w:r>
      <w:r w:rsidR="000C3916" w:rsidRPr="003C5AB0">
        <w:rPr>
          <w:sz w:val="18"/>
          <w:szCs w:val="18"/>
        </w:rPr>
        <w:fldChar w:fldCharType="begin"/>
      </w:r>
      <w:r w:rsidR="000C3916" w:rsidRPr="003C5AB0">
        <w:rPr>
          <w:sz w:val="18"/>
          <w:szCs w:val="18"/>
        </w:rPr>
        <w:instrText xml:space="preserve"> NOTEREF _Ref191563183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7</w:t>
      </w:r>
      <w:r w:rsidR="000C3916" w:rsidRPr="003C5AB0">
        <w:rPr>
          <w:sz w:val="18"/>
          <w:szCs w:val="18"/>
        </w:rPr>
        <w:fldChar w:fldCharType="end"/>
      </w:r>
      <w:r w:rsidR="00D5407E" w:rsidRPr="003C5AB0">
        <w:rPr>
          <w:sz w:val="18"/>
          <w:szCs w:val="18"/>
        </w:rPr>
        <w:t>, at</w:t>
      </w:r>
      <w:r w:rsidRPr="003C5AB0">
        <w:rPr>
          <w:sz w:val="18"/>
          <w:szCs w:val="18"/>
        </w:rPr>
        <w:t xml:space="preserve"> 18</w:t>
      </w:r>
      <w:r w:rsidR="00D5407E" w:rsidRPr="003C5AB0">
        <w:rPr>
          <w:sz w:val="18"/>
          <w:szCs w:val="18"/>
        </w:rPr>
        <w:t>.</w:t>
      </w:r>
    </w:p>
  </w:footnote>
  <w:footnote w:id="26">
    <w:p w14:paraId="27FBD3FF" w14:textId="35ED3149" w:rsidR="004F3F80" w:rsidRPr="003C5AB0" w:rsidRDefault="004F3F80" w:rsidP="004F3F80">
      <w:pPr>
        <w:pStyle w:val="FootnoteText"/>
        <w:rPr>
          <w:sz w:val="18"/>
          <w:szCs w:val="18"/>
        </w:rPr>
      </w:pPr>
      <w:r w:rsidRPr="003C5AB0">
        <w:rPr>
          <w:rStyle w:val="FootnoteReference"/>
          <w:sz w:val="18"/>
          <w:szCs w:val="18"/>
        </w:rPr>
        <w:footnoteRef/>
      </w:r>
      <w:r w:rsidRPr="003C5AB0">
        <w:rPr>
          <w:sz w:val="18"/>
          <w:szCs w:val="18"/>
        </w:rPr>
        <w:t xml:space="preserve"> </w:t>
      </w:r>
      <w:r w:rsidR="00D5407E" w:rsidRPr="003C5AB0">
        <w:rPr>
          <w:i/>
          <w:iCs/>
          <w:sz w:val="18"/>
          <w:szCs w:val="18"/>
        </w:rPr>
        <w:t>Id.</w:t>
      </w:r>
    </w:p>
  </w:footnote>
  <w:footnote w:id="27">
    <w:p w14:paraId="2112837F" w14:textId="377BD4C8" w:rsidR="006D282B" w:rsidRPr="003C5AB0" w:rsidRDefault="006D282B" w:rsidP="006D282B">
      <w:pPr>
        <w:pStyle w:val="FootnoteText"/>
        <w:rPr>
          <w:sz w:val="18"/>
          <w:szCs w:val="18"/>
        </w:rPr>
      </w:pPr>
      <w:r w:rsidRPr="003C5AB0">
        <w:rPr>
          <w:rStyle w:val="FootnoteReference"/>
          <w:sz w:val="18"/>
          <w:szCs w:val="18"/>
        </w:rPr>
        <w:footnoteRef/>
      </w:r>
      <w:r w:rsidRPr="003C5AB0">
        <w:rPr>
          <w:sz w:val="18"/>
          <w:szCs w:val="18"/>
        </w:rPr>
        <w:t xml:space="preserve"> </w:t>
      </w:r>
      <w:bookmarkStart w:id="32" w:name="OLE_LINK121"/>
      <w:r w:rsidR="007C41C7" w:rsidRPr="003C5AB0">
        <w:rPr>
          <w:sz w:val="18"/>
          <w:szCs w:val="18"/>
        </w:rPr>
        <w:t xml:space="preserve">California Senate Bill 253, Climate Corporate Data Accountability Act, 2023–2024 Leg., Reg. Sess. (Cal. 2023), </w:t>
      </w:r>
      <w:hyperlink r:id="rId6" w:history="1">
        <w:r w:rsidR="007C41C7" w:rsidRPr="003C5AB0">
          <w:rPr>
            <w:rStyle w:val="Hyperlink"/>
            <w:sz w:val="18"/>
            <w:szCs w:val="18"/>
          </w:rPr>
          <w:t>https://leginfo.legislature.ca.gov/faces/billNavClient.xhtml?bill_id=202320240SB253l</w:t>
        </w:r>
      </w:hyperlink>
      <w:r w:rsidR="007C41C7" w:rsidRPr="003C5AB0">
        <w:rPr>
          <w:sz w:val="18"/>
          <w:szCs w:val="18"/>
        </w:rPr>
        <w:t xml:space="preserve">; See also </w:t>
      </w:r>
      <w:bookmarkEnd w:id="32"/>
      <w:r w:rsidR="007C41C7" w:rsidRPr="003C5AB0">
        <w:rPr>
          <w:sz w:val="18"/>
          <w:szCs w:val="18"/>
        </w:rPr>
        <w:t xml:space="preserve">Gadinis, </w:t>
      </w:r>
      <w:r w:rsidR="003507F9" w:rsidRPr="003C5AB0">
        <w:rPr>
          <w:sz w:val="18"/>
          <w:szCs w:val="18"/>
        </w:rPr>
        <w:t xml:space="preserve">supra note </w:t>
      </w:r>
      <w:r w:rsidR="000C3916" w:rsidRPr="003C5AB0">
        <w:rPr>
          <w:sz w:val="18"/>
          <w:szCs w:val="18"/>
        </w:rPr>
        <w:fldChar w:fldCharType="begin"/>
      </w:r>
      <w:r w:rsidR="000C3916" w:rsidRPr="003C5AB0">
        <w:rPr>
          <w:sz w:val="18"/>
          <w:szCs w:val="18"/>
        </w:rPr>
        <w:instrText xml:space="preserve"> NOTEREF _Ref191563183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7</w:t>
      </w:r>
      <w:r w:rsidR="000C3916" w:rsidRPr="003C5AB0">
        <w:rPr>
          <w:sz w:val="18"/>
          <w:szCs w:val="18"/>
        </w:rPr>
        <w:fldChar w:fldCharType="end"/>
      </w:r>
      <w:r w:rsidR="007C41C7" w:rsidRPr="003C5AB0">
        <w:rPr>
          <w:sz w:val="18"/>
          <w:szCs w:val="18"/>
        </w:rPr>
        <w:t>, at 32.</w:t>
      </w:r>
    </w:p>
  </w:footnote>
  <w:footnote w:id="28">
    <w:p w14:paraId="5E4E1198" w14:textId="02781978" w:rsidR="00091ACE" w:rsidRPr="003C5AB0" w:rsidRDefault="00091ACE" w:rsidP="00091ACE">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00E3568F" w:rsidRPr="003C5AB0">
        <w:rPr>
          <w:i/>
          <w:iCs/>
          <w:sz w:val="18"/>
          <w:szCs w:val="18"/>
          <w:lang w:val="pt-BR"/>
        </w:rPr>
        <w:t>Id.</w:t>
      </w:r>
    </w:p>
  </w:footnote>
  <w:footnote w:id="29">
    <w:p w14:paraId="349C55E2" w14:textId="357FE12E" w:rsidR="00664B5B" w:rsidRPr="003C5AB0" w:rsidRDefault="00664B5B" w:rsidP="00372B11">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007C41C7" w:rsidRPr="003C5AB0">
        <w:rPr>
          <w:sz w:val="18"/>
          <w:szCs w:val="18"/>
          <w:lang w:val="pt-BR"/>
        </w:rPr>
        <w:t xml:space="preserve">Gadinis, </w:t>
      </w:r>
      <w:r w:rsidR="003507F9" w:rsidRPr="003C5AB0">
        <w:rPr>
          <w:sz w:val="18"/>
          <w:szCs w:val="18"/>
          <w:lang w:val="pt-BR"/>
        </w:rPr>
        <w:t>supra note</w:t>
      </w:r>
      <w:r w:rsidR="000C3916" w:rsidRPr="003C5AB0">
        <w:rPr>
          <w:sz w:val="18"/>
          <w:szCs w:val="18"/>
          <w:lang w:val="pt-BR"/>
        </w:rPr>
        <w:t xml:space="preserve"> </w:t>
      </w:r>
      <w:r w:rsidR="000C3916" w:rsidRPr="003C5AB0">
        <w:rPr>
          <w:sz w:val="18"/>
          <w:szCs w:val="18"/>
          <w:lang w:val="pt-BR"/>
        </w:rPr>
        <w:fldChar w:fldCharType="begin"/>
      </w:r>
      <w:r w:rsidR="000C3916" w:rsidRPr="003C5AB0">
        <w:rPr>
          <w:sz w:val="18"/>
          <w:szCs w:val="18"/>
          <w:lang w:val="pt-BR"/>
        </w:rPr>
        <w:instrText xml:space="preserve"> NOTEREF _Ref191563183 \h </w:instrText>
      </w:r>
      <w:r w:rsidR="008439E1" w:rsidRPr="003C5AB0">
        <w:rPr>
          <w:sz w:val="18"/>
          <w:szCs w:val="18"/>
          <w:lang w:val="pt-BR"/>
        </w:rPr>
        <w:instrText xml:space="preserve"> \* MERGEFORMAT </w:instrText>
      </w:r>
      <w:r w:rsidR="000C3916" w:rsidRPr="003C5AB0">
        <w:rPr>
          <w:sz w:val="18"/>
          <w:szCs w:val="18"/>
          <w:lang w:val="pt-BR"/>
        </w:rPr>
      </w:r>
      <w:r w:rsidR="000C3916" w:rsidRPr="003C5AB0">
        <w:rPr>
          <w:sz w:val="18"/>
          <w:szCs w:val="18"/>
          <w:lang w:val="pt-BR"/>
        </w:rPr>
        <w:fldChar w:fldCharType="separate"/>
      </w:r>
      <w:r w:rsidR="003C5AB0">
        <w:rPr>
          <w:sz w:val="18"/>
          <w:szCs w:val="18"/>
          <w:lang w:val="pt-BR"/>
        </w:rPr>
        <w:t>7</w:t>
      </w:r>
      <w:r w:rsidR="000C3916" w:rsidRPr="003C5AB0">
        <w:rPr>
          <w:sz w:val="18"/>
          <w:szCs w:val="18"/>
          <w:lang w:val="pt-BR"/>
        </w:rPr>
        <w:fldChar w:fldCharType="end"/>
      </w:r>
      <w:r w:rsidR="007C41C7" w:rsidRPr="003C5AB0">
        <w:rPr>
          <w:sz w:val="18"/>
          <w:szCs w:val="18"/>
          <w:lang w:val="pt-BR"/>
        </w:rPr>
        <w:t xml:space="preserve">; SB 253, supra note </w:t>
      </w:r>
      <w:r w:rsidR="008959B6" w:rsidRPr="003C5AB0">
        <w:rPr>
          <w:sz w:val="18"/>
          <w:szCs w:val="18"/>
          <w:lang w:val="pt-BR"/>
        </w:rPr>
        <w:fldChar w:fldCharType="begin"/>
      </w:r>
      <w:r w:rsidR="008959B6" w:rsidRPr="003C5AB0">
        <w:rPr>
          <w:sz w:val="18"/>
          <w:szCs w:val="18"/>
          <w:lang w:val="pt-BR"/>
        </w:rPr>
        <w:instrText xml:space="preserve"> NOTEREF _Ref191564385 \h </w:instrText>
      </w:r>
      <w:r w:rsidR="008439E1" w:rsidRPr="003C5AB0">
        <w:rPr>
          <w:sz w:val="18"/>
          <w:szCs w:val="18"/>
          <w:lang w:val="pt-BR"/>
        </w:rPr>
        <w:instrText xml:space="preserve"> \* MERGEFORMAT </w:instrText>
      </w:r>
      <w:r w:rsidR="008959B6" w:rsidRPr="003C5AB0">
        <w:rPr>
          <w:sz w:val="18"/>
          <w:szCs w:val="18"/>
          <w:lang w:val="pt-BR"/>
        </w:rPr>
      </w:r>
      <w:r w:rsidR="008959B6" w:rsidRPr="003C5AB0">
        <w:rPr>
          <w:sz w:val="18"/>
          <w:szCs w:val="18"/>
          <w:lang w:val="pt-BR"/>
        </w:rPr>
        <w:fldChar w:fldCharType="separate"/>
      </w:r>
      <w:r w:rsidR="003C5AB0">
        <w:rPr>
          <w:sz w:val="18"/>
          <w:szCs w:val="18"/>
          <w:lang w:val="pt-BR"/>
        </w:rPr>
        <w:t>26</w:t>
      </w:r>
      <w:r w:rsidR="008959B6" w:rsidRPr="003C5AB0">
        <w:rPr>
          <w:sz w:val="18"/>
          <w:szCs w:val="18"/>
          <w:lang w:val="pt-BR"/>
        </w:rPr>
        <w:fldChar w:fldCharType="end"/>
      </w:r>
      <w:r w:rsidR="007C41C7" w:rsidRPr="003C5AB0">
        <w:rPr>
          <w:sz w:val="18"/>
          <w:szCs w:val="18"/>
          <w:lang w:val="pt-BR"/>
        </w:rPr>
        <w:t>.</w:t>
      </w:r>
    </w:p>
  </w:footnote>
  <w:footnote w:id="30">
    <w:p w14:paraId="38F40CD3" w14:textId="2E6B62B2" w:rsidR="00583C06" w:rsidRPr="003C5AB0" w:rsidRDefault="00583C06" w:rsidP="00583C06">
      <w:pPr>
        <w:pStyle w:val="FootnoteText"/>
        <w:rPr>
          <w:sz w:val="18"/>
          <w:szCs w:val="18"/>
        </w:rPr>
      </w:pPr>
      <w:r w:rsidRPr="003C5AB0">
        <w:rPr>
          <w:rStyle w:val="FootnoteReference"/>
          <w:sz w:val="18"/>
          <w:szCs w:val="18"/>
        </w:rPr>
        <w:footnoteRef/>
      </w:r>
      <w:r w:rsidRPr="003C5AB0">
        <w:rPr>
          <w:sz w:val="18"/>
          <w:szCs w:val="18"/>
        </w:rPr>
        <w:t xml:space="preserve"> </w:t>
      </w:r>
      <w:r w:rsidR="000678AA" w:rsidRPr="003C5AB0">
        <w:rPr>
          <w:color w:val="000000"/>
          <w:sz w:val="18"/>
          <w:szCs w:val="18"/>
        </w:rPr>
        <w:t xml:space="preserve">William F. </w:t>
      </w:r>
      <w:bookmarkStart w:id="35" w:name="OLE_LINK134"/>
      <w:r w:rsidR="000678AA" w:rsidRPr="003C5AB0">
        <w:rPr>
          <w:color w:val="000000"/>
          <w:sz w:val="18"/>
          <w:szCs w:val="18"/>
        </w:rPr>
        <w:t xml:space="preserve">Tarantino </w:t>
      </w:r>
      <w:bookmarkEnd w:id="35"/>
      <w:r w:rsidR="000678AA" w:rsidRPr="003C5AB0">
        <w:rPr>
          <w:color w:val="000000"/>
          <w:sz w:val="18"/>
          <w:szCs w:val="18"/>
        </w:rPr>
        <w:t>et al.,</w:t>
      </w:r>
      <w:r w:rsidR="000678AA" w:rsidRPr="003C5AB0">
        <w:rPr>
          <w:rStyle w:val="apple-converted-space"/>
          <w:color w:val="000000"/>
          <w:sz w:val="18"/>
          <w:szCs w:val="18"/>
        </w:rPr>
        <w:t> </w:t>
      </w:r>
      <w:r w:rsidR="000678AA" w:rsidRPr="003C5AB0">
        <w:rPr>
          <w:color w:val="000000"/>
          <w:sz w:val="18"/>
          <w:szCs w:val="18"/>
        </w:rPr>
        <w:t>Prepare to disclose: California legislature declines to extend AB 1305 voluntary carbon market disclosure deadline, leaves existing SB 253 and SB 261 climate disclosure timelines in place</w:t>
      </w:r>
      <w:r w:rsidR="000678AA" w:rsidRPr="003C5AB0">
        <w:rPr>
          <w:rStyle w:val="apple-converted-space"/>
          <w:color w:val="000000"/>
          <w:sz w:val="18"/>
          <w:szCs w:val="18"/>
        </w:rPr>
        <w:t> </w:t>
      </w:r>
      <w:r w:rsidR="000678AA" w:rsidRPr="003C5AB0">
        <w:rPr>
          <w:color w:val="000000"/>
          <w:sz w:val="18"/>
          <w:szCs w:val="18"/>
        </w:rPr>
        <w:t>Morrison Foerster</w:t>
      </w:r>
      <w:r w:rsidR="000678AA" w:rsidRPr="003C5AB0">
        <w:rPr>
          <w:rStyle w:val="apple-converted-space"/>
          <w:color w:val="000000"/>
          <w:sz w:val="18"/>
          <w:szCs w:val="18"/>
        </w:rPr>
        <w:t> </w:t>
      </w:r>
      <w:r w:rsidR="000678AA" w:rsidRPr="003C5AB0">
        <w:rPr>
          <w:color w:val="000000"/>
          <w:sz w:val="18"/>
          <w:szCs w:val="18"/>
        </w:rPr>
        <w:t xml:space="preserve">(2024), </w:t>
      </w:r>
      <w:hyperlink r:id="rId7" w:history="1">
        <w:r w:rsidR="0004276A" w:rsidRPr="003C5AB0">
          <w:rPr>
            <w:rStyle w:val="Hyperlink"/>
            <w:sz w:val="18"/>
            <w:szCs w:val="18"/>
          </w:rPr>
          <w:t>https://www.mofo.com/resources/insights/240909-prepare-to-disclose-california-legislature-declines</w:t>
        </w:r>
      </w:hyperlink>
      <w:r w:rsidR="000678AA" w:rsidRPr="003C5AB0">
        <w:rPr>
          <w:color w:val="000000"/>
          <w:sz w:val="18"/>
          <w:szCs w:val="18"/>
        </w:rPr>
        <w:t>.</w:t>
      </w:r>
      <w:r w:rsidR="0004276A" w:rsidRPr="003C5AB0">
        <w:rPr>
          <w:rStyle w:val="apple-converted-space"/>
          <w:color w:val="000000"/>
          <w:sz w:val="18"/>
          <w:szCs w:val="18"/>
        </w:rPr>
        <w:t xml:space="preserve"> </w:t>
      </w:r>
    </w:p>
  </w:footnote>
  <w:footnote w:id="31">
    <w:p w14:paraId="25B803E4" w14:textId="00746824" w:rsidR="00583C06" w:rsidRPr="003C5AB0" w:rsidRDefault="00583C06" w:rsidP="00583C06">
      <w:pPr>
        <w:pStyle w:val="FootnoteText"/>
        <w:rPr>
          <w:sz w:val="18"/>
          <w:szCs w:val="18"/>
        </w:rPr>
      </w:pPr>
      <w:r w:rsidRPr="003C5AB0">
        <w:rPr>
          <w:rStyle w:val="FootnoteReference"/>
          <w:sz w:val="18"/>
          <w:szCs w:val="18"/>
        </w:rPr>
        <w:footnoteRef/>
      </w:r>
      <w:r w:rsidRPr="003C5AB0">
        <w:rPr>
          <w:sz w:val="18"/>
          <w:szCs w:val="18"/>
        </w:rPr>
        <w:t xml:space="preserve"> </w:t>
      </w:r>
      <w:bookmarkStart w:id="36" w:name="OLE_LINK123"/>
      <w:r w:rsidR="007C41C7" w:rsidRPr="003C5AB0">
        <w:rPr>
          <w:color w:val="000000"/>
          <w:sz w:val="18"/>
          <w:szCs w:val="18"/>
        </w:rPr>
        <w:t>Booth-Tobin</w:t>
      </w:r>
      <w:r w:rsidR="007C41C7" w:rsidRPr="003C5AB0">
        <w:rPr>
          <w:sz w:val="18"/>
          <w:szCs w:val="18"/>
        </w:rPr>
        <w:t xml:space="preserve">, supra note </w:t>
      </w:r>
      <w:r w:rsidR="00E3568F" w:rsidRPr="003C5AB0">
        <w:rPr>
          <w:sz w:val="18"/>
          <w:szCs w:val="18"/>
        </w:rPr>
        <w:t>3</w:t>
      </w:r>
      <w:r w:rsidR="007C41C7" w:rsidRPr="003C5AB0">
        <w:rPr>
          <w:sz w:val="18"/>
          <w:szCs w:val="18"/>
        </w:rPr>
        <w:t xml:space="preserve">. </w:t>
      </w:r>
      <w:bookmarkEnd w:id="36"/>
    </w:p>
  </w:footnote>
  <w:footnote w:id="32">
    <w:p w14:paraId="0E043EEC" w14:textId="29669BF3"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37" w:name="OLE_LINK127"/>
      <w:r w:rsidR="000678AA" w:rsidRPr="003C5AB0">
        <w:rPr>
          <w:sz w:val="18"/>
          <w:szCs w:val="18"/>
        </w:rPr>
        <w:t xml:space="preserve">California Senate Bill 261, Greenhouse Gases: Climate-Related Financial Risk, 2023–2024 Leg., Reg. Sess. (Cal. 2023), </w:t>
      </w:r>
      <w:hyperlink r:id="rId8" w:history="1">
        <w:r w:rsidR="0004276A" w:rsidRPr="003C5AB0">
          <w:rPr>
            <w:rStyle w:val="Hyperlink"/>
            <w:sz w:val="18"/>
            <w:szCs w:val="18"/>
          </w:rPr>
          <w:t>https://leginfo.legislature.ca.gov/faces/billNavClient.xhtml?bill_id=202320240SB261</w:t>
        </w:r>
      </w:hyperlink>
      <w:r w:rsidR="000678AA" w:rsidRPr="003C5AB0">
        <w:rPr>
          <w:sz w:val="18"/>
          <w:szCs w:val="18"/>
        </w:rPr>
        <w:t>.</w:t>
      </w:r>
      <w:r w:rsidR="0004276A" w:rsidRPr="003C5AB0">
        <w:rPr>
          <w:sz w:val="18"/>
          <w:szCs w:val="18"/>
        </w:rPr>
        <w:t xml:space="preserve"> </w:t>
      </w:r>
      <w:bookmarkEnd w:id="37"/>
    </w:p>
  </w:footnote>
  <w:footnote w:id="33">
    <w:p w14:paraId="654888CD" w14:textId="0D3B02EE" w:rsidR="00753A8D" w:rsidRPr="003C5AB0" w:rsidRDefault="00753A8D" w:rsidP="00753A8D">
      <w:pPr>
        <w:pStyle w:val="FootnoteText"/>
        <w:rPr>
          <w:sz w:val="18"/>
          <w:szCs w:val="18"/>
        </w:rPr>
      </w:pPr>
      <w:r w:rsidRPr="003C5AB0">
        <w:rPr>
          <w:rStyle w:val="FootnoteReference"/>
          <w:sz w:val="18"/>
          <w:szCs w:val="18"/>
        </w:rPr>
        <w:footnoteRef/>
      </w:r>
      <w:r w:rsidRPr="003C5AB0">
        <w:rPr>
          <w:sz w:val="18"/>
          <w:szCs w:val="18"/>
        </w:rPr>
        <w:t xml:space="preserve"> </w:t>
      </w:r>
      <w:r w:rsidR="000678AA" w:rsidRPr="003C5AB0">
        <w:rPr>
          <w:i/>
          <w:iCs/>
          <w:sz w:val="18"/>
          <w:szCs w:val="18"/>
        </w:rPr>
        <w:t>Id.</w:t>
      </w:r>
    </w:p>
  </w:footnote>
  <w:footnote w:id="34">
    <w:p w14:paraId="7F7ACA5F" w14:textId="05EE6EAB" w:rsidR="004F3F80" w:rsidRPr="003C5AB0" w:rsidRDefault="004F3F80" w:rsidP="004F3F80">
      <w:pPr>
        <w:pStyle w:val="FootnoteText"/>
        <w:rPr>
          <w:sz w:val="18"/>
          <w:szCs w:val="18"/>
        </w:rPr>
      </w:pPr>
      <w:r w:rsidRPr="003C5AB0">
        <w:rPr>
          <w:rStyle w:val="FootnoteReference"/>
          <w:sz w:val="18"/>
          <w:szCs w:val="18"/>
        </w:rPr>
        <w:footnoteRef/>
      </w:r>
      <w:r w:rsidRPr="003C5AB0">
        <w:rPr>
          <w:sz w:val="18"/>
          <w:szCs w:val="18"/>
        </w:rPr>
        <w:t xml:space="preserve"> Gadini</w:t>
      </w:r>
      <w:r w:rsidR="000678AA" w:rsidRPr="003C5AB0">
        <w:rPr>
          <w:sz w:val="18"/>
          <w:szCs w:val="18"/>
        </w:rPr>
        <w:t xml:space="preserve">s, </w:t>
      </w:r>
      <w:r w:rsidR="003507F9" w:rsidRPr="003C5AB0">
        <w:rPr>
          <w:sz w:val="18"/>
          <w:szCs w:val="18"/>
        </w:rPr>
        <w:t xml:space="preserve">supra note </w:t>
      </w:r>
      <w:r w:rsidR="000C3916" w:rsidRPr="003C5AB0">
        <w:rPr>
          <w:sz w:val="18"/>
          <w:szCs w:val="18"/>
        </w:rPr>
        <w:fldChar w:fldCharType="begin"/>
      </w:r>
      <w:r w:rsidR="000C3916" w:rsidRPr="003C5AB0">
        <w:rPr>
          <w:sz w:val="18"/>
          <w:szCs w:val="18"/>
        </w:rPr>
        <w:instrText xml:space="preserve"> NOTEREF _Ref191563183 \h </w:instrText>
      </w:r>
      <w:r w:rsidR="008439E1" w:rsidRPr="003C5AB0">
        <w:rPr>
          <w:sz w:val="18"/>
          <w:szCs w:val="18"/>
        </w:rPr>
        <w:instrText xml:space="preserve"> \* MERGEFORMAT </w:instrText>
      </w:r>
      <w:r w:rsidR="000C3916" w:rsidRPr="003C5AB0">
        <w:rPr>
          <w:sz w:val="18"/>
          <w:szCs w:val="18"/>
        </w:rPr>
      </w:r>
      <w:r w:rsidR="000C3916" w:rsidRPr="003C5AB0">
        <w:rPr>
          <w:sz w:val="18"/>
          <w:szCs w:val="18"/>
        </w:rPr>
        <w:fldChar w:fldCharType="separate"/>
      </w:r>
      <w:r w:rsidR="003C5AB0">
        <w:rPr>
          <w:sz w:val="18"/>
          <w:szCs w:val="18"/>
        </w:rPr>
        <w:t>7</w:t>
      </w:r>
      <w:r w:rsidR="000C3916" w:rsidRPr="003C5AB0">
        <w:rPr>
          <w:sz w:val="18"/>
          <w:szCs w:val="18"/>
        </w:rPr>
        <w:fldChar w:fldCharType="end"/>
      </w:r>
      <w:r w:rsidR="000678AA" w:rsidRPr="003C5AB0">
        <w:rPr>
          <w:sz w:val="18"/>
          <w:szCs w:val="18"/>
        </w:rPr>
        <w:t>, at 33.</w:t>
      </w:r>
    </w:p>
  </w:footnote>
  <w:footnote w:id="35">
    <w:p w14:paraId="4EF0BE3D" w14:textId="2A5FF019" w:rsidR="00314899" w:rsidRPr="003C5AB0" w:rsidRDefault="00314899" w:rsidP="00314899">
      <w:pPr>
        <w:pStyle w:val="FootnoteText"/>
        <w:rPr>
          <w:sz w:val="18"/>
          <w:szCs w:val="18"/>
        </w:rPr>
      </w:pPr>
      <w:r w:rsidRPr="003C5AB0">
        <w:rPr>
          <w:rStyle w:val="FootnoteReference"/>
          <w:sz w:val="18"/>
          <w:szCs w:val="18"/>
        </w:rPr>
        <w:footnoteRef/>
      </w:r>
      <w:r w:rsidRPr="003C5AB0">
        <w:rPr>
          <w:sz w:val="18"/>
          <w:szCs w:val="18"/>
        </w:rPr>
        <w:t xml:space="preserve"> </w:t>
      </w:r>
      <w:r w:rsidR="00395064" w:rsidRPr="003C5AB0">
        <w:rPr>
          <w:i/>
          <w:iCs/>
          <w:sz w:val="18"/>
          <w:szCs w:val="18"/>
        </w:rPr>
        <w:t>Id.</w:t>
      </w:r>
      <w:r w:rsidR="00395064" w:rsidRPr="003C5AB0">
        <w:rPr>
          <w:sz w:val="18"/>
          <w:szCs w:val="18"/>
        </w:rPr>
        <w:t xml:space="preserve"> at</w:t>
      </w:r>
      <w:r w:rsidRPr="003C5AB0">
        <w:rPr>
          <w:sz w:val="18"/>
          <w:szCs w:val="18"/>
        </w:rPr>
        <w:t xml:space="preserve"> 27</w:t>
      </w:r>
      <w:r w:rsidR="00395064" w:rsidRPr="003C5AB0">
        <w:rPr>
          <w:sz w:val="18"/>
          <w:szCs w:val="18"/>
        </w:rPr>
        <w:t>.</w:t>
      </w:r>
    </w:p>
  </w:footnote>
  <w:footnote w:id="36">
    <w:p w14:paraId="0A333745" w14:textId="454D60E0"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r w:rsidR="00395064" w:rsidRPr="003C5AB0">
        <w:rPr>
          <w:i/>
          <w:iCs/>
          <w:sz w:val="18"/>
          <w:szCs w:val="18"/>
        </w:rPr>
        <w:t>Id.</w:t>
      </w:r>
    </w:p>
  </w:footnote>
  <w:footnote w:id="37">
    <w:p w14:paraId="69DC0371" w14:textId="448A3962"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r w:rsidR="00395064" w:rsidRPr="003C5AB0">
        <w:rPr>
          <w:i/>
          <w:iCs/>
          <w:sz w:val="18"/>
          <w:szCs w:val="18"/>
        </w:rPr>
        <w:t>Id.</w:t>
      </w:r>
      <w:r w:rsidR="00395064" w:rsidRPr="003C5AB0">
        <w:rPr>
          <w:sz w:val="18"/>
          <w:szCs w:val="18"/>
        </w:rPr>
        <w:t xml:space="preserve"> at 24.</w:t>
      </w:r>
    </w:p>
  </w:footnote>
  <w:footnote w:id="38">
    <w:p w14:paraId="387CFACA" w14:textId="05C82D70" w:rsidR="00664B5B" w:rsidRPr="003C5AB0" w:rsidRDefault="00664B5B" w:rsidP="00372B11">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39">
    <w:p w14:paraId="1461C929" w14:textId="63822BBA" w:rsidR="00314899" w:rsidRPr="003C5AB0" w:rsidRDefault="00314899">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40">
    <w:p w14:paraId="4EA74602" w14:textId="672E8262" w:rsidR="005F22B7" w:rsidRPr="003C5AB0" w:rsidRDefault="005F22B7">
      <w:pPr>
        <w:pStyle w:val="FootnoteText"/>
        <w:rPr>
          <w:sz w:val="18"/>
          <w:szCs w:val="18"/>
        </w:rPr>
      </w:pPr>
      <w:r w:rsidRPr="003C5AB0">
        <w:rPr>
          <w:rStyle w:val="FootnoteReference"/>
          <w:sz w:val="18"/>
          <w:szCs w:val="18"/>
        </w:rPr>
        <w:footnoteRef/>
      </w:r>
      <w:r w:rsidRPr="003C5AB0">
        <w:rPr>
          <w:sz w:val="18"/>
          <w:szCs w:val="18"/>
        </w:rPr>
        <w:t xml:space="preserve"> </w:t>
      </w:r>
      <w:r w:rsidR="00395064" w:rsidRPr="003C5AB0">
        <w:rPr>
          <w:i/>
          <w:iCs/>
          <w:sz w:val="18"/>
          <w:szCs w:val="18"/>
        </w:rPr>
        <w:t>Id</w:t>
      </w:r>
      <w:r w:rsidR="00395064" w:rsidRPr="003C5AB0">
        <w:rPr>
          <w:sz w:val="18"/>
          <w:szCs w:val="18"/>
        </w:rPr>
        <w:t>. at</w:t>
      </w:r>
      <w:r w:rsidRPr="003C5AB0">
        <w:rPr>
          <w:sz w:val="18"/>
          <w:szCs w:val="18"/>
        </w:rPr>
        <w:t xml:space="preserve"> 32</w:t>
      </w:r>
      <w:r w:rsidR="00395064" w:rsidRPr="003C5AB0">
        <w:rPr>
          <w:sz w:val="18"/>
          <w:szCs w:val="18"/>
        </w:rPr>
        <w:t xml:space="preserve">; SB 253, supra note </w:t>
      </w:r>
      <w:r w:rsidR="008959B6" w:rsidRPr="003C5AB0">
        <w:rPr>
          <w:sz w:val="18"/>
          <w:szCs w:val="18"/>
        </w:rPr>
        <w:fldChar w:fldCharType="begin"/>
      </w:r>
      <w:r w:rsidR="008959B6" w:rsidRPr="003C5AB0">
        <w:rPr>
          <w:sz w:val="18"/>
          <w:szCs w:val="18"/>
        </w:rPr>
        <w:instrText xml:space="preserve"> NOTEREF _Ref191564385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26</w:t>
      </w:r>
      <w:r w:rsidR="008959B6" w:rsidRPr="003C5AB0">
        <w:rPr>
          <w:sz w:val="18"/>
          <w:szCs w:val="18"/>
        </w:rPr>
        <w:fldChar w:fldCharType="end"/>
      </w:r>
      <w:r w:rsidR="00395064" w:rsidRPr="003C5AB0">
        <w:rPr>
          <w:sz w:val="18"/>
          <w:szCs w:val="18"/>
        </w:rPr>
        <w:t xml:space="preserve">. </w:t>
      </w:r>
    </w:p>
  </w:footnote>
  <w:footnote w:id="41">
    <w:p w14:paraId="50326F72" w14:textId="39061B6B" w:rsidR="005162A3" w:rsidRPr="003C5AB0" w:rsidRDefault="005162A3">
      <w:pPr>
        <w:pStyle w:val="FootnoteText"/>
        <w:rPr>
          <w:sz w:val="18"/>
          <w:szCs w:val="18"/>
        </w:rPr>
      </w:pPr>
      <w:r w:rsidRPr="003C5AB0">
        <w:rPr>
          <w:rStyle w:val="FootnoteReference"/>
          <w:sz w:val="18"/>
          <w:szCs w:val="18"/>
        </w:rPr>
        <w:footnoteRef/>
      </w:r>
      <w:r w:rsidRPr="003C5AB0">
        <w:rPr>
          <w:sz w:val="18"/>
          <w:szCs w:val="18"/>
        </w:rPr>
        <w:t xml:space="preserve"> </w:t>
      </w:r>
      <w:bookmarkStart w:id="40" w:name="OLE_LINK130"/>
      <w:r w:rsidR="00395064" w:rsidRPr="003C5AB0">
        <w:rPr>
          <w:sz w:val="18"/>
          <w:szCs w:val="18"/>
        </w:rPr>
        <w:t>Rule 405, Securities Act of 1933, 17 C.F.R. § 230.405 (1999).</w:t>
      </w:r>
      <w:bookmarkEnd w:id="40"/>
    </w:p>
  </w:footnote>
  <w:footnote w:id="42">
    <w:p w14:paraId="359061E4" w14:textId="486B8E38" w:rsidR="005162A3" w:rsidRPr="003C5AB0" w:rsidRDefault="005162A3">
      <w:pPr>
        <w:pStyle w:val="FootnoteText"/>
        <w:rPr>
          <w:sz w:val="18"/>
          <w:szCs w:val="18"/>
        </w:rPr>
      </w:pPr>
      <w:r w:rsidRPr="003C5AB0">
        <w:rPr>
          <w:rStyle w:val="FootnoteReference"/>
          <w:sz w:val="18"/>
          <w:szCs w:val="18"/>
        </w:rPr>
        <w:footnoteRef/>
      </w:r>
      <w:r w:rsidRPr="003C5AB0">
        <w:rPr>
          <w:sz w:val="18"/>
          <w:szCs w:val="18"/>
        </w:rPr>
        <w:t xml:space="preserve"> </w:t>
      </w:r>
      <w:bookmarkStart w:id="42" w:name="OLE_LINK131"/>
      <w:r w:rsidR="00395064" w:rsidRPr="003C5AB0">
        <w:rPr>
          <w:i/>
          <w:iCs/>
          <w:sz w:val="18"/>
          <w:szCs w:val="18"/>
        </w:rPr>
        <w:t>TSC Indus., Inc. v. Northway, Inc.</w:t>
      </w:r>
      <w:r w:rsidR="00395064" w:rsidRPr="003C5AB0">
        <w:rPr>
          <w:sz w:val="18"/>
          <w:szCs w:val="18"/>
        </w:rPr>
        <w:t>, 426 U.S. 438 (1976).</w:t>
      </w:r>
      <w:bookmarkEnd w:id="42"/>
    </w:p>
  </w:footnote>
  <w:footnote w:id="43">
    <w:p w14:paraId="449F7D00" w14:textId="761EADBE" w:rsidR="00B55324" w:rsidRPr="003C5AB0" w:rsidRDefault="00B55324">
      <w:pPr>
        <w:pStyle w:val="FootnoteText"/>
        <w:rPr>
          <w:sz w:val="18"/>
          <w:szCs w:val="18"/>
        </w:rPr>
      </w:pPr>
      <w:r w:rsidRPr="003C5AB0">
        <w:rPr>
          <w:rStyle w:val="FootnoteReference"/>
          <w:sz w:val="18"/>
          <w:szCs w:val="18"/>
        </w:rPr>
        <w:footnoteRef/>
      </w:r>
      <w:r w:rsidRPr="003C5AB0">
        <w:rPr>
          <w:sz w:val="18"/>
          <w:szCs w:val="18"/>
        </w:rPr>
        <w:t xml:space="preserve"> </w:t>
      </w:r>
      <w:r w:rsidR="00395064" w:rsidRPr="003C5AB0">
        <w:rPr>
          <w:sz w:val="18"/>
          <w:szCs w:val="18"/>
        </w:rPr>
        <w:t xml:space="preserve">SEC Announces New Climate Disclosure Rules, Press Release No. 2024-31 (Mar. 15, 2024), </w:t>
      </w:r>
      <w:hyperlink r:id="rId9" w:history="1">
        <w:r w:rsidR="00AC7B07" w:rsidRPr="003C5AB0">
          <w:rPr>
            <w:rStyle w:val="Hyperlink"/>
            <w:sz w:val="18"/>
            <w:szCs w:val="18"/>
          </w:rPr>
          <w:t>https://www.sec.gov/newsroom/press-releases/2024-31</w:t>
        </w:r>
      </w:hyperlink>
      <w:r w:rsidR="00395064" w:rsidRPr="003C5AB0">
        <w:rPr>
          <w:sz w:val="18"/>
          <w:szCs w:val="18"/>
        </w:rPr>
        <w:t>.</w:t>
      </w:r>
      <w:r w:rsidR="00AC7B07" w:rsidRPr="003C5AB0">
        <w:rPr>
          <w:sz w:val="18"/>
          <w:szCs w:val="18"/>
        </w:rPr>
        <w:t xml:space="preserve"> </w:t>
      </w:r>
    </w:p>
  </w:footnote>
  <w:footnote w:id="44">
    <w:p w14:paraId="03512AF4" w14:textId="189B6013" w:rsidR="00B52AB3" w:rsidRPr="003C5AB0" w:rsidRDefault="00B52AB3">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45">
    <w:p w14:paraId="20099CA5" w14:textId="0AE89BFD" w:rsidR="00B55324" w:rsidRPr="003C5AB0" w:rsidRDefault="00B55324">
      <w:pPr>
        <w:pStyle w:val="FootnoteText"/>
        <w:rPr>
          <w:sz w:val="18"/>
          <w:szCs w:val="18"/>
        </w:rPr>
      </w:pPr>
      <w:r w:rsidRPr="003C5AB0">
        <w:rPr>
          <w:rStyle w:val="FootnoteReference"/>
          <w:sz w:val="18"/>
          <w:szCs w:val="18"/>
        </w:rPr>
        <w:footnoteRef/>
      </w:r>
      <w:r w:rsidRPr="003C5AB0">
        <w:rPr>
          <w:sz w:val="18"/>
          <w:szCs w:val="18"/>
        </w:rPr>
        <w:t xml:space="preserve"> </w:t>
      </w:r>
      <w:r w:rsidR="0007160E" w:rsidRPr="003C5AB0">
        <w:rPr>
          <w:i/>
          <w:iCs/>
          <w:sz w:val="18"/>
          <w:szCs w:val="18"/>
        </w:rPr>
        <w:t>Basic Inc. v. Levinson</w:t>
      </w:r>
      <w:r w:rsidR="0007160E" w:rsidRPr="003C5AB0">
        <w:rPr>
          <w:sz w:val="18"/>
          <w:szCs w:val="18"/>
        </w:rPr>
        <w:t>, 485 U.S. 224 (1988).</w:t>
      </w:r>
    </w:p>
  </w:footnote>
  <w:footnote w:id="46">
    <w:p w14:paraId="0453745B" w14:textId="7E4CEA7A" w:rsidR="008D2EFF" w:rsidRPr="003C5AB0" w:rsidRDefault="008D2EFF">
      <w:pPr>
        <w:pStyle w:val="FootnoteText"/>
        <w:rPr>
          <w:sz w:val="18"/>
          <w:szCs w:val="18"/>
        </w:rPr>
      </w:pPr>
      <w:r w:rsidRPr="003C5AB0">
        <w:rPr>
          <w:rStyle w:val="FootnoteReference"/>
          <w:sz w:val="18"/>
          <w:szCs w:val="18"/>
        </w:rPr>
        <w:footnoteRef/>
      </w:r>
      <w:r w:rsidRPr="003C5AB0">
        <w:rPr>
          <w:sz w:val="18"/>
          <w:szCs w:val="18"/>
        </w:rPr>
        <w:t xml:space="preserve"> Gadinis</w:t>
      </w:r>
      <w:r w:rsidR="0007160E" w:rsidRPr="003C5AB0">
        <w:rPr>
          <w:sz w:val="18"/>
          <w:szCs w:val="18"/>
        </w:rPr>
        <w:t xml:space="preserve">, </w:t>
      </w:r>
      <w:r w:rsidR="003507F9" w:rsidRPr="003C5AB0">
        <w:rPr>
          <w:sz w:val="18"/>
          <w:szCs w:val="18"/>
        </w:rPr>
        <w:t xml:space="preserve">supra note </w:t>
      </w:r>
      <w:r w:rsidR="008959B6" w:rsidRPr="003C5AB0">
        <w:rPr>
          <w:sz w:val="18"/>
          <w:szCs w:val="18"/>
        </w:rPr>
        <w:fldChar w:fldCharType="begin"/>
      </w:r>
      <w:r w:rsidR="008959B6" w:rsidRPr="003C5AB0">
        <w:rPr>
          <w:sz w:val="18"/>
          <w:szCs w:val="18"/>
        </w:rPr>
        <w:instrText xml:space="preserve"> NOTEREF _Ref191563183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7</w:t>
      </w:r>
      <w:r w:rsidR="008959B6" w:rsidRPr="003C5AB0">
        <w:rPr>
          <w:sz w:val="18"/>
          <w:szCs w:val="18"/>
        </w:rPr>
        <w:fldChar w:fldCharType="end"/>
      </w:r>
      <w:r w:rsidR="0007160E" w:rsidRPr="003C5AB0">
        <w:rPr>
          <w:sz w:val="18"/>
          <w:szCs w:val="18"/>
        </w:rPr>
        <w:t>, at 24.</w:t>
      </w:r>
    </w:p>
  </w:footnote>
  <w:footnote w:id="47">
    <w:p w14:paraId="13F91879" w14:textId="0BD84828" w:rsidR="000167A9" w:rsidRPr="003C5AB0" w:rsidRDefault="000167A9">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48">
    <w:p w14:paraId="15E4F428" w14:textId="0D2C5B14" w:rsidR="00B52AB3" w:rsidRPr="003C5AB0" w:rsidRDefault="00B52AB3" w:rsidP="00B52AB3">
      <w:pPr>
        <w:pStyle w:val="FootnoteText"/>
        <w:rPr>
          <w:sz w:val="18"/>
          <w:szCs w:val="18"/>
        </w:rPr>
      </w:pPr>
      <w:r w:rsidRPr="003C5AB0">
        <w:rPr>
          <w:rStyle w:val="FootnoteReference"/>
          <w:sz w:val="18"/>
          <w:szCs w:val="18"/>
        </w:rPr>
        <w:footnoteRef/>
      </w:r>
      <w:r w:rsidRPr="003C5AB0">
        <w:rPr>
          <w:sz w:val="18"/>
          <w:szCs w:val="18"/>
        </w:rPr>
        <w:t xml:space="preserve"> </w:t>
      </w:r>
      <w:bookmarkStart w:id="45" w:name="OLE_LINK96"/>
      <w:r w:rsidR="0007160E" w:rsidRPr="003C5AB0">
        <w:rPr>
          <w:i/>
          <w:iCs/>
          <w:sz w:val="18"/>
          <w:szCs w:val="18"/>
        </w:rPr>
        <w:t>Id.</w:t>
      </w:r>
      <w:r w:rsidR="0007160E" w:rsidRPr="003C5AB0">
        <w:rPr>
          <w:sz w:val="18"/>
          <w:szCs w:val="18"/>
        </w:rPr>
        <w:t xml:space="preserve"> at</w:t>
      </w:r>
      <w:r w:rsidRPr="003C5AB0">
        <w:rPr>
          <w:sz w:val="18"/>
          <w:szCs w:val="18"/>
        </w:rPr>
        <w:t xml:space="preserve"> 32</w:t>
      </w:r>
      <w:r w:rsidR="0007160E" w:rsidRPr="003C5AB0">
        <w:rPr>
          <w:sz w:val="18"/>
          <w:szCs w:val="18"/>
        </w:rPr>
        <w:t xml:space="preserve">; </w:t>
      </w:r>
      <w:r w:rsidRPr="003C5AB0">
        <w:rPr>
          <w:sz w:val="18"/>
          <w:szCs w:val="18"/>
        </w:rPr>
        <w:t xml:space="preserve"> </w:t>
      </w:r>
      <w:r w:rsidR="0007160E" w:rsidRPr="003C5AB0">
        <w:rPr>
          <w:sz w:val="18"/>
          <w:szCs w:val="18"/>
        </w:rPr>
        <w:t xml:space="preserve">SB 253, supra note </w:t>
      </w:r>
      <w:r w:rsidR="008959B6" w:rsidRPr="003C5AB0">
        <w:rPr>
          <w:sz w:val="18"/>
          <w:szCs w:val="18"/>
        </w:rPr>
        <w:fldChar w:fldCharType="begin"/>
      </w:r>
      <w:r w:rsidR="008959B6" w:rsidRPr="003C5AB0">
        <w:rPr>
          <w:sz w:val="18"/>
          <w:szCs w:val="18"/>
        </w:rPr>
        <w:instrText xml:space="preserve"> NOTEREF _Ref191564385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26</w:t>
      </w:r>
      <w:r w:rsidR="008959B6" w:rsidRPr="003C5AB0">
        <w:rPr>
          <w:sz w:val="18"/>
          <w:szCs w:val="18"/>
        </w:rPr>
        <w:fldChar w:fldCharType="end"/>
      </w:r>
      <w:bookmarkEnd w:id="45"/>
      <w:r w:rsidR="0007160E" w:rsidRPr="003C5AB0">
        <w:rPr>
          <w:sz w:val="18"/>
          <w:szCs w:val="18"/>
        </w:rPr>
        <w:t>.</w:t>
      </w:r>
    </w:p>
    <w:p w14:paraId="4008E9F7" w14:textId="3998C12F" w:rsidR="00B52AB3" w:rsidRPr="003C5AB0" w:rsidRDefault="00B52AB3" w:rsidP="00B52AB3">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0007160E" w:rsidRPr="003C5AB0">
        <w:rPr>
          <w:sz w:val="18"/>
          <w:szCs w:val="18"/>
          <w:lang w:val="pt-BR"/>
        </w:rPr>
        <w:t xml:space="preserve">Tarantino et al., supra note </w:t>
      </w:r>
      <w:r w:rsidR="008959B6" w:rsidRPr="003C5AB0">
        <w:rPr>
          <w:sz w:val="18"/>
          <w:szCs w:val="18"/>
          <w:lang w:val="pt-BR"/>
        </w:rPr>
        <w:fldChar w:fldCharType="begin"/>
      </w:r>
      <w:r w:rsidR="008959B6" w:rsidRPr="003C5AB0">
        <w:rPr>
          <w:sz w:val="18"/>
          <w:szCs w:val="18"/>
          <w:lang w:val="pt-BR"/>
        </w:rPr>
        <w:instrText xml:space="preserve"> NOTEREF _Ref191564456 \h </w:instrText>
      </w:r>
      <w:r w:rsidR="008439E1" w:rsidRPr="003C5AB0">
        <w:rPr>
          <w:sz w:val="18"/>
          <w:szCs w:val="18"/>
          <w:lang w:val="pt-BR"/>
        </w:rPr>
        <w:instrText xml:space="preserve"> \* MERGEFORMAT </w:instrText>
      </w:r>
      <w:r w:rsidR="008959B6" w:rsidRPr="003C5AB0">
        <w:rPr>
          <w:sz w:val="18"/>
          <w:szCs w:val="18"/>
          <w:lang w:val="pt-BR"/>
        </w:rPr>
      </w:r>
      <w:r w:rsidR="008959B6" w:rsidRPr="003C5AB0">
        <w:rPr>
          <w:sz w:val="18"/>
          <w:szCs w:val="18"/>
          <w:lang w:val="pt-BR"/>
        </w:rPr>
        <w:fldChar w:fldCharType="separate"/>
      </w:r>
      <w:r w:rsidR="003C5AB0">
        <w:rPr>
          <w:sz w:val="18"/>
          <w:szCs w:val="18"/>
          <w:lang w:val="pt-BR"/>
        </w:rPr>
        <w:t>29</w:t>
      </w:r>
      <w:r w:rsidR="008959B6" w:rsidRPr="003C5AB0">
        <w:rPr>
          <w:sz w:val="18"/>
          <w:szCs w:val="18"/>
          <w:lang w:val="pt-BR"/>
        </w:rPr>
        <w:fldChar w:fldCharType="end"/>
      </w:r>
      <w:r w:rsidR="0007160E" w:rsidRPr="003C5AB0">
        <w:rPr>
          <w:sz w:val="18"/>
          <w:szCs w:val="18"/>
          <w:lang w:val="pt-BR"/>
        </w:rPr>
        <w:t>.</w:t>
      </w:r>
    </w:p>
  </w:footnote>
  <w:footnote w:id="49">
    <w:p w14:paraId="4B117ED5" w14:textId="3437F075" w:rsidR="00B52AB3" w:rsidRPr="003C5AB0" w:rsidRDefault="00B52AB3">
      <w:pPr>
        <w:pStyle w:val="FootnoteText"/>
        <w:rPr>
          <w:sz w:val="18"/>
          <w:szCs w:val="18"/>
        </w:rPr>
      </w:pPr>
      <w:r w:rsidRPr="003C5AB0">
        <w:rPr>
          <w:rStyle w:val="FootnoteReference"/>
          <w:sz w:val="18"/>
          <w:szCs w:val="18"/>
        </w:rPr>
        <w:footnoteRef/>
      </w:r>
      <w:r w:rsidRPr="003C5AB0">
        <w:rPr>
          <w:sz w:val="18"/>
          <w:szCs w:val="18"/>
        </w:rPr>
        <w:t xml:space="preserve"> Gadinis</w:t>
      </w:r>
      <w:r w:rsidR="0007160E" w:rsidRPr="003C5AB0">
        <w:rPr>
          <w:sz w:val="18"/>
          <w:szCs w:val="18"/>
        </w:rPr>
        <w:t xml:space="preserve">, </w:t>
      </w:r>
      <w:r w:rsidR="003507F9" w:rsidRPr="003C5AB0">
        <w:rPr>
          <w:sz w:val="18"/>
          <w:szCs w:val="18"/>
        </w:rPr>
        <w:t xml:space="preserve">supra note </w:t>
      </w:r>
      <w:r w:rsidR="008959B6" w:rsidRPr="003C5AB0">
        <w:rPr>
          <w:sz w:val="18"/>
          <w:szCs w:val="18"/>
        </w:rPr>
        <w:fldChar w:fldCharType="begin"/>
      </w:r>
      <w:r w:rsidR="008959B6" w:rsidRPr="003C5AB0">
        <w:rPr>
          <w:sz w:val="18"/>
          <w:szCs w:val="18"/>
        </w:rPr>
        <w:instrText xml:space="preserve"> NOTEREF _Ref191563183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7</w:t>
      </w:r>
      <w:r w:rsidR="008959B6" w:rsidRPr="003C5AB0">
        <w:rPr>
          <w:sz w:val="18"/>
          <w:szCs w:val="18"/>
        </w:rPr>
        <w:fldChar w:fldCharType="end"/>
      </w:r>
      <w:r w:rsidR="0007160E" w:rsidRPr="003C5AB0">
        <w:rPr>
          <w:sz w:val="18"/>
          <w:szCs w:val="18"/>
        </w:rPr>
        <w:t>, at</w:t>
      </w:r>
      <w:r w:rsidRPr="003C5AB0">
        <w:rPr>
          <w:sz w:val="18"/>
          <w:szCs w:val="18"/>
        </w:rPr>
        <w:t xml:space="preserve"> 31</w:t>
      </w:r>
      <w:r w:rsidR="0007160E" w:rsidRPr="003C5AB0">
        <w:rPr>
          <w:sz w:val="18"/>
          <w:szCs w:val="18"/>
        </w:rPr>
        <w:t>.</w:t>
      </w:r>
    </w:p>
  </w:footnote>
  <w:footnote w:id="50">
    <w:p w14:paraId="46541DC1" w14:textId="6AE33AE1" w:rsidR="00B52AB3" w:rsidRPr="003C5AB0" w:rsidRDefault="00B52AB3">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51">
    <w:p w14:paraId="41DD06C7" w14:textId="64D870A0" w:rsidR="00C807C8" w:rsidRPr="004A5F86" w:rsidRDefault="00C807C8">
      <w:pPr>
        <w:pStyle w:val="FootnoteText"/>
        <w:rPr>
          <w:sz w:val="18"/>
          <w:szCs w:val="18"/>
        </w:rPr>
      </w:pPr>
      <w:r w:rsidRPr="004A5F86">
        <w:rPr>
          <w:rStyle w:val="FootnoteReference"/>
          <w:sz w:val="18"/>
          <w:szCs w:val="18"/>
        </w:rPr>
        <w:footnoteRef/>
      </w:r>
      <w:r w:rsidRPr="004A5F86">
        <w:rPr>
          <w:sz w:val="18"/>
          <w:szCs w:val="18"/>
        </w:rPr>
        <w:t xml:space="preserve"> </w:t>
      </w:r>
      <w:bookmarkStart w:id="48" w:name="OLE_LINK8"/>
      <w:bookmarkStart w:id="49" w:name="OLE_LINK7"/>
      <w:proofErr w:type="spellStart"/>
      <w:r w:rsidRPr="004A5F86">
        <w:rPr>
          <w:sz w:val="18"/>
          <w:szCs w:val="18"/>
        </w:rPr>
        <w:t>Armour</w:t>
      </w:r>
      <w:proofErr w:type="spellEnd"/>
      <w:r w:rsidR="008959B6" w:rsidRPr="003C5AB0">
        <w:rPr>
          <w:sz w:val="18"/>
          <w:szCs w:val="18"/>
        </w:rPr>
        <w:t xml:space="preserve">, supra note </w:t>
      </w:r>
      <w:r w:rsidR="008959B6" w:rsidRPr="003C5AB0">
        <w:rPr>
          <w:sz w:val="18"/>
          <w:szCs w:val="18"/>
        </w:rPr>
        <w:fldChar w:fldCharType="begin"/>
      </w:r>
      <w:r w:rsidR="008959B6" w:rsidRPr="003C5AB0">
        <w:rPr>
          <w:sz w:val="18"/>
          <w:szCs w:val="18"/>
        </w:rPr>
        <w:instrText xml:space="preserve"> NOTEREF _Ref191564510 \h </w:instrText>
      </w:r>
      <w:r w:rsidR="008439E1" w:rsidRPr="003C5AB0">
        <w:rPr>
          <w:sz w:val="18"/>
          <w:szCs w:val="18"/>
        </w:rPr>
        <w:instrText xml:space="preserve"> \* MERGEFORMAT </w:instrText>
      </w:r>
      <w:r w:rsidR="008959B6" w:rsidRPr="003C5AB0">
        <w:rPr>
          <w:sz w:val="18"/>
          <w:szCs w:val="18"/>
        </w:rPr>
      </w:r>
      <w:r w:rsidR="008959B6" w:rsidRPr="003C5AB0">
        <w:rPr>
          <w:sz w:val="18"/>
          <w:szCs w:val="18"/>
        </w:rPr>
        <w:fldChar w:fldCharType="separate"/>
      </w:r>
      <w:r w:rsidR="003C5AB0">
        <w:rPr>
          <w:sz w:val="18"/>
          <w:szCs w:val="18"/>
        </w:rPr>
        <w:t>9</w:t>
      </w:r>
      <w:r w:rsidR="008959B6" w:rsidRPr="003C5AB0">
        <w:rPr>
          <w:sz w:val="18"/>
          <w:szCs w:val="18"/>
        </w:rPr>
        <w:fldChar w:fldCharType="end"/>
      </w:r>
      <w:r w:rsidR="008959B6" w:rsidRPr="003C5AB0">
        <w:rPr>
          <w:sz w:val="18"/>
          <w:szCs w:val="18"/>
        </w:rPr>
        <w:t>,</w:t>
      </w:r>
      <w:r w:rsidRPr="004A5F86">
        <w:rPr>
          <w:sz w:val="18"/>
          <w:szCs w:val="18"/>
        </w:rPr>
        <w:t xml:space="preserve"> 687.</w:t>
      </w:r>
      <w:bookmarkEnd w:id="48"/>
    </w:p>
    <w:bookmarkEnd w:id="49"/>
  </w:footnote>
  <w:footnote w:id="52">
    <w:p w14:paraId="4A8BA480" w14:textId="7A33EC7D" w:rsidR="00E774DB" w:rsidRPr="004A5F86" w:rsidRDefault="00E774DB">
      <w:pPr>
        <w:pStyle w:val="FootnoteText"/>
        <w:rPr>
          <w:sz w:val="18"/>
          <w:szCs w:val="18"/>
        </w:rPr>
      </w:pPr>
      <w:r w:rsidRPr="004A5F86">
        <w:rPr>
          <w:rStyle w:val="FootnoteReference"/>
          <w:sz w:val="18"/>
          <w:szCs w:val="18"/>
        </w:rPr>
        <w:footnoteRef/>
      </w:r>
      <w:r w:rsidRPr="004A5F86">
        <w:rPr>
          <w:sz w:val="18"/>
          <w:szCs w:val="18"/>
        </w:rPr>
        <w:t xml:space="preserve"> </w:t>
      </w:r>
      <w:r w:rsidRPr="003C5AB0">
        <w:rPr>
          <w:sz w:val="18"/>
          <w:szCs w:val="18"/>
        </w:rPr>
        <w:t>Martin Gelter, The Pension System and the Rise of Shareholder Primacy, 43 Seton Hall L. Rev. 909, 911 (2013)</w:t>
      </w:r>
      <w:r w:rsidR="00460FE1" w:rsidRPr="003C5AB0">
        <w:rPr>
          <w:sz w:val="18"/>
          <w:szCs w:val="18"/>
        </w:rPr>
        <w:t>.</w:t>
      </w:r>
    </w:p>
  </w:footnote>
  <w:footnote w:id="53">
    <w:p w14:paraId="164B3E45" w14:textId="7C05188A" w:rsidR="00E774DB" w:rsidRPr="004A5F86" w:rsidRDefault="00E774DB">
      <w:pPr>
        <w:pStyle w:val="FootnoteText"/>
        <w:rPr>
          <w:sz w:val="18"/>
          <w:szCs w:val="18"/>
        </w:rPr>
      </w:pPr>
      <w:r w:rsidRPr="004A5F86">
        <w:rPr>
          <w:rStyle w:val="FootnoteReference"/>
          <w:sz w:val="18"/>
          <w:szCs w:val="18"/>
        </w:rPr>
        <w:footnoteRef/>
      </w:r>
      <w:r w:rsidRPr="004A5F86">
        <w:rPr>
          <w:sz w:val="18"/>
          <w:szCs w:val="18"/>
        </w:rPr>
        <w:t xml:space="preserve"> Gordon, supra note </w:t>
      </w:r>
      <w:r w:rsidRPr="004A5F86">
        <w:rPr>
          <w:sz w:val="18"/>
          <w:szCs w:val="18"/>
        </w:rPr>
        <w:fldChar w:fldCharType="begin"/>
      </w:r>
      <w:r w:rsidRPr="004A5F86">
        <w:rPr>
          <w:sz w:val="18"/>
          <w:szCs w:val="18"/>
        </w:rPr>
        <w:instrText xml:space="preserve"> NOTEREF _Ref191563650 \h </w:instrText>
      </w:r>
      <w:r w:rsidRPr="003C5AB0">
        <w:rPr>
          <w:sz w:val="18"/>
          <w:szCs w:val="18"/>
        </w:rPr>
        <w:instrText xml:space="preserve"> \* MERGEFORMAT </w:instrText>
      </w:r>
      <w:r w:rsidRPr="004A5F86">
        <w:rPr>
          <w:sz w:val="18"/>
          <w:szCs w:val="18"/>
        </w:rPr>
      </w:r>
      <w:r w:rsidRPr="004A5F86">
        <w:rPr>
          <w:sz w:val="18"/>
          <w:szCs w:val="18"/>
        </w:rPr>
        <w:fldChar w:fldCharType="separate"/>
      </w:r>
      <w:r w:rsidR="003C5AB0">
        <w:rPr>
          <w:sz w:val="18"/>
          <w:szCs w:val="18"/>
        </w:rPr>
        <w:t>8</w:t>
      </w:r>
      <w:r w:rsidRPr="004A5F86">
        <w:rPr>
          <w:sz w:val="18"/>
          <w:szCs w:val="18"/>
        </w:rPr>
        <w:fldChar w:fldCharType="end"/>
      </w:r>
      <w:r w:rsidRPr="004A5F86">
        <w:rPr>
          <w:sz w:val="18"/>
          <w:szCs w:val="18"/>
        </w:rPr>
        <w:t>.</w:t>
      </w:r>
    </w:p>
  </w:footnote>
  <w:footnote w:id="54">
    <w:p w14:paraId="197381B1" w14:textId="006068BD" w:rsidR="00B01DF3" w:rsidRPr="003C5AB0" w:rsidRDefault="00B01DF3">
      <w:pPr>
        <w:pStyle w:val="FootnoteText"/>
        <w:rPr>
          <w:sz w:val="18"/>
          <w:szCs w:val="18"/>
        </w:rPr>
      </w:pPr>
      <w:r w:rsidRPr="003C5AB0">
        <w:rPr>
          <w:rStyle w:val="FootnoteReference"/>
          <w:sz w:val="18"/>
          <w:szCs w:val="18"/>
        </w:rPr>
        <w:footnoteRef/>
      </w:r>
      <w:r w:rsidRPr="003C5AB0">
        <w:rPr>
          <w:sz w:val="18"/>
          <w:szCs w:val="18"/>
        </w:rPr>
        <w:t xml:space="preserve"> </w:t>
      </w:r>
      <w:r w:rsidR="00AC7642" w:rsidRPr="003C5AB0">
        <w:rPr>
          <w:sz w:val="18"/>
          <w:szCs w:val="18"/>
        </w:rPr>
        <w:t xml:space="preserve">European Union, Types of Institutions and Bodies, </w:t>
      </w:r>
      <w:hyperlink r:id="rId10" w:history="1">
        <w:r w:rsidR="00AC7B07" w:rsidRPr="003C5AB0">
          <w:rPr>
            <w:rStyle w:val="Hyperlink"/>
            <w:sz w:val="18"/>
            <w:szCs w:val="18"/>
          </w:rPr>
          <w:t>https://european-union.europa.eu/institutions-law-budget/institutions-and-bodies/types-institutions-and-bodies</w:t>
        </w:r>
      </w:hyperlink>
      <w:r w:rsidR="00AC7B07" w:rsidRPr="003C5AB0">
        <w:rPr>
          <w:sz w:val="18"/>
          <w:szCs w:val="18"/>
        </w:rPr>
        <w:t xml:space="preserve"> </w:t>
      </w:r>
    </w:p>
  </w:footnote>
  <w:footnote w:id="55">
    <w:p w14:paraId="5728EAF1" w14:textId="1A36ED0D" w:rsidR="00B01DF3" w:rsidRPr="003C5AB0" w:rsidRDefault="00B01DF3">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56">
    <w:p w14:paraId="62DC0023" w14:textId="2CCC6B66" w:rsidR="00B01DF3" w:rsidRPr="003C5AB0" w:rsidRDefault="00B01DF3">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57">
    <w:p w14:paraId="799A99D9" w14:textId="1F515229" w:rsidR="00E33732" w:rsidRPr="003C5AB0" w:rsidRDefault="00E33732" w:rsidP="00E33732">
      <w:pPr>
        <w:pStyle w:val="FootnoteText"/>
        <w:rPr>
          <w:sz w:val="18"/>
          <w:szCs w:val="18"/>
        </w:rPr>
      </w:pPr>
      <w:r w:rsidRPr="003C5AB0">
        <w:rPr>
          <w:rStyle w:val="FootnoteReference"/>
          <w:sz w:val="18"/>
          <w:szCs w:val="18"/>
        </w:rPr>
        <w:footnoteRef/>
      </w:r>
      <w:r w:rsidRPr="003C5AB0">
        <w:rPr>
          <w:sz w:val="18"/>
          <w:szCs w:val="18"/>
        </w:rPr>
        <w:t xml:space="preserve"> European Parliament, The Constitution for Europe: The New Framework for European Integration (2015), </w:t>
      </w:r>
      <w:hyperlink r:id="rId11" w:history="1">
        <w:r w:rsidR="00AC7B07" w:rsidRPr="003C5AB0">
          <w:rPr>
            <w:rStyle w:val="Hyperlink"/>
            <w:sz w:val="18"/>
            <w:szCs w:val="18"/>
          </w:rPr>
          <w:t>https://www.europarl.europa.eu/Europe2004/textes/2005-01-10-brochure-constitution-en-v02.pdf</w:t>
        </w:r>
      </w:hyperlink>
      <w:r w:rsidRPr="003C5AB0">
        <w:rPr>
          <w:sz w:val="18"/>
          <w:szCs w:val="18"/>
        </w:rPr>
        <w:t>.</w:t>
      </w:r>
      <w:r w:rsidR="00AC7B07" w:rsidRPr="003C5AB0">
        <w:rPr>
          <w:sz w:val="18"/>
          <w:szCs w:val="18"/>
        </w:rPr>
        <w:t xml:space="preserve"> </w:t>
      </w:r>
    </w:p>
  </w:footnote>
  <w:footnote w:id="58">
    <w:p w14:paraId="4EEEB823" w14:textId="61107DD0" w:rsidR="00E33732" w:rsidRPr="003C5AB0" w:rsidRDefault="00E33732" w:rsidP="00E33732">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proofErr w:type="spellStart"/>
      <w:r w:rsidRPr="003C5AB0">
        <w:rPr>
          <w:sz w:val="18"/>
          <w:szCs w:val="18"/>
          <w:lang w:val="pt-BR"/>
        </w:rPr>
        <w:t>Directive</w:t>
      </w:r>
      <w:proofErr w:type="spellEnd"/>
      <w:r w:rsidRPr="003C5AB0">
        <w:rPr>
          <w:sz w:val="18"/>
          <w:szCs w:val="18"/>
          <w:lang w:val="pt-BR"/>
        </w:rPr>
        <w:t xml:space="preserve"> (EU) 2022/2464, supra note </w:t>
      </w:r>
      <w:r w:rsidR="008959B6" w:rsidRPr="003C5AB0">
        <w:rPr>
          <w:sz w:val="18"/>
          <w:szCs w:val="18"/>
          <w:lang w:val="pt-BR"/>
        </w:rPr>
        <w:fldChar w:fldCharType="begin"/>
      </w:r>
      <w:r w:rsidR="008959B6" w:rsidRPr="003C5AB0">
        <w:rPr>
          <w:sz w:val="18"/>
          <w:szCs w:val="18"/>
          <w:lang w:val="pt-BR"/>
        </w:rPr>
        <w:instrText xml:space="preserve"> NOTEREF _Ref191564610 \h </w:instrText>
      </w:r>
      <w:r w:rsidR="008439E1" w:rsidRPr="003C5AB0">
        <w:rPr>
          <w:sz w:val="18"/>
          <w:szCs w:val="18"/>
          <w:lang w:val="pt-BR"/>
        </w:rPr>
        <w:instrText xml:space="preserve"> \* MERGEFORMAT </w:instrText>
      </w:r>
      <w:r w:rsidR="008959B6" w:rsidRPr="003C5AB0">
        <w:rPr>
          <w:sz w:val="18"/>
          <w:szCs w:val="18"/>
          <w:lang w:val="pt-BR"/>
        </w:rPr>
      </w:r>
      <w:r w:rsidR="008959B6" w:rsidRPr="003C5AB0">
        <w:rPr>
          <w:sz w:val="18"/>
          <w:szCs w:val="18"/>
          <w:lang w:val="pt-BR"/>
        </w:rPr>
        <w:fldChar w:fldCharType="separate"/>
      </w:r>
      <w:r w:rsidR="003C5AB0">
        <w:rPr>
          <w:sz w:val="18"/>
          <w:szCs w:val="18"/>
          <w:lang w:val="pt-BR"/>
        </w:rPr>
        <w:t>10</w:t>
      </w:r>
      <w:r w:rsidR="008959B6" w:rsidRPr="003C5AB0">
        <w:rPr>
          <w:sz w:val="18"/>
          <w:szCs w:val="18"/>
          <w:lang w:val="pt-BR"/>
        </w:rPr>
        <w:fldChar w:fldCharType="end"/>
      </w:r>
      <w:r w:rsidRPr="003C5AB0">
        <w:rPr>
          <w:sz w:val="18"/>
          <w:szCs w:val="18"/>
          <w:lang w:val="pt-BR"/>
        </w:rPr>
        <w:t>.</w:t>
      </w:r>
    </w:p>
  </w:footnote>
  <w:footnote w:id="59">
    <w:p w14:paraId="3B0D1F21" w14:textId="77777777" w:rsidR="00E33732" w:rsidRPr="003C5AB0" w:rsidRDefault="00E33732" w:rsidP="00E33732">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Pr="003C5AB0">
        <w:rPr>
          <w:i/>
          <w:iCs/>
          <w:sz w:val="18"/>
          <w:szCs w:val="18"/>
          <w:lang w:val="pt-BR"/>
        </w:rPr>
        <w:t>Id.</w:t>
      </w:r>
    </w:p>
  </w:footnote>
  <w:footnote w:id="60">
    <w:p w14:paraId="6CE4C714" w14:textId="2D8CF7A2" w:rsidR="00926A7E" w:rsidRPr="003C5AB0" w:rsidRDefault="00926A7E" w:rsidP="00926A7E">
      <w:pPr>
        <w:pStyle w:val="FootnoteText"/>
        <w:rPr>
          <w:sz w:val="18"/>
          <w:szCs w:val="18"/>
        </w:rPr>
      </w:pPr>
      <w:r w:rsidRPr="003C5AB0">
        <w:rPr>
          <w:rStyle w:val="FootnoteReference"/>
          <w:sz w:val="18"/>
          <w:szCs w:val="18"/>
        </w:rPr>
        <w:footnoteRef/>
      </w:r>
      <w:r w:rsidRPr="003C5AB0">
        <w:rPr>
          <w:sz w:val="18"/>
          <w:szCs w:val="18"/>
        </w:rPr>
        <w:t xml:space="preserve"> </w:t>
      </w:r>
      <w:r w:rsidR="00AC7642" w:rsidRPr="003C5AB0">
        <w:rPr>
          <w:i/>
          <w:iCs/>
          <w:sz w:val="18"/>
          <w:szCs w:val="18"/>
        </w:rPr>
        <w:t>Id.</w:t>
      </w:r>
      <w:r w:rsidRPr="003C5AB0">
        <w:rPr>
          <w:sz w:val="18"/>
          <w:szCs w:val="18"/>
        </w:rPr>
        <w:t xml:space="preserve"> </w:t>
      </w:r>
    </w:p>
  </w:footnote>
  <w:footnote w:id="61">
    <w:p w14:paraId="4DFBA87B" w14:textId="4F2D6446" w:rsidR="00A42ABF" w:rsidRPr="003C5AB0" w:rsidRDefault="00A42ABF">
      <w:pPr>
        <w:pStyle w:val="FootnoteText"/>
        <w:rPr>
          <w:sz w:val="18"/>
          <w:szCs w:val="18"/>
        </w:rPr>
      </w:pPr>
      <w:r w:rsidRPr="003C5AB0">
        <w:rPr>
          <w:rStyle w:val="FootnoteReference"/>
          <w:sz w:val="18"/>
          <w:szCs w:val="18"/>
        </w:rPr>
        <w:footnoteRef/>
      </w:r>
      <w:r w:rsidRPr="003C5AB0">
        <w:rPr>
          <w:sz w:val="18"/>
          <w:szCs w:val="18"/>
        </w:rPr>
        <w:t xml:space="preserve"> </w:t>
      </w:r>
      <w:r w:rsidR="00AC7642" w:rsidRPr="003C5AB0">
        <w:rPr>
          <w:sz w:val="18"/>
          <w:szCs w:val="18"/>
        </w:rPr>
        <w:t xml:space="preserve">Regulation (EU) 2021/1119 of the European Parliament and of the Council of 30 June 2021 Establishing the Framework for Achieving Climate Neutrality and Amending Regulations (EC) No 401/2009 and (EU) 2018/1999 (European Climate Law), 2021 O.J. (L 243) 1, </w:t>
      </w:r>
      <w:hyperlink r:id="rId12" w:history="1">
        <w:r w:rsidR="00AC7B07" w:rsidRPr="003C5AB0">
          <w:rPr>
            <w:rStyle w:val="Hyperlink"/>
            <w:sz w:val="18"/>
            <w:szCs w:val="18"/>
          </w:rPr>
          <w:t>https://eur-lex.europa.eu/legal-content/EN/TXT/?uri=CELEX:32021R1119</w:t>
        </w:r>
      </w:hyperlink>
      <w:r w:rsidR="00AC7642" w:rsidRPr="003C5AB0">
        <w:rPr>
          <w:sz w:val="18"/>
          <w:szCs w:val="18"/>
        </w:rPr>
        <w:t>.</w:t>
      </w:r>
      <w:r w:rsidR="00AC7B07" w:rsidRPr="003C5AB0">
        <w:rPr>
          <w:sz w:val="18"/>
          <w:szCs w:val="18"/>
        </w:rPr>
        <w:t xml:space="preserve"> </w:t>
      </w:r>
    </w:p>
  </w:footnote>
  <w:footnote w:id="62">
    <w:p w14:paraId="30E7416B" w14:textId="33C23E6E" w:rsidR="002F6763" w:rsidRPr="003C5AB0" w:rsidRDefault="002F6763" w:rsidP="002F6763">
      <w:pPr>
        <w:pStyle w:val="FootnoteText"/>
        <w:rPr>
          <w:sz w:val="18"/>
          <w:szCs w:val="18"/>
        </w:rPr>
      </w:pPr>
      <w:r w:rsidRPr="003C5AB0">
        <w:rPr>
          <w:rStyle w:val="FootnoteReference"/>
          <w:sz w:val="18"/>
          <w:szCs w:val="18"/>
        </w:rPr>
        <w:footnoteRef/>
      </w:r>
      <w:r w:rsidRPr="003C5AB0">
        <w:rPr>
          <w:sz w:val="18"/>
          <w:szCs w:val="18"/>
        </w:rPr>
        <w:t xml:space="preserve"> </w:t>
      </w:r>
      <w:r w:rsidR="00B44F4A" w:rsidRPr="003C5AB0">
        <w:rPr>
          <w:color w:val="000000"/>
          <w:sz w:val="18"/>
          <w:szCs w:val="18"/>
        </w:rPr>
        <w:t xml:space="preserve">Addis </w:t>
      </w:r>
      <w:proofErr w:type="spellStart"/>
      <w:r w:rsidR="00B44F4A" w:rsidRPr="003C5AB0">
        <w:rPr>
          <w:color w:val="000000" w:themeColor="text1"/>
          <w:sz w:val="18"/>
          <w:szCs w:val="18"/>
        </w:rPr>
        <w:t>Lashitew</w:t>
      </w:r>
      <w:proofErr w:type="spellEnd"/>
      <w:r w:rsidR="00B44F4A" w:rsidRPr="003C5AB0">
        <w:rPr>
          <w:color w:val="000000"/>
          <w:sz w:val="18"/>
          <w:szCs w:val="18"/>
        </w:rPr>
        <w:t>,</w:t>
      </w:r>
      <w:r w:rsidR="00B44F4A" w:rsidRPr="003C5AB0">
        <w:rPr>
          <w:rStyle w:val="apple-converted-space"/>
          <w:color w:val="000000"/>
          <w:sz w:val="18"/>
          <w:szCs w:val="18"/>
        </w:rPr>
        <w:t> </w:t>
      </w:r>
      <w:r w:rsidR="00B44F4A" w:rsidRPr="003C5AB0">
        <w:rPr>
          <w:color w:val="000000"/>
          <w:sz w:val="18"/>
          <w:szCs w:val="18"/>
        </w:rPr>
        <w:t>The coming of age of sustainability disclosure: How do rules differ between the US and the EU?, Brookings</w:t>
      </w:r>
      <w:r w:rsidR="00B44F4A" w:rsidRPr="003C5AB0">
        <w:rPr>
          <w:rStyle w:val="apple-converted-space"/>
          <w:color w:val="000000"/>
          <w:sz w:val="18"/>
          <w:szCs w:val="18"/>
        </w:rPr>
        <w:t> </w:t>
      </w:r>
      <w:r w:rsidR="00B44F4A" w:rsidRPr="003C5AB0">
        <w:rPr>
          <w:color w:val="000000"/>
          <w:sz w:val="18"/>
          <w:szCs w:val="18"/>
        </w:rPr>
        <w:t xml:space="preserve">(2022), </w:t>
      </w:r>
      <w:hyperlink r:id="rId13" w:history="1">
        <w:r w:rsidR="00AC7B07" w:rsidRPr="003C5AB0">
          <w:rPr>
            <w:rStyle w:val="Hyperlink"/>
            <w:sz w:val="18"/>
            <w:szCs w:val="18"/>
          </w:rPr>
          <w:t>https://www.brookings.edu/articles/the-coming-of-age-of-sustainability-disclosure-how-do-rules-differ-between-the-us-and-the-eu/</w:t>
        </w:r>
      </w:hyperlink>
      <w:r w:rsidR="00B44F4A" w:rsidRPr="003C5AB0">
        <w:rPr>
          <w:color w:val="000000"/>
          <w:sz w:val="18"/>
          <w:szCs w:val="18"/>
        </w:rPr>
        <w:t>.</w:t>
      </w:r>
      <w:r w:rsidR="00AC7B07" w:rsidRPr="003C5AB0">
        <w:rPr>
          <w:rStyle w:val="apple-converted-space"/>
          <w:color w:val="000000"/>
          <w:sz w:val="18"/>
          <w:szCs w:val="18"/>
        </w:rPr>
        <w:t xml:space="preserve"> </w:t>
      </w:r>
    </w:p>
  </w:footnote>
  <w:footnote w:id="63">
    <w:p w14:paraId="32C58542" w14:textId="01C6F8F1" w:rsidR="002F6763" w:rsidRPr="003C5AB0" w:rsidRDefault="002F6763" w:rsidP="002F6763">
      <w:pPr>
        <w:pStyle w:val="FootnoteText"/>
        <w:rPr>
          <w:sz w:val="18"/>
          <w:szCs w:val="18"/>
        </w:rPr>
      </w:pPr>
      <w:r w:rsidRPr="003C5AB0">
        <w:rPr>
          <w:rStyle w:val="FootnoteReference"/>
          <w:sz w:val="18"/>
          <w:szCs w:val="18"/>
        </w:rPr>
        <w:footnoteRef/>
      </w:r>
      <w:r w:rsidRPr="003C5AB0">
        <w:rPr>
          <w:sz w:val="18"/>
          <w:szCs w:val="18"/>
        </w:rPr>
        <w:t xml:space="preserve"> </w:t>
      </w:r>
      <w:r w:rsidR="009432C1" w:rsidRPr="003C5AB0">
        <w:rPr>
          <w:color w:val="000000"/>
          <w:sz w:val="18"/>
          <w:szCs w:val="18"/>
        </w:rPr>
        <w:t>CSRD: A guide to the corporate sustainability reporting directive,</w:t>
      </w:r>
      <w:r w:rsidR="009432C1" w:rsidRPr="003C5AB0">
        <w:rPr>
          <w:rStyle w:val="apple-converted-space"/>
          <w:color w:val="000000"/>
          <w:sz w:val="18"/>
          <w:szCs w:val="18"/>
        </w:rPr>
        <w:t> </w:t>
      </w:r>
      <w:r w:rsidR="009432C1" w:rsidRPr="003C5AB0">
        <w:rPr>
          <w:color w:val="000000"/>
          <w:sz w:val="18"/>
          <w:szCs w:val="18"/>
        </w:rPr>
        <w:t>Persefoni</w:t>
      </w:r>
      <w:r w:rsidR="009432C1" w:rsidRPr="003C5AB0">
        <w:rPr>
          <w:rStyle w:val="apple-converted-space"/>
          <w:color w:val="000000"/>
          <w:sz w:val="18"/>
          <w:szCs w:val="18"/>
        </w:rPr>
        <w:t> </w:t>
      </w:r>
      <w:r w:rsidR="009432C1" w:rsidRPr="003C5AB0">
        <w:rPr>
          <w:color w:val="000000"/>
          <w:sz w:val="18"/>
          <w:szCs w:val="18"/>
        </w:rPr>
        <w:t>(2024),</w:t>
      </w:r>
      <w:r w:rsidR="008741AE" w:rsidRPr="003C5AB0">
        <w:rPr>
          <w:color w:val="000000"/>
          <w:sz w:val="18"/>
          <w:szCs w:val="18"/>
        </w:rPr>
        <w:t xml:space="preserve"> </w:t>
      </w:r>
      <w:r w:rsidR="009432C1" w:rsidRPr="003C5AB0">
        <w:rPr>
          <w:color w:val="000000"/>
          <w:sz w:val="18"/>
          <w:szCs w:val="18"/>
        </w:rPr>
        <w:t>https://www.persefoni.com/blog/what-is-csrd.</w:t>
      </w:r>
      <w:r w:rsidR="009432C1" w:rsidRPr="003C5AB0">
        <w:rPr>
          <w:rStyle w:val="apple-converted-space"/>
          <w:color w:val="000000"/>
          <w:sz w:val="18"/>
          <w:szCs w:val="18"/>
        </w:rPr>
        <w:t> </w:t>
      </w:r>
    </w:p>
  </w:footnote>
  <w:footnote w:id="64">
    <w:p w14:paraId="7EABB47D" w14:textId="282D15ED" w:rsidR="00E33732" w:rsidRPr="003C5AB0" w:rsidRDefault="00E33732" w:rsidP="00E33732">
      <w:pPr>
        <w:pStyle w:val="FootnoteText"/>
        <w:rPr>
          <w:sz w:val="18"/>
          <w:szCs w:val="18"/>
        </w:rPr>
      </w:pPr>
      <w:r w:rsidRPr="003C5AB0">
        <w:rPr>
          <w:rStyle w:val="FootnoteReference"/>
          <w:sz w:val="18"/>
          <w:szCs w:val="18"/>
        </w:rPr>
        <w:footnoteRef/>
      </w:r>
      <w:r w:rsidRPr="003C5AB0">
        <w:rPr>
          <w:sz w:val="18"/>
          <w:szCs w:val="18"/>
        </w:rPr>
        <w:t xml:space="preserve"> Anna M. Lipton, “Not Everything Is About Investors: The Case for Mandatory Stakeholder Disclosure.” Yale Journal on Regulation, 507, 502, November 8, 2022. </w:t>
      </w:r>
      <w:r w:rsidRPr="003C5AB0">
        <w:rPr>
          <w:i/>
          <w:iCs/>
          <w:sz w:val="18"/>
          <w:szCs w:val="18"/>
        </w:rPr>
        <w:t>See</w:t>
      </w:r>
      <w:r w:rsidRPr="003C5AB0">
        <w:rPr>
          <w:sz w:val="18"/>
          <w:szCs w:val="18"/>
        </w:rPr>
        <w:t xml:space="preserve"> Directive 2014/95/EU of the European Parliament and of the Council of 22 October 2014 Amending Directive 2013/34/EU as Regards Disclosure of Non-financial and Diversity Information by Certain Large Undertakings and Groups, 2014 O.J. (L 330) 1.</w:t>
      </w:r>
    </w:p>
  </w:footnote>
  <w:footnote w:id="65">
    <w:p w14:paraId="1C3826F5" w14:textId="77777777" w:rsidR="00E33732" w:rsidRPr="003C5AB0" w:rsidRDefault="00E33732" w:rsidP="00E33732">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66">
    <w:p w14:paraId="5576AF41" w14:textId="64AEFFC2" w:rsidR="00A42ABF" w:rsidRPr="003C5AB0" w:rsidRDefault="00A42ABF" w:rsidP="00A42ABF">
      <w:pPr>
        <w:pStyle w:val="FootnoteText"/>
        <w:rPr>
          <w:sz w:val="18"/>
          <w:szCs w:val="18"/>
        </w:rPr>
      </w:pPr>
      <w:r w:rsidRPr="003C5AB0">
        <w:rPr>
          <w:rStyle w:val="FootnoteReference"/>
          <w:sz w:val="18"/>
          <w:szCs w:val="18"/>
        </w:rPr>
        <w:footnoteRef/>
      </w:r>
      <w:r w:rsidRPr="003C5AB0">
        <w:rPr>
          <w:sz w:val="18"/>
          <w:szCs w:val="18"/>
        </w:rPr>
        <w:t xml:space="preserve"> </w:t>
      </w:r>
      <w:r w:rsidR="00910145" w:rsidRPr="003C5AB0">
        <w:rPr>
          <w:sz w:val="18"/>
          <w:szCs w:val="18"/>
        </w:rPr>
        <w:t xml:space="preserve">Gerrard, supra note </w:t>
      </w:r>
      <w:r w:rsidR="0005095F" w:rsidRPr="003C5AB0">
        <w:rPr>
          <w:sz w:val="18"/>
          <w:szCs w:val="18"/>
        </w:rPr>
        <w:fldChar w:fldCharType="begin"/>
      </w:r>
      <w:r w:rsidR="0005095F" w:rsidRPr="003C5AB0">
        <w:rPr>
          <w:sz w:val="18"/>
          <w:szCs w:val="18"/>
        </w:rPr>
        <w:instrText xml:space="preserve"> NOTEREF _Ref191564648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16</w:t>
      </w:r>
      <w:r w:rsidR="0005095F" w:rsidRPr="003C5AB0">
        <w:rPr>
          <w:sz w:val="18"/>
          <w:szCs w:val="18"/>
        </w:rPr>
        <w:fldChar w:fldCharType="end"/>
      </w:r>
      <w:r w:rsidR="00910145" w:rsidRPr="003C5AB0">
        <w:rPr>
          <w:sz w:val="18"/>
          <w:szCs w:val="18"/>
        </w:rPr>
        <w:t>.</w:t>
      </w:r>
    </w:p>
  </w:footnote>
  <w:footnote w:id="67">
    <w:p w14:paraId="452E3398" w14:textId="6A1B1929" w:rsidR="00A42ABF" w:rsidRPr="003C5AB0" w:rsidRDefault="00A42ABF" w:rsidP="00A42ABF">
      <w:pPr>
        <w:pStyle w:val="FootnoteText"/>
        <w:rPr>
          <w:sz w:val="18"/>
          <w:szCs w:val="18"/>
        </w:rPr>
      </w:pPr>
      <w:r w:rsidRPr="003C5AB0">
        <w:rPr>
          <w:rStyle w:val="FootnoteReference"/>
          <w:sz w:val="18"/>
          <w:szCs w:val="18"/>
        </w:rPr>
        <w:footnoteRef/>
      </w:r>
      <w:r w:rsidRPr="003C5AB0">
        <w:rPr>
          <w:sz w:val="18"/>
          <w:szCs w:val="18"/>
        </w:rPr>
        <w:t xml:space="preserve"> </w:t>
      </w:r>
      <w:r w:rsidR="00460FE1" w:rsidRPr="003C5AB0">
        <w:rPr>
          <w:sz w:val="18"/>
          <w:szCs w:val="18"/>
        </w:rPr>
        <w:t xml:space="preserve">Gordon, supra note </w:t>
      </w:r>
      <w:r w:rsidR="00460FE1" w:rsidRPr="003C5AB0">
        <w:rPr>
          <w:sz w:val="18"/>
          <w:szCs w:val="18"/>
        </w:rPr>
        <w:fldChar w:fldCharType="begin"/>
      </w:r>
      <w:r w:rsidR="00460FE1" w:rsidRPr="003C5AB0">
        <w:rPr>
          <w:sz w:val="18"/>
          <w:szCs w:val="18"/>
        </w:rPr>
        <w:instrText xml:space="preserve"> NOTEREF _Ref191563650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8</w:t>
      </w:r>
      <w:r w:rsidR="00460FE1" w:rsidRPr="003C5AB0">
        <w:rPr>
          <w:sz w:val="18"/>
          <w:szCs w:val="18"/>
        </w:rPr>
        <w:fldChar w:fldCharType="end"/>
      </w:r>
      <w:r w:rsidR="00460FE1" w:rsidRPr="003C5AB0">
        <w:rPr>
          <w:sz w:val="18"/>
          <w:szCs w:val="18"/>
        </w:rPr>
        <w:t>.</w:t>
      </w:r>
    </w:p>
  </w:footnote>
  <w:footnote w:id="68">
    <w:p w14:paraId="187E260A" w14:textId="6E9D2787" w:rsidR="00A42ABF" w:rsidRPr="003C5AB0" w:rsidRDefault="00A42ABF" w:rsidP="00A42ABF">
      <w:pPr>
        <w:pStyle w:val="FootnoteText"/>
        <w:rPr>
          <w:sz w:val="18"/>
          <w:szCs w:val="18"/>
        </w:rPr>
      </w:pPr>
      <w:r w:rsidRPr="003C5AB0">
        <w:rPr>
          <w:rStyle w:val="FootnoteReference"/>
          <w:sz w:val="18"/>
          <w:szCs w:val="18"/>
        </w:rPr>
        <w:footnoteRef/>
      </w:r>
      <w:r w:rsidRPr="003C5AB0">
        <w:rPr>
          <w:sz w:val="18"/>
          <w:szCs w:val="18"/>
        </w:rPr>
        <w:t xml:space="preserve"> </w:t>
      </w:r>
      <w:r w:rsidR="009432C1" w:rsidRPr="003C5AB0">
        <w:rPr>
          <w:sz w:val="18"/>
          <w:szCs w:val="18"/>
        </w:rPr>
        <w:t xml:space="preserve">Directive (EU) 2024/1760 of the European Parliament and of the Council of 14 July 2024 on Corporate Sustainability Due Diligence (CSDDD), 2024 O.J. (L 245) 10, </w:t>
      </w:r>
      <w:hyperlink r:id="rId14" w:history="1">
        <w:r w:rsidR="00AC7B07" w:rsidRPr="003C5AB0">
          <w:rPr>
            <w:rStyle w:val="Hyperlink"/>
            <w:sz w:val="18"/>
            <w:szCs w:val="18"/>
          </w:rPr>
          <w:t>https://www.corporate-sustainability-due-diligence-directive.com</w:t>
        </w:r>
      </w:hyperlink>
      <w:r w:rsidR="009432C1" w:rsidRPr="003C5AB0">
        <w:rPr>
          <w:sz w:val="18"/>
          <w:szCs w:val="18"/>
        </w:rPr>
        <w:t>.</w:t>
      </w:r>
      <w:r w:rsidR="00AC7B07" w:rsidRPr="003C5AB0">
        <w:rPr>
          <w:sz w:val="18"/>
          <w:szCs w:val="18"/>
        </w:rPr>
        <w:t xml:space="preserve"> </w:t>
      </w:r>
    </w:p>
  </w:footnote>
  <w:footnote w:id="69">
    <w:p w14:paraId="5C0303E9" w14:textId="2CA12F62" w:rsidR="006B62AB" w:rsidRPr="003C5AB0" w:rsidRDefault="006B62AB" w:rsidP="006B62AB">
      <w:pPr>
        <w:pStyle w:val="FootnoteText"/>
        <w:rPr>
          <w:sz w:val="18"/>
          <w:szCs w:val="18"/>
        </w:rPr>
      </w:pPr>
      <w:r w:rsidRPr="003C5AB0">
        <w:rPr>
          <w:rStyle w:val="FootnoteReference"/>
          <w:sz w:val="18"/>
          <w:szCs w:val="18"/>
        </w:rPr>
        <w:footnoteRef/>
      </w:r>
      <w:r w:rsidRPr="003C5AB0">
        <w:rPr>
          <w:sz w:val="18"/>
          <w:szCs w:val="18"/>
        </w:rPr>
        <w:t xml:space="preserve"> Gadinis, 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Pr="003C5AB0">
        <w:rPr>
          <w:sz w:val="18"/>
          <w:szCs w:val="18"/>
        </w:rPr>
        <w:t>, at 22.</w:t>
      </w:r>
    </w:p>
  </w:footnote>
  <w:footnote w:id="70">
    <w:p w14:paraId="10C37A15" w14:textId="77777777" w:rsidR="006B62AB" w:rsidRPr="003C5AB0" w:rsidRDefault="006B62AB" w:rsidP="006B62AB">
      <w:pPr>
        <w:pStyle w:val="FootnoteText"/>
        <w:rPr>
          <w:sz w:val="18"/>
          <w:szCs w:val="18"/>
        </w:rPr>
      </w:pPr>
      <w:r w:rsidRPr="003C5AB0">
        <w:rPr>
          <w:rStyle w:val="FootnoteReference"/>
          <w:sz w:val="18"/>
          <w:szCs w:val="18"/>
        </w:rPr>
        <w:footnoteRef/>
      </w:r>
      <w:r w:rsidRPr="003C5AB0">
        <w:rPr>
          <w:sz w:val="18"/>
          <w:szCs w:val="18"/>
        </w:rPr>
        <w:t xml:space="preserve"> National Securities Market Improvement Act of 1996, Pub. L. No. 104-290, § 106(b), 110 Stat. 3416, 3424.</w:t>
      </w:r>
    </w:p>
  </w:footnote>
  <w:footnote w:id="71">
    <w:p w14:paraId="65450AC5" w14:textId="376324AC" w:rsidR="002B5330" w:rsidRPr="003C5AB0" w:rsidRDefault="006B62AB" w:rsidP="002B5330">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72">
    <w:p w14:paraId="24BB1663" w14:textId="3EA3953F" w:rsidR="002B5330" w:rsidRPr="003C5AB0" w:rsidRDefault="002B5330" w:rsidP="002B5330">
      <w:pPr>
        <w:pStyle w:val="FootnoteText"/>
        <w:rPr>
          <w:sz w:val="18"/>
          <w:szCs w:val="18"/>
        </w:rPr>
      </w:pPr>
      <w:r w:rsidRPr="003C5AB0">
        <w:rPr>
          <w:rStyle w:val="FootnoteReference"/>
          <w:sz w:val="18"/>
          <w:szCs w:val="18"/>
        </w:rPr>
        <w:footnoteRef/>
      </w:r>
      <w:r w:rsidRPr="003C5AB0">
        <w:rPr>
          <w:sz w:val="18"/>
          <w:szCs w:val="18"/>
        </w:rPr>
        <w:t xml:space="preserve"> </w:t>
      </w:r>
      <w:bookmarkStart w:id="62" w:name="OLE_LINK57"/>
      <w:r w:rsidR="00EB07C6" w:rsidRPr="003C5AB0">
        <w:rPr>
          <w:sz w:val="18"/>
          <w:szCs w:val="18"/>
        </w:rPr>
        <w:t xml:space="preserve">Lipton,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_Ref191564686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63</w:t>
      </w:r>
      <w:r w:rsidR="0005095F" w:rsidRPr="003C5AB0">
        <w:rPr>
          <w:sz w:val="18"/>
          <w:szCs w:val="18"/>
        </w:rPr>
        <w:fldChar w:fldCharType="end"/>
      </w:r>
      <w:r w:rsidR="00910145" w:rsidRPr="003C5AB0">
        <w:rPr>
          <w:sz w:val="18"/>
          <w:szCs w:val="18"/>
        </w:rPr>
        <w:t>,</w:t>
      </w:r>
      <w:r w:rsidR="001745DF" w:rsidRPr="003C5AB0">
        <w:rPr>
          <w:sz w:val="18"/>
          <w:szCs w:val="18"/>
        </w:rPr>
        <w:t xml:space="preserve"> at 508.</w:t>
      </w:r>
      <w:r w:rsidRPr="003C5AB0">
        <w:rPr>
          <w:sz w:val="18"/>
          <w:szCs w:val="18"/>
        </w:rPr>
        <w:t xml:space="preserve"> </w:t>
      </w:r>
      <w:bookmarkEnd w:id="62"/>
    </w:p>
  </w:footnote>
  <w:footnote w:id="73">
    <w:p w14:paraId="3A150F8D" w14:textId="24A17924" w:rsidR="006D41F6" w:rsidRPr="003C5AB0" w:rsidRDefault="006D41F6" w:rsidP="006D41F6">
      <w:pPr>
        <w:pStyle w:val="FootnoteText"/>
        <w:rPr>
          <w:sz w:val="18"/>
          <w:szCs w:val="18"/>
        </w:rPr>
      </w:pPr>
      <w:r w:rsidRPr="003C5AB0">
        <w:rPr>
          <w:rStyle w:val="FootnoteReference"/>
          <w:sz w:val="18"/>
          <w:szCs w:val="18"/>
        </w:rPr>
        <w:footnoteRef/>
      </w:r>
      <w:r w:rsidRPr="003C5AB0">
        <w:rPr>
          <w:sz w:val="18"/>
          <w:szCs w:val="18"/>
        </w:rPr>
        <w:t xml:space="preserve"> </w:t>
      </w:r>
      <w:bookmarkStart w:id="65" w:name="OLE_LINK156"/>
      <w:proofErr w:type="spellStart"/>
      <w:r w:rsidR="00EB07C6" w:rsidRPr="003C5AB0">
        <w:rPr>
          <w:sz w:val="18"/>
          <w:szCs w:val="18"/>
        </w:rPr>
        <w:t>Lashitew</w:t>
      </w:r>
      <w:proofErr w:type="spellEnd"/>
      <w:r w:rsidR="00EB07C6"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_Ref191564711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61</w:t>
      </w:r>
      <w:r w:rsidR="0005095F" w:rsidRPr="003C5AB0">
        <w:rPr>
          <w:sz w:val="18"/>
          <w:szCs w:val="18"/>
        </w:rPr>
        <w:fldChar w:fldCharType="end"/>
      </w:r>
      <w:r w:rsidR="00EB07C6" w:rsidRPr="003C5AB0">
        <w:rPr>
          <w:sz w:val="18"/>
          <w:szCs w:val="18"/>
        </w:rPr>
        <w:t>.</w:t>
      </w:r>
      <w:bookmarkEnd w:id="65"/>
    </w:p>
  </w:footnote>
  <w:footnote w:id="74">
    <w:p w14:paraId="627E399F" w14:textId="61B11917" w:rsidR="000F3D8A" w:rsidRPr="003C5AB0" w:rsidRDefault="000F3D8A">
      <w:pPr>
        <w:pStyle w:val="FootnoteText"/>
        <w:rPr>
          <w:sz w:val="18"/>
          <w:szCs w:val="18"/>
        </w:rPr>
      </w:pPr>
      <w:r w:rsidRPr="003C5AB0">
        <w:rPr>
          <w:rStyle w:val="FootnoteReference"/>
          <w:sz w:val="18"/>
          <w:szCs w:val="18"/>
        </w:rPr>
        <w:footnoteRef/>
      </w:r>
      <w:r w:rsidRPr="003C5AB0">
        <w:rPr>
          <w:sz w:val="18"/>
          <w:szCs w:val="18"/>
        </w:rPr>
        <w:t xml:space="preserve"> </w:t>
      </w:r>
      <w:r w:rsidR="00EB07C6" w:rsidRPr="003C5AB0">
        <w:rPr>
          <w:i/>
          <w:iCs/>
          <w:sz w:val="18"/>
          <w:szCs w:val="18"/>
        </w:rPr>
        <w:t>Id</w:t>
      </w:r>
      <w:r w:rsidR="00EB07C6" w:rsidRPr="003C5AB0">
        <w:rPr>
          <w:sz w:val="18"/>
          <w:szCs w:val="18"/>
        </w:rPr>
        <w:t xml:space="preserve">.; </w:t>
      </w:r>
      <w:r w:rsidRPr="003C5AB0">
        <w:rPr>
          <w:sz w:val="18"/>
          <w:szCs w:val="18"/>
        </w:rPr>
        <w:t>Lipton</w:t>
      </w:r>
      <w:r w:rsidR="00EB07C6"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_Ref191564686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63</w:t>
      </w:r>
      <w:r w:rsidR="0005095F" w:rsidRPr="003C5AB0">
        <w:rPr>
          <w:sz w:val="18"/>
          <w:szCs w:val="18"/>
        </w:rPr>
        <w:fldChar w:fldCharType="end"/>
      </w:r>
      <w:r w:rsidR="00EB07C6" w:rsidRPr="003C5AB0">
        <w:rPr>
          <w:sz w:val="18"/>
          <w:szCs w:val="18"/>
        </w:rPr>
        <w:t>.</w:t>
      </w:r>
    </w:p>
  </w:footnote>
  <w:footnote w:id="75">
    <w:p w14:paraId="163F79C6" w14:textId="7A27BA86" w:rsidR="00651C39" w:rsidRPr="003C5AB0" w:rsidRDefault="00651C39" w:rsidP="00651C39">
      <w:pPr>
        <w:pStyle w:val="FootnoteText"/>
        <w:rPr>
          <w:sz w:val="18"/>
          <w:szCs w:val="18"/>
        </w:rPr>
      </w:pPr>
      <w:r w:rsidRPr="003C5AB0">
        <w:rPr>
          <w:rStyle w:val="FootnoteReference"/>
          <w:sz w:val="18"/>
          <w:szCs w:val="18"/>
        </w:rPr>
        <w:footnoteRef/>
      </w:r>
      <w:r w:rsidRPr="003C5AB0">
        <w:rPr>
          <w:sz w:val="18"/>
          <w:szCs w:val="18"/>
        </w:rPr>
        <w:t xml:space="preserve"> </w:t>
      </w:r>
      <w:proofErr w:type="spellStart"/>
      <w:r w:rsidR="00EB07C6" w:rsidRPr="003C5AB0">
        <w:rPr>
          <w:sz w:val="18"/>
          <w:szCs w:val="18"/>
        </w:rPr>
        <w:t>Lashitew</w:t>
      </w:r>
      <w:proofErr w:type="spellEnd"/>
      <w:r w:rsidR="00EB07C6"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_Ref191564711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61</w:t>
      </w:r>
      <w:r w:rsidR="0005095F" w:rsidRPr="003C5AB0">
        <w:rPr>
          <w:sz w:val="18"/>
          <w:szCs w:val="18"/>
        </w:rPr>
        <w:fldChar w:fldCharType="end"/>
      </w:r>
      <w:r w:rsidR="00EB07C6" w:rsidRPr="003C5AB0">
        <w:rPr>
          <w:sz w:val="18"/>
          <w:szCs w:val="18"/>
        </w:rPr>
        <w:t>.</w:t>
      </w:r>
    </w:p>
  </w:footnote>
  <w:footnote w:id="76">
    <w:p w14:paraId="43334FC3" w14:textId="26525431" w:rsidR="00461363" w:rsidRPr="003C5AB0" w:rsidRDefault="00461363">
      <w:pPr>
        <w:pStyle w:val="FootnoteText"/>
        <w:rPr>
          <w:sz w:val="18"/>
          <w:szCs w:val="18"/>
        </w:rPr>
      </w:pPr>
      <w:r w:rsidRPr="003C5AB0">
        <w:rPr>
          <w:rStyle w:val="FootnoteReference"/>
          <w:sz w:val="18"/>
          <w:szCs w:val="18"/>
        </w:rPr>
        <w:footnoteRef/>
      </w:r>
      <w:r w:rsidRPr="003C5AB0">
        <w:rPr>
          <w:sz w:val="18"/>
          <w:szCs w:val="18"/>
        </w:rPr>
        <w:t xml:space="preserve"> </w:t>
      </w:r>
      <w:r w:rsidR="001745DF" w:rsidRPr="003C5AB0">
        <w:rPr>
          <w:color w:val="000000"/>
          <w:sz w:val="18"/>
          <w:szCs w:val="18"/>
        </w:rPr>
        <w:t>Betty Moy Huber et al.,</w:t>
      </w:r>
      <w:r w:rsidR="001745DF" w:rsidRPr="003C5AB0">
        <w:rPr>
          <w:rStyle w:val="apple-converted-space"/>
          <w:color w:val="000000"/>
          <w:sz w:val="18"/>
          <w:szCs w:val="18"/>
        </w:rPr>
        <w:t> </w:t>
      </w:r>
      <w:r w:rsidR="001745DF" w:rsidRPr="003C5AB0">
        <w:rPr>
          <w:color w:val="000000"/>
          <w:sz w:val="18"/>
          <w:szCs w:val="18"/>
        </w:rPr>
        <w:t>Legal liability for ESG disclosures</w:t>
      </w:r>
      <w:r w:rsidR="001745DF" w:rsidRPr="003C5AB0">
        <w:rPr>
          <w:rStyle w:val="apple-converted-space"/>
          <w:color w:val="000000"/>
          <w:sz w:val="18"/>
          <w:szCs w:val="18"/>
        </w:rPr>
        <w:t> </w:t>
      </w:r>
      <w:r w:rsidR="001745DF" w:rsidRPr="003C5AB0">
        <w:rPr>
          <w:color w:val="000000"/>
          <w:sz w:val="18"/>
          <w:szCs w:val="18"/>
        </w:rPr>
        <w:t>The Harvard Law School Forum on Corporate Governance</w:t>
      </w:r>
      <w:r w:rsidR="001745DF" w:rsidRPr="003C5AB0">
        <w:rPr>
          <w:rStyle w:val="apple-converted-space"/>
          <w:color w:val="000000"/>
          <w:sz w:val="18"/>
          <w:szCs w:val="18"/>
        </w:rPr>
        <w:t> </w:t>
      </w:r>
      <w:r w:rsidR="001745DF" w:rsidRPr="003C5AB0">
        <w:rPr>
          <w:color w:val="000000"/>
          <w:sz w:val="18"/>
          <w:szCs w:val="18"/>
        </w:rPr>
        <w:t xml:space="preserve">(2020), </w:t>
      </w:r>
      <w:hyperlink r:id="rId15" w:history="1">
        <w:r w:rsidR="00AC7B07" w:rsidRPr="003C5AB0">
          <w:rPr>
            <w:rStyle w:val="Hyperlink"/>
            <w:sz w:val="18"/>
            <w:szCs w:val="18"/>
          </w:rPr>
          <w:t>https://corpgov.law.harvard.edu/2020/08/03/legal-liability-for-esg-disclosures/</w:t>
        </w:r>
      </w:hyperlink>
      <w:r w:rsidR="001745DF" w:rsidRPr="003C5AB0">
        <w:rPr>
          <w:color w:val="000000"/>
          <w:sz w:val="18"/>
          <w:szCs w:val="18"/>
        </w:rPr>
        <w:t>.</w:t>
      </w:r>
      <w:r w:rsidR="00AC7B07" w:rsidRPr="003C5AB0">
        <w:rPr>
          <w:color w:val="000000"/>
          <w:sz w:val="18"/>
          <w:szCs w:val="18"/>
        </w:rPr>
        <w:t xml:space="preserve"> </w:t>
      </w:r>
      <w:r w:rsidR="001745DF" w:rsidRPr="003C5AB0">
        <w:rPr>
          <w:rStyle w:val="apple-converted-space"/>
          <w:color w:val="000000"/>
          <w:sz w:val="18"/>
          <w:szCs w:val="18"/>
        </w:rPr>
        <w:t> </w:t>
      </w:r>
    </w:p>
  </w:footnote>
  <w:footnote w:id="77">
    <w:p w14:paraId="7368C778" w14:textId="7736169D" w:rsidR="00A1225D" w:rsidRPr="003C5AB0" w:rsidRDefault="00A1225D" w:rsidP="00A1225D">
      <w:pPr>
        <w:pStyle w:val="FootnoteText"/>
        <w:rPr>
          <w:sz w:val="18"/>
          <w:szCs w:val="18"/>
        </w:rPr>
      </w:pPr>
      <w:r w:rsidRPr="003C5AB0">
        <w:rPr>
          <w:rStyle w:val="FootnoteReference"/>
          <w:sz w:val="18"/>
          <w:szCs w:val="18"/>
        </w:rPr>
        <w:footnoteRef/>
      </w:r>
      <w:r w:rsidRPr="003C5AB0">
        <w:rPr>
          <w:sz w:val="18"/>
          <w:szCs w:val="18"/>
        </w:rPr>
        <w:t xml:space="preserve"> Rachel Chambers and David Birchall, How European Human Rights Law Will Reshape U.S. Business, 20 Hastings Bus. L.J. 3 (2024). </w:t>
      </w:r>
      <w:hyperlink r:id="rId16" w:history="1">
        <w:r w:rsidR="00AC7B07" w:rsidRPr="003C5AB0">
          <w:rPr>
            <w:rStyle w:val="Hyperlink"/>
            <w:sz w:val="18"/>
            <w:szCs w:val="18"/>
          </w:rPr>
          <w:t>https://repository.uclawsf.edu/hastings_business_law_journal/vol20/iss1/3</w:t>
        </w:r>
      </w:hyperlink>
      <w:r w:rsidR="001745DF" w:rsidRPr="003C5AB0">
        <w:rPr>
          <w:sz w:val="18"/>
          <w:szCs w:val="18"/>
        </w:rPr>
        <w:t>.</w:t>
      </w:r>
      <w:r w:rsidR="00AC7B07" w:rsidRPr="003C5AB0">
        <w:rPr>
          <w:sz w:val="18"/>
          <w:szCs w:val="18"/>
        </w:rPr>
        <w:t xml:space="preserve"> </w:t>
      </w:r>
    </w:p>
  </w:footnote>
  <w:footnote w:id="78">
    <w:p w14:paraId="15B92CF3" w14:textId="612BAE99" w:rsidR="00A1225D" w:rsidRPr="003C5AB0" w:rsidRDefault="00A1225D" w:rsidP="00A1225D">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sz w:val="18"/>
          <w:szCs w:val="18"/>
        </w:rPr>
        <w:t>Gadinis</w:t>
      </w:r>
      <w:r w:rsidR="001745DF" w:rsidRPr="003C5AB0">
        <w:rPr>
          <w:sz w:val="18"/>
          <w:szCs w:val="18"/>
        </w:rPr>
        <w:t xml:space="preserve">,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1745DF" w:rsidRPr="003C5AB0">
        <w:rPr>
          <w:sz w:val="18"/>
          <w:szCs w:val="18"/>
        </w:rPr>
        <w:t xml:space="preserve">, at </w:t>
      </w:r>
      <w:r w:rsidR="008B3290" w:rsidRPr="003C5AB0">
        <w:rPr>
          <w:sz w:val="18"/>
          <w:szCs w:val="18"/>
        </w:rPr>
        <w:t>22</w:t>
      </w:r>
      <w:r w:rsidR="001745DF" w:rsidRPr="003C5AB0">
        <w:rPr>
          <w:sz w:val="18"/>
          <w:szCs w:val="18"/>
        </w:rPr>
        <w:t>.</w:t>
      </w:r>
      <w:r w:rsidRPr="003C5AB0">
        <w:rPr>
          <w:sz w:val="18"/>
          <w:szCs w:val="18"/>
        </w:rPr>
        <w:t xml:space="preserve"> </w:t>
      </w:r>
    </w:p>
  </w:footnote>
  <w:footnote w:id="79">
    <w:p w14:paraId="7A66E7A0" w14:textId="06163234" w:rsidR="00A1225D" w:rsidRPr="003C5AB0" w:rsidRDefault="00A1225D" w:rsidP="00A1225D">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i/>
          <w:iCs/>
          <w:sz w:val="18"/>
          <w:szCs w:val="18"/>
        </w:rPr>
        <w:t xml:space="preserve">Id. </w:t>
      </w:r>
      <w:r w:rsidR="008B3290" w:rsidRPr="003C5AB0">
        <w:rPr>
          <w:sz w:val="18"/>
          <w:szCs w:val="18"/>
        </w:rPr>
        <w:t>at 26.</w:t>
      </w:r>
    </w:p>
  </w:footnote>
  <w:footnote w:id="80">
    <w:p w14:paraId="58D0F0F1" w14:textId="14281897" w:rsidR="00A1225D" w:rsidRPr="003C5AB0" w:rsidRDefault="00A1225D" w:rsidP="00A1225D">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sz w:val="18"/>
          <w:szCs w:val="18"/>
        </w:rPr>
        <w:t xml:space="preserve">Hester M. Peirce, Rethinking Global ESG Metrics, U.S. SEC (2021), </w:t>
      </w:r>
      <w:hyperlink r:id="rId17" w:history="1">
        <w:r w:rsidR="00AC7B07" w:rsidRPr="003C5AB0">
          <w:rPr>
            <w:rStyle w:val="Hyperlink"/>
            <w:sz w:val="18"/>
            <w:szCs w:val="18"/>
          </w:rPr>
          <w:t>https://www.sec.gov/newsroom/speeches-statements/rethinking-global-esg-metrics</w:t>
        </w:r>
      </w:hyperlink>
      <w:r w:rsidR="008B3290" w:rsidRPr="003C5AB0">
        <w:rPr>
          <w:sz w:val="18"/>
          <w:szCs w:val="18"/>
        </w:rPr>
        <w:t>.</w:t>
      </w:r>
      <w:r w:rsidR="00AC7B07" w:rsidRPr="003C5AB0">
        <w:rPr>
          <w:sz w:val="18"/>
          <w:szCs w:val="18"/>
        </w:rPr>
        <w:t xml:space="preserve"> </w:t>
      </w:r>
    </w:p>
  </w:footnote>
  <w:footnote w:id="81">
    <w:p w14:paraId="62B82524" w14:textId="7464DD04" w:rsidR="00A1225D" w:rsidRPr="003C5AB0" w:rsidRDefault="00A1225D" w:rsidP="00A1225D">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i/>
          <w:iCs/>
          <w:sz w:val="18"/>
          <w:szCs w:val="18"/>
        </w:rPr>
        <w:t>Id.</w:t>
      </w:r>
    </w:p>
  </w:footnote>
  <w:footnote w:id="82">
    <w:p w14:paraId="00C3BE86" w14:textId="63D61073" w:rsidR="00E368B6" w:rsidRPr="003C5AB0" w:rsidRDefault="00E368B6" w:rsidP="00E368B6">
      <w:pPr>
        <w:pStyle w:val="FootnoteText"/>
        <w:rPr>
          <w:sz w:val="18"/>
          <w:szCs w:val="18"/>
        </w:rPr>
      </w:pPr>
      <w:r w:rsidRPr="003C5AB0">
        <w:rPr>
          <w:rStyle w:val="FootnoteReference"/>
          <w:sz w:val="18"/>
          <w:szCs w:val="18"/>
        </w:rPr>
        <w:footnoteRef/>
      </w:r>
      <w:r w:rsidRPr="003C5AB0">
        <w:rPr>
          <w:sz w:val="18"/>
          <w:szCs w:val="18"/>
        </w:rPr>
        <w:t xml:space="preserve"> </w:t>
      </w:r>
      <w:bookmarkStart w:id="68" w:name="OLE_LINK154"/>
      <w:r w:rsidRPr="003C5AB0">
        <w:rPr>
          <w:sz w:val="18"/>
          <w:szCs w:val="18"/>
        </w:rPr>
        <w:t xml:space="preserve">Lipton,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_Ref191564686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63</w:t>
      </w:r>
      <w:r w:rsidR="0005095F" w:rsidRPr="003C5AB0">
        <w:rPr>
          <w:sz w:val="18"/>
          <w:szCs w:val="18"/>
        </w:rPr>
        <w:fldChar w:fldCharType="end"/>
      </w:r>
      <w:r w:rsidR="008B3290" w:rsidRPr="003C5AB0">
        <w:rPr>
          <w:sz w:val="18"/>
          <w:szCs w:val="18"/>
        </w:rPr>
        <w:t>, at 502.</w:t>
      </w:r>
      <w:bookmarkEnd w:id="68"/>
    </w:p>
  </w:footnote>
  <w:footnote w:id="83">
    <w:p w14:paraId="641C42D6" w14:textId="3A0B9A18" w:rsidR="002E0769" w:rsidRPr="003C5AB0" w:rsidRDefault="002E0769" w:rsidP="002E0769">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i/>
          <w:iCs/>
          <w:sz w:val="18"/>
          <w:szCs w:val="18"/>
        </w:rPr>
        <w:t>Id.</w:t>
      </w:r>
      <w:r w:rsidR="008B3290" w:rsidRPr="003C5AB0">
        <w:rPr>
          <w:sz w:val="18"/>
          <w:szCs w:val="18"/>
        </w:rPr>
        <w:t xml:space="preserve"> at 507.</w:t>
      </w:r>
    </w:p>
  </w:footnote>
  <w:footnote w:id="84">
    <w:p w14:paraId="12AEA840" w14:textId="3F000F1E" w:rsidR="00604FBF" w:rsidRPr="003C5AB0" w:rsidRDefault="00604FBF" w:rsidP="00604FBF">
      <w:pPr>
        <w:pStyle w:val="FootnoteText"/>
        <w:rPr>
          <w:sz w:val="18"/>
          <w:szCs w:val="18"/>
        </w:rPr>
      </w:pPr>
      <w:r w:rsidRPr="003C5AB0">
        <w:rPr>
          <w:rStyle w:val="FootnoteReference"/>
          <w:sz w:val="18"/>
          <w:szCs w:val="18"/>
        </w:rPr>
        <w:footnoteRef/>
      </w:r>
      <w:r w:rsidRPr="003C5AB0">
        <w:rPr>
          <w:i/>
          <w:iCs/>
          <w:sz w:val="18"/>
          <w:szCs w:val="18"/>
        </w:rPr>
        <w:t xml:space="preserve"> </w:t>
      </w:r>
      <w:r w:rsidR="008B3290" w:rsidRPr="003C5AB0">
        <w:rPr>
          <w:i/>
          <w:iCs/>
          <w:sz w:val="18"/>
          <w:szCs w:val="18"/>
        </w:rPr>
        <w:t>Id</w:t>
      </w:r>
      <w:r w:rsidR="008B3290" w:rsidRPr="003C5AB0">
        <w:rPr>
          <w:sz w:val="18"/>
          <w:szCs w:val="18"/>
        </w:rPr>
        <w:t>. at 502.</w:t>
      </w:r>
    </w:p>
  </w:footnote>
  <w:footnote w:id="85">
    <w:p w14:paraId="7E7934FC" w14:textId="1BFA8FC8" w:rsidR="002E3EE6" w:rsidRPr="003C5AB0" w:rsidRDefault="002E3EE6" w:rsidP="002E3EE6">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i/>
          <w:iCs/>
          <w:sz w:val="18"/>
          <w:szCs w:val="18"/>
        </w:rPr>
        <w:t>Id.</w:t>
      </w:r>
      <w:r w:rsidRPr="003C5AB0">
        <w:rPr>
          <w:sz w:val="18"/>
          <w:szCs w:val="18"/>
        </w:rPr>
        <w:t xml:space="preserve"> </w:t>
      </w:r>
    </w:p>
  </w:footnote>
  <w:footnote w:id="86">
    <w:p w14:paraId="0AF29326" w14:textId="1BB34479" w:rsidR="002E3EE6" w:rsidRPr="003C5AB0" w:rsidRDefault="002E3EE6" w:rsidP="002E3EE6">
      <w:pPr>
        <w:pStyle w:val="FootnoteText"/>
        <w:rPr>
          <w:sz w:val="18"/>
          <w:szCs w:val="18"/>
        </w:rPr>
      </w:pPr>
      <w:r w:rsidRPr="003C5AB0">
        <w:rPr>
          <w:rStyle w:val="FootnoteReference"/>
          <w:sz w:val="18"/>
          <w:szCs w:val="18"/>
        </w:rPr>
        <w:footnoteRef/>
      </w:r>
      <w:r w:rsidRPr="003C5AB0">
        <w:rPr>
          <w:sz w:val="18"/>
          <w:szCs w:val="18"/>
        </w:rPr>
        <w:t xml:space="preserve"> </w:t>
      </w:r>
      <w:r w:rsidR="008B3290" w:rsidRPr="003C5AB0">
        <w:rPr>
          <w:i/>
          <w:iCs/>
          <w:sz w:val="18"/>
          <w:szCs w:val="18"/>
        </w:rPr>
        <w:t>Id.</w:t>
      </w:r>
      <w:r w:rsidR="0019743A" w:rsidRPr="003C5AB0">
        <w:rPr>
          <w:sz w:val="18"/>
          <w:szCs w:val="18"/>
        </w:rPr>
        <w:t xml:space="preserve"> </w:t>
      </w:r>
      <w:r w:rsidR="008B3290" w:rsidRPr="003C5AB0">
        <w:rPr>
          <w:sz w:val="18"/>
          <w:szCs w:val="18"/>
        </w:rPr>
        <w:t>at 503.</w:t>
      </w:r>
      <w:r w:rsidRPr="003C5AB0">
        <w:rPr>
          <w:sz w:val="18"/>
          <w:szCs w:val="18"/>
        </w:rPr>
        <w:t xml:space="preserve"> </w:t>
      </w:r>
    </w:p>
  </w:footnote>
  <w:footnote w:id="87">
    <w:p w14:paraId="1703C5FD" w14:textId="78F2E333" w:rsidR="002E3EE6" w:rsidRPr="003C5AB0" w:rsidRDefault="002E3EE6" w:rsidP="002E3EE6">
      <w:pPr>
        <w:pStyle w:val="FootnoteText"/>
        <w:rPr>
          <w:sz w:val="18"/>
          <w:szCs w:val="18"/>
        </w:rPr>
      </w:pPr>
      <w:r w:rsidRPr="003C5AB0">
        <w:rPr>
          <w:rStyle w:val="FootnoteReference"/>
          <w:sz w:val="18"/>
          <w:szCs w:val="18"/>
        </w:rPr>
        <w:footnoteRef/>
      </w:r>
      <w:r w:rsidRPr="003C5AB0">
        <w:rPr>
          <w:sz w:val="18"/>
          <w:szCs w:val="18"/>
        </w:rPr>
        <w:t xml:space="preserve"> </w:t>
      </w:r>
      <w:bookmarkStart w:id="70" w:name="OLE_LINK161"/>
      <w:bookmarkStart w:id="71" w:name="OLE_LINK159"/>
      <w:r w:rsidRPr="003C5AB0">
        <w:rPr>
          <w:sz w:val="18"/>
          <w:szCs w:val="18"/>
        </w:rPr>
        <w:t>The Investor’s Advocate: How the SEC Protects Investors, Maintains Market Integrity, and Facilitates Capital Formation,</w:t>
      </w:r>
      <w:bookmarkEnd w:id="70"/>
      <w:r w:rsidRPr="003C5AB0">
        <w:rPr>
          <w:sz w:val="18"/>
          <w:szCs w:val="18"/>
        </w:rPr>
        <w:t xml:space="preserve"> U.S. SEC, </w:t>
      </w:r>
      <w:bookmarkStart w:id="72" w:name="OLE_LINK160"/>
      <w:r w:rsidRPr="003C5AB0">
        <w:rPr>
          <w:sz w:val="18"/>
          <w:szCs w:val="18"/>
        </w:rPr>
        <w:t>http://www.sec.gov/about/whatwedo.shtml [https://perma.cc/X28K-YAP8</w:t>
      </w:r>
      <w:bookmarkEnd w:id="71"/>
      <w:r w:rsidR="00AC7B07" w:rsidRPr="003C5AB0">
        <w:rPr>
          <w:sz w:val="18"/>
          <w:szCs w:val="18"/>
        </w:rPr>
        <w:t xml:space="preserve"> </w:t>
      </w:r>
    </w:p>
    <w:bookmarkEnd w:id="72"/>
  </w:footnote>
  <w:footnote w:id="88">
    <w:p w14:paraId="074A5AB3" w14:textId="2642090F" w:rsidR="00D06CE6" w:rsidRPr="003C5AB0" w:rsidRDefault="00D06CE6" w:rsidP="00D06CE6">
      <w:pPr>
        <w:pStyle w:val="FootnoteText"/>
        <w:rPr>
          <w:sz w:val="18"/>
          <w:szCs w:val="18"/>
        </w:rPr>
      </w:pPr>
      <w:r w:rsidRPr="003C5AB0">
        <w:rPr>
          <w:rStyle w:val="FootnoteReference"/>
          <w:sz w:val="18"/>
          <w:szCs w:val="18"/>
        </w:rPr>
        <w:footnoteRef/>
      </w:r>
      <w:r w:rsidRPr="003C5AB0">
        <w:rPr>
          <w:sz w:val="18"/>
          <w:szCs w:val="18"/>
        </w:rPr>
        <w:t xml:space="preserve"> </w:t>
      </w:r>
      <w:bookmarkStart w:id="73" w:name="OLE_LINK61"/>
      <w:r w:rsidRPr="003C5AB0">
        <w:rPr>
          <w:color w:val="000000"/>
          <w:sz w:val="18"/>
          <w:szCs w:val="18"/>
        </w:rPr>
        <w:t>Oluwatobi</w:t>
      </w:r>
      <w:bookmarkEnd w:id="73"/>
      <w:r w:rsidR="005C76F0" w:rsidRPr="003C5AB0">
        <w:rPr>
          <w:color w:val="000000"/>
          <w:sz w:val="18"/>
          <w:szCs w:val="18"/>
        </w:rPr>
        <w:t xml:space="preserve">, supra note </w:t>
      </w:r>
      <w:r w:rsidR="0005095F" w:rsidRPr="003C5AB0">
        <w:rPr>
          <w:color w:val="000000"/>
          <w:sz w:val="18"/>
          <w:szCs w:val="18"/>
        </w:rPr>
        <w:fldChar w:fldCharType="begin"/>
      </w:r>
      <w:r w:rsidR="0005095F" w:rsidRPr="003C5AB0">
        <w:rPr>
          <w:color w:val="000000"/>
          <w:sz w:val="18"/>
          <w:szCs w:val="18"/>
        </w:rPr>
        <w:instrText xml:space="preserve"> NOTEREF _Ref191564758 \h </w:instrText>
      </w:r>
      <w:r w:rsidR="008439E1" w:rsidRPr="003C5AB0">
        <w:rPr>
          <w:color w:val="000000"/>
          <w:sz w:val="18"/>
          <w:szCs w:val="18"/>
        </w:rPr>
        <w:instrText xml:space="preserve"> \* MERGEFORMAT </w:instrText>
      </w:r>
      <w:r w:rsidR="0005095F" w:rsidRPr="003C5AB0">
        <w:rPr>
          <w:color w:val="000000"/>
          <w:sz w:val="18"/>
          <w:szCs w:val="18"/>
        </w:rPr>
      </w:r>
      <w:r w:rsidR="0005095F" w:rsidRPr="003C5AB0">
        <w:rPr>
          <w:color w:val="000000"/>
          <w:sz w:val="18"/>
          <w:szCs w:val="18"/>
        </w:rPr>
        <w:fldChar w:fldCharType="separate"/>
      </w:r>
      <w:r w:rsidR="003C5AB0">
        <w:rPr>
          <w:color w:val="000000"/>
          <w:sz w:val="18"/>
          <w:szCs w:val="18"/>
        </w:rPr>
        <w:t>1</w:t>
      </w:r>
      <w:r w:rsidR="0005095F" w:rsidRPr="003C5AB0">
        <w:rPr>
          <w:color w:val="000000"/>
          <w:sz w:val="18"/>
          <w:szCs w:val="18"/>
        </w:rPr>
        <w:fldChar w:fldCharType="end"/>
      </w:r>
      <w:r w:rsidR="005C76F0" w:rsidRPr="003C5AB0">
        <w:rPr>
          <w:color w:val="000000"/>
          <w:sz w:val="18"/>
          <w:szCs w:val="18"/>
        </w:rPr>
        <w:t xml:space="preserve">, </w:t>
      </w:r>
      <w:r w:rsidR="0019743A" w:rsidRPr="003C5AB0">
        <w:rPr>
          <w:color w:val="000000"/>
          <w:sz w:val="18"/>
          <w:szCs w:val="18"/>
        </w:rPr>
        <w:t>at 1.</w:t>
      </w:r>
    </w:p>
  </w:footnote>
  <w:footnote w:id="89">
    <w:p w14:paraId="2A51FCDB" w14:textId="25E43F85" w:rsidR="00A72A57" w:rsidRPr="003C5AB0" w:rsidRDefault="00A72A57" w:rsidP="00A72A57">
      <w:pPr>
        <w:pStyle w:val="FootnoteText"/>
        <w:rPr>
          <w:sz w:val="18"/>
          <w:szCs w:val="18"/>
        </w:rPr>
      </w:pPr>
      <w:r w:rsidRPr="003C5AB0">
        <w:rPr>
          <w:rStyle w:val="FootnoteReference"/>
          <w:sz w:val="18"/>
          <w:szCs w:val="18"/>
        </w:rPr>
        <w:footnoteRef/>
      </w:r>
      <w:r w:rsidRPr="003C5AB0">
        <w:rPr>
          <w:sz w:val="18"/>
          <w:szCs w:val="18"/>
        </w:rPr>
        <w:t xml:space="preserve"> </w:t>
      </w:r>
      <w:r w:rsidR="0019743A" w:rsidRPr="003C5AB0">
        <w:rPr>
          <w:i/>
          <w:iCs/>
          <w:color w:val="000000"/>
          <w:sz w:val="18"/>
          <w:szCs w:val="18"/>
        </w:rPr>
        <w:t>Id.</w:t>
      </w:r>
    </w:p>
  </w:footnote>
  <w:footnote w:id="90">
    <w:p w14:paraId="1A0D570B" w14:textId="653C461D" w:rsidR="00152F71" w:rsidRPr="003C5AB0" w:rsidRDefault="00152F71" w:rsidP="00152F71">
      <w:pPr>
        <w:pStyle w:val="FootnoteText"/>
        <w:rPr>
          <w:sz w:val="18"/>
          <w:szCs w:val="18"/>
        </w:rPr>
      </w:pPr>
      <w:r w:rsidRPr="003C5AB0">
        <w:rPr>
          <w:rStyle w:val="FootnoteReference"/>
          <w:sz w:val="18"/>
          <w:szCs w:val="18"/>
        </w:rPr>
        <w:footnoteRef/>
      </w:r>
      <w:r w:rsidRPr="003C5AB0">
        <w:rPr>
          <w:sz w:val="18"/>
          <w:szCs w:val="18"/>
        </w:rPr>
        <w:t xml:space="preserve"> </w:t>
      </w:r>
      <w:r w:rsidR="0019743A" w:rsidRPr="003C5AB0">
        <w:rPr>
          <w:color w:val="000000"/>
          <w:sz w:val="18"/>
          <w:szCs w:val="18"/>
        </w:rPr>
        <w:t>Lesley Clark,</w:t>
      </w:r>
      <w:r w:rsidR="0019743A" w:rsidRPr="003C5AB0">
        <w:rPr>
          <w:rStyle w:val="apple-converted-space"/>
          <w:color w:val="000000"/>
          <w:sz w:val="18"/>
          <w:szCs w:val="18"/>
        </w:rPr>
        <w:t> </w:t>
      </w:r>
      <w:r w:rsidR="0019743A" w:rsidRPr="003C5AB0">
        <w:rPr>
          <w:color w:val="000000"/>
          <w:sz w:val="18"/>
          <w:szCs w:val="18"/>
        </w:rPr>
        <w:t>Trump sec pick wants to Ditch Landmark Climate Disclosure Rule</w:t>
      </w:r>
      <w:r w:rsidR="00C67B48" w:rsidRPr="003C5AB0">
        <w:rPr>
          <w:color w:val="000000"/>
          <w:sz w:val="18"/>
          <w:szCs w:val="18"/>
        </w:rPr>
        <w:t>, P</w:t>
      </w:r>
      <w:r w:rsidR="0019743A" w:rsidRPr="003C5AB0">
        <w:rPr>
          <w:color w:val="000000"/>
          <w:sz w:val="18"/>
          <w:szCs w:val="18"/>
        </w:rPr>
        <w:t>olitico</w:t>
      </w:r>
      <w:r w:rsidR="0019743A" w:rsidRPr="003C5AB0">
        <w:rPr>
          <w:rStyle w:val="apple-converted-space"/>
          <w:color w:val="000000"/>
          <w:sz w:val="18"/>
          <w:szCs w:val="18"/>
        </w:rPr>
        <w:t> </w:t>
      </w:r>
      <w:r w:rsidR="0019743A" w:rsidRPr="003C5AB0">
        <w:rPr>
          <w:color w:val="000000"/>
          <w:sz w:val="18"/>
          <w:szCs w:val="18"/>
        </w:rPr>
        <w:t xml:space="preserve">(2024), </w:t>
      </w:r>
      <w:hyperlink r:id="rId18" w:history="1">
        <w:r w:rsidR="0019743A" w:rsidRPr="003C5AB0">
          <w:rPr>
            <w:rStyle w:val="Hyperlink"/>
            <w:sz w:val="18"/>
            <w:szCs w:val="18"/>
          </w:rPr>
          <w:t>https://www.politico.com/live-updates/2024/12/09/congress/paul-atkins-sec-climate-00193254</w:t>
        </w:r>
      </w:hyperlink>
      <w:r w:rsidR="0019743A" w:rsidRPr="003C5AB0">
        <w:rPr>
          <w:color w:val="000000"/>
          <w:sz w:val="18"/>
          <w:szCs w:val="18"/>
        </w:rPr>
        <w:t>.</w:t>
      </w:r>
      <w:r w:rsidR="0019743A" w:rsidRPr="003C5AB0">
        <w:rPr>
          <w:rStyle w:val="apple-converted-space"/>
          <w:color w:val="000000"/>
          <w:sz w:val="18"/>
          <w:szCs w:val="18"/>
        </w:rPr>
        <w:t xml:space="preserve"> </w:t>
      </w:r>
    </w:p>
  </w:footnote>
  <w:footnote w:id="91">
    <w:p w14:paraId="0B561416" w14:textId="4E6252E6" w:rsidR="00B0141F" w:rsidRPr="003C5AB0" w:rsidRDefault="00B0141F" w:rsidP="00B0141F">
      <w:pPr>
        <w:pStyle w:val="FootnoteText"/>
        <w:rPr>
          <w:sz w:val="18"/>
          <w:szCs w:val="18"/>
        </w:rPr>
      </w:pPr>
      <w:r w:rsidRPr="003C5AB0">
        <w:rPr>
          <w:rStyle w:val="FootnoteReference"/>
          <w:sz w:val="18"/>
          <w:szCs w:val="18"/>
        </w:rPr>
        <w:footnoteRef/>
      </w:r>
      <w:r w:rsidRPr="003C5AB0">
        <w:rPr>
          <w:sz w:val="18"/>
          <w:szCs w:val="18"/>
        </w:rPr>
        <w:t xml:space="preserve"> </w:t>
      </w:r>
      <w:bookmarkStart w:id="75" w:name="OLE_LINK166"/>
      <w:r w:rsidR="0019743A" w:rsidRPr="003C5AB0">
        <w:rPr>
          <w:sz w:val="18"/>
          <w:szCs w:val="18"/>
        </w:rPr>
        <w:t xml:space="preserve">Gadinis,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19743A" w:rsidRPr="003C5AB0">
        <w:rPr>
          <w:sz w:val="18"/>
          <w:szCs w:val="18"/>
        </w:rPr>
        <w:t xml:space="preserve">, at 17. </w:t>
      </w:r>
      <w:bookmarkEnd w:id="75"/>
    </w:p>
  </w:footnote>
  <w:footnote w:id="92">
    <w:p w14:paraId="004D38FB" w14:textId="1B99AA82" w:rsidR="00B0141F" w:rsidRPr="003C5AB0" w:rsidRDefault="00B0141F" w:rsidP="00B0141F">
      <w:pPr>
        <w:pStyle w:val="FootnoteText"/>
        <w:rPr>
          <w:sz w:val="18"/>
          <w:szCs w:val="18"/>
        </w:rPr>
      </w:pPr>
      <w:r w:rsidRPr="003C5AB0">
        <w:rPr>
          <w:rStyle w:val="FootnoteReference"/>
          <w:sz w:val="18"/>
          <w:szCs w:val="18"/>
        </w:rPr>
        <w:footnoteRef/>
      </w:r>
      <w:r w:rsidRPr="003C5AB0">
        <w:rPr>
          <w:sz w:val="18"/>
          <w:szCs w:val="18"/>
        </w:rPr>
        <w:t xml:space="preserve"> </w:t>
      </w:r>
      <w:bookmarkStart w:id="76" w:name="OLE_LINK163"/>
      <w:r w:rsidRPr="003C5AB0">
        <w:rPr>
          <w:sz w:val="18"/>
          <w:szCs w:val="18"/>
        </w:rPr>
        <w:t>Pamela Ban</w:t>
      </w:r>
      <w:r w:rsidR="0019743A" w:rsidRPr="003C5AB0">
        <w:rPr>
          <w:sz w:val="18"/>
          <w:szCs w:val="18"/>
        </w:rPr>
        <w:t xml:space="preserve"> &amp;</w:t>
      </w:r>
      <w:r w:rsidRPr="003C5AB0">
        <w:rPr>
          <w:sz w:val="18"/>
          <w:szCs w:val="18"/>
        </w:rPr>
        <w:t xml:space="preserve"> Hye Young You, Presence and Influence in Lobbying: Evidence from Dodd-Frank, BUSINESS AND POLITICS 21(2): 267–295 (2019).</w:t>
      </w:r>
      <w:bookmarkEnd w:id="76"/>
    </w:p>
  </w:footnote>
  <w:footnote w:id="93">
    <w:p w14:paraId="2D8FB65F" w14:textId="2D132237" w:rsidR="00B0141F" w:rsidRPr="003C5AB0" w:rsidRDefault="00B0141F" w:rsidP="00B0141F">
      <w:pPr>
        <w:pStyle w:val="FootnoteText"/>
        <w:rPr>
          <w:sz w:val="18"/>
          <w:szCs w:val="18"/>
        </w:rPr>
      </w:pPr>
      <w:r w:rsidRPr="003C5AB0">
        <w:rPr>
          <w:rStyle w:val="FootnoteReference"/>
          <w:sz w:val="18"/>
          <w:szCs w:val="18"/>
        </w:rPr>
        <w:footnoteRef/>
      </w:r>
      <w:r w:rsidRPr="003C5AB0">
        <w:rPr>
          <w:sz w:val="18"/>
          <w:szCs w:val="18"/>
        </w:rPr>
        <w:t xml:space="preserve"> Gadinis</w:t>
      </w:r>
      <w:r w:rsidR="0019743A" w:rsidRPr="003C5AB0">
        <w:rPr>
          <w:sz w:val="18"/>
          <w:szCs w:val="18"/>
        </w:rPr>
        <w:t xml:space="preserve">,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19743A" w:rsidRPr="003C5AB0">
        <w:rPr>
          <w:sz w:val="18"/>
          <w:szCs w:val="18"/>
        </w:rPr>
        <w:t>, at 21.</w:t>
      </w:r>
    </w:p>
  </w:footnote>
  <w:footnote w:id="94">
    <w:p w14:paraId="7D543566" w14:textId="25AA8415" w:rsidR="00B0141F" w:rsidRPr="003C5AB0" w:rsidRDefault="00B0141F" w:rsidP="00B0141F">
      <w:pPr>
        <w:pStyle w:val="FootnoteText"/>
        <w:rPr>
          <w:sz w:val="18"/>
          <w:szCs w:val="18"/>
        </w:rPr>
      </w:pPr>
      <w:r w:rsidRPr="003C5AB0">
        <w:rPr>
          <w:rStyle w:val="FootnoteReference"/>
          <w:sz w:val="18"/>
          <w:szCs w:val="18"/>
        </w:rPr>
        <w:footnoteRef/>
      </w:r>
      <w:r w:rsidRPr="003C5AB0">
        <w:rPr>
          <w:sz w:val="18"/>
          <w:szCs w:val="18"/>
        </w:rPr>
        <w:t xml:space="preserve"> </w:t>
      </w:r>
      <w:bookmarkStart w:id="78" w:name="OLE_LINK164"/>
      <w:r w:rsidRPr="003C5AB0">
        <w:rPr>
          <w:sz w:val="18"/>
          <w:szCs w:val="18"/>
        </w:rPr>
        <w:t>Louisiana Attorney General Liz Murrill's Office Files Lawsuit Against Securities and Exchange Commission, Fighting &amp; Winning for Louisiana</w:t>
      </w:r>
      <w:r w:rsidR="00DF61E0" w:rsidRPr="003C5AB0">
        <w:rPr>
          <w:sz w:val="18"/>
          <w:szCs w:val="18"/>
        </w:rPr>
        <w:t xml:space="preserve"> (2024)</w:t>
      </w:r>
      <w:r w:rsidRPr="003C5AB0">
        <w:rPr>
          <w:sz w:val="18"/>
          <w:szCs w:val="18"/>
        </w:rPr>
        <w:t xml:space="preserve">, </w:t>
      </w:r>
      <w:hyperlink r:id="rId19" w:history="1">
        <w:r w:rsidR="00DF61E0" w:rsidRPr="003C5AB0">
          <w:rPr>
            <w:rStyle w:val="Hyperlink"/>
            <w:sz w:val="18"/>
            <w:szCs w:val="18"/>
          </w:rPr>
          <w:t>https://www.ag.state.la.us/Article/13199</w:t>
        </w:r>
      </w:hyperlink>
      <w:bookmarkEnd w:id="78"/>
      <w:r w:rsidR="00DF61E0" w:rsidRPr="003C5AB0">
        <w:rPr>
          <w:sz w:val="18"/>
          <w:szCs w:val="18"/>
        </w:rPr>
        <w:t xml:space="preserve">. </w:t>
      </w:r>
    </w:p>
  </w:footnote>
  <w:footnote w:id="95">
    <w:p w14:paraId="34F470AC" w14:textId="4199DA37" w:rsidR="00152F71" w:rsidRPr="003C5AB0" w:rsidRDefault="00152F71">
      <w:pPr>
        <w:pStyle w:val="FootnoteText"/>
        <w:rPr>
          <w:sz w:val="18"/>
          <w:szCs w:val="18"/>
        </w:rPr>
      </w:pPr>
      <w:r w:rsidRPr="003C5AB0">
        <w:rPr>
          <w:rStyle w:val="FootnoteReference"/>
          <w:sz w:val="18"/>
          <w:szCs w:val="18"/>
        </w:rPr>
        <w:footnoteRef/>
      </w:r>
      <w:r w:rsidRPr="003C5AB0">
        <w:rPr>
          <w:sz w:val="18"/>
          <w:szCs w:val="18"/>
        </w:rPr>
        <w:t xml:space="preserve"> </w:t>
      </w:r>
      <w:bookmarkStart w:id="79" w:name="OLE_LINK165"/>
      <w:r w:rsidRPr="003C5AB0">
        <w:rPr>
          <w:i/>
          <w:iCs/>
          <w:sz w:val="18"/>
          <w:szCs w:val="18"/>
        </w:rPr>
        <w:t>Loper Bright Enter</w:t>
      </w:r>
      <w:r w:rsidR="00DF61E0" w:rsidRPr="003C5AB0">
        <w:rPr>
          <w:i/>
          <w:iCs/>
          <w:sz w:val="18"/>
          <w:szCs w:val="18"/>
        </w:rPr>
        <w:t>s.</w:t>
      </w:r>
      <w:r w:rsidRPr="003C5AB0">
        <w:rPr>
          <w:i/>
          <w:iCs/>
          <w:sz w:val="18"/>
          <w:szCs w:val="18"/>
        </w:rPr>
        <w:t xml:space="preserve"> v. Raimondo</w:t>
      </w:r>
      <w:r w:rsidRPr="003C5AB0">
        <w:rPr>
          <w:sz w:val="18"/>
          <w:szCs w:val="18"/>
        </w:rPr>
        <w:t xml:space="preserve">, </w:t>
      </w:r>
      <w:r w:rsidR="001F47FC" w:rsidRPr="003C5AB0">
        <w:rPr>
          <w:sz w:val="18"/>
          <w:szCs w:val="18"/>
        </w:rPr>
        <w:t>45 F. 4th 359</w:t>
      </w:r>
      <w:r w:rsidR="00DF61E0" w:rsidRPr="003C5AB0">
        <w:rPr>
          <w:sz w:val="18"/>
          <w:szCs w:val="18"/>
        </w:rPr>
        <w:t xml:space="preserve"> (</w:t>
      </w:r>
      <w:r w:rsidR="001F47FC" w:rsidRPr="003C5AB0">
        <w:rPr>
          <w:sz w:val="18"/>
          <w:szCs w:val="18"/>
        </w:rPr>
        <w:t>2024</w:t>
      </w:r>
      <w:bookmarkEnd w:id="79"/>
      <w:r w:rsidR="00DF61E0" w:rsidRPr="003C5AB0">
        <w:rPr>
          <w:sz w:val="18"/>
          <w:szCs w:val="18"/>
        </w:rPr>
        <w:t xml:space="preserve">); </w:t>
      </w:r>
      <w:r w:rsidR="00944917" w:rsidRPr="003C5AB0">
        <w:rPr>
          <w:i/>
          <w:iCs/>
          <w:sz w:val="18"/>
          <w:szCs w:val="18"/>
        </w:rPr>
        <w:t xml:space="preserve">See </w:t>
      </w:r>
      <w:r w:rsidR="00DF61E0" w:rsidRPr="003C5AB0">
        <w:rPr>
          <w:i/>
          <w:iCs/>
          <w:sz w:val="18"/>
          <w:szCs w:val="18"/>
        </w:rPr>
        <w:t>a</w:t>
      </w:r>
      <w:r w:rsidR="00944917" w:rsidRPr="003C5AB0">
        <w:rPr>
          <w:i/>
          <w:iCs/>
          <w:sz w:val="18"/>
          <w:szCs w:val="18"/>
        </w:rPr>
        <w:t>lso</w:t>
      </w:r>
      <w:r w:rsidR="00DF61E0" w:rsidRPr="003C5AB0">
        <w:rPr>
          <w:sz w:val="18"/>
          <w:szCs w:val="18"/>
        </w:rPr>
        <w:t xml:space="preserve"> </w:t>
      </w:r>
      <w:r w:rsidR="00DF61E0" w:rsidRPr="003C5AB0">
        <w:rPr>
          <w:color w:val="000000"/>
          <w:sz w:val="18"/>
          <w:szCs w:val="18"/>
        </w:rPr>
        <w:t>Sedina Banks et al.,</w:t>
      </w:r>
      <w:r w:rsidR="00DF61E0" w:rsidRPr="003C5AB0">
        <w:rPr>
          <w:rStyle w:val="apple-converted-space"/>
          <w:color w:val="000000"/>
          <w:sz w:val="18"/>
          <w:szCs w:val="18"/>
        </w:rPr>
        <w:t> </w:t>
      </w:r>
      <w:r w:rsidR="00DF61E0" w:rsidRPr="003C5AB0">
        <w:rPr>
          <w:color w:val="000000"/>
          <w:sz w:val="18"/>
          <w:szCs w:val="18"/>
        </w:rPr>
        <w:t>Beyond chevron: Courts vs. agencies in a New Era</w:t>
      </w:r>
      <w:r w:rsidR="00DF61E0" w:rsidRPr="003C5AB0">
        <w:rPr>
          <w:rStyle w:val="apple-converted-space"/>
          <w:color w:val="000000"/>
          <w:sz w:val="18"/>
          <w:szCs w:val="18"/>
        </w:rPr>
        <w:t> </w:t>
      </w:r>
      <w:r w:rsidR="00DF61E0" w:rsidRPr="003C5AB0">
        <w:rPr>
          <w:color w:val="000000"/>
          <w:sz w:val="18"/>
          <w:szCs w:val="18"/>
        </w:rPr>
        <w:t>JD Supra</w:t>
      </w:r>
      <w:r w:rsidR="00DF61E0" w:rsidRPr="003C5AB0">
        <w:rPr>
          <w:rStyle w:val="apple-converted-space"/>
          <w:color w:val="000000"/>
          <w:sz w:val="18"/>
          <w:szCs w:val="18"/>
        </w:rPr>
        <w:t> </w:t>
      </w:r>
      <w:r w:rsidR="00DF61E0" w:rsidRPr="003C5AB0">
        <w:rPr>
          <w:color w:val="000000"/>
          <w:sz w:val="18"/>
          <w:szCs w:val="18"/>
        </w:rPr>
        <w:t xml:space="preserve">(2024), </w:t>
      </w:r>
      <w:hyperlink r:id="rId20" w:history="1">
        <w:r w:rsidR="00DF61E0" w:rsidRPr="003C5AB0">
          <w:rPr>
            <w:rStyle w:val="Hyperlink"/>
            <w:sz w:val="18"/>
            <w:szCs w:val="18"/>
          </w:rPr>
          <w:t>https://www.jdsupra.com/legalnews/beyond-chevron-courts-vs-agencies-in-a-6626406/</w:t>
        </w:r>
      </w:hyperlink>
      <w:r w:rsidR="00DF61E0" w:rsidRPr="003C5AB0">
        <w:rPr>
          <w:color w:val="000000"/>
          <w:sz w:val="18"/>
          <w:szCs w:val="18"/>
        </w:rPr>
        <w:t>.</w:t>
      </w:r>
      <w:r w:rsidR="00DF61E0" w:rsidRPr="003C5AB0">
        <w:rPr>
          <w:rStyle w:val="apple-converted-space"/>
          <w:color w:val="000000"/>
          <w:sz w:val="18"/>
          <w:szCs w:val="18"/>
        </w:rPr>
        <w:t xml:space="preserve"> </w:t>
      </w:r>
    </w:p>
  </w:footnote>
  <w:footnote w:id="96">
    <w:p w14:paraId="066D2AF7" w14:textId="71714439" w:rsidR="00120F42" w:rsidRPr="003C5AB0" w:rsidRDefault="00120F42" w:rsidP="00120F42">
      <w:pPr>
        <w:pStyle w:val="FootnoteText"/>
        <w:rPr>
          <w:sz w:val="18"/>
          <w:szCs w:val="18"/>
        </w:rPr>
      </w:pPr>
      <w:r w:rsidRPr="003C5AB0">
        <w:rPr>
          <w:rStyle w:val="FootnoteReference"/>
          <w:sz w:val="18"/>
          <w:szCs w:val="18"/>
        </w:rPr>
        <w:footnoteRef/>
      </w:r>
      <w:r w:rsidRPr="003C5AB0">
        <w:rPr>
          <w:sz w:val="18"/>
          <w:szCs w:val="18"/>
        </w:rPr>
        <w:t xml:space="preserve"> </w:t>
      </w:r>
      <w:bookmarkStart w:id="80" w:name="OLE_LINK168"/>
      <w:r w:rsidR="000101ED" w:rsidRPr="003C5AB0">
        <w:rPr>
          <w:sz w:val="18"/>
          <w:szCs w:val="18"/>
        </w:rPr>
        <w:t xml:space="preserve">Gadinis,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0101ED" w:rsidRPr="003C5AB0">
        <w:rPr>
          <w:sz w:val="18"/>
          <w:szCs w:val="18"/>
        </w:rPr>
        <w:t xml:space="preserve">, at 32. </w:t>
      </w:r>
      <w:bookmarkEnd w:id="80"/>
    </w:p>
  </w:footnote>
  <w:footnote w:id="97">
    <w:p w14:paraId="47D476D4" w14:textId="0F3FDDD0" w:rsidR="00D52CD1" w:rsidRPr="003C5AB0" w:rsidRDefault="00D52CD1">
      <w:pPr>
        <w:pStyle w:val="FootnoteText"/>
        <w:rPr>
          <w:sz w:val="18"/>
          <w:szCs w:val="18"/>
        </w:rPr>
      </w:pPr>
      <w:r w:rsidRPr="003C5AB0">
        <w:rPr>
          <w:rStyle w:val="FootnoteReference"/>
          <w:sz w:val="18"/>
          <w:szCs w:val="18"/>
        </w:rPr>
        <w:footnoteRef/>
      </w:r>
      <w:r w:rsidRPr="003C5AB0">
        <w:rPr>
          <w:sz w:val="18"/>
          <w:szCs w:val="18"/>
        </w:rPr>
        <w:t xml:space="preserve"> </w:t>
      </w:r>
      <w:bookmarkStart w:id="81" w:name="OLE_LINK169"/>
      <w:r w:rsidR="000101ED" w:rsidRPr="003C5AB0">
        <w:rPr>
          <w:sz w:val="18"/>
          <w:szCs w:val="18"/>
        </w:rPr>
        <w:t>Gerrard, supra note</w:t>
      </w:r>
      <w:r w:rsidR="0005095F" w:rsidRPr="003C5AB0">
        <w:rPr>
          <w:sz w:val="18"/>
          <w:szCs w:val="18"/>
        </w:rPr>
        <w:t xml:space="preserve"> </w:t>
      </w:r>
      <w:r w:rsidR="0005095F" w:rsidRPr="003C5AB0">
        <w:rPr>
          <w:sz w:val="18"/>
          <w:szCs w:val="18"/>
        </w:rPr>
        <w:fldChar w:fldCharType="begin"/>
      </w:r>
      <w:r w:rsidR="0005095F" w:rsidRPr="003C5AB0">
        <w:rPr>
          <w:sz w:val="18"/>
          <w:szCs w:val="18"/>
        </w:rPr>
        <w:instrText xml:space="preserve"> NOTEREF _Ref191564648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16</w:t>
      </w:r>
      <w:r w:rsidR="0005095F" w:rsidRPr="003C5AB0">
        <w:rPr>
          <w:sz w:val="18"/>
          <w:szCs w:val="18"/>
        </w:rPr>
        <w:fldChar w:fldCharType="end"/>
      </w:r>
      <w:r w:rsidR="000101ED" w:rsidRPr="003C5AB0">
        <w:rPr>
          <w:sz w:val="18"/>
          <w:szCs w:val="18"/>
        </w:rPr>
        <w:t>, at 2.</w:t>
      </w:r>
      <w:bookmarkEnd w:id="81"/>
    </w:p>
  </w:footnote>
  <w:footnote w:id="98">
    <w:p w14:paraId="03423B6A" w14:textId="499813E7" w:rsidR="00D52CD1" w:rsidRPr="003C5AB0" w:rsidRDefault="00D52CD1">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99">
    <w:p w14:paraId="2515F3D0" w14:textId="01A7D9EA" w:rsidR="00120F42" w:rsidRPr="003C5AB0" w:rsidRDefault="00120F42" w:rsidP="00120F42">
      <w:pPr>
        <w:pStyle w:val="FootnoteText"/>
        <w:rPr>
          <w:i/>
          <w:iCs/>
          <w:sz w:val="18"/>
          <w:szCs w:val="18"/>
        </w:rPr>
      </w:pPr>
      <w:r w:rsidRPr="003C5AB0">
        <w:rPr>
          <w:rStyle w:val="FootnoteReference"/>
          <w:sz w:val="18"/>
          <w:szCs w:val="18"/>
        </w:rPr>
        <w:footnoteRef/>
      </w:r>
      <w:r w:rsidRPr="003C5AB0">
        <w:rPr>
          <w:sz w:val="18"/>
          <w:szCs w:val="18"/>
        </w:rPr>
        <w:t xml:space="preserve"> </w:t>
      </w:r>
      <w:r w:rsidR="000101ED" w:rsidRPr="003C5AB0">
        <w:rPr>
          <w:i/>
          <w:iCs/>
          <w:sz w:val="18"/>
          <w:szCs w:val="18"/>
        </w:rPr>
        <w:t>Id.</w:t>
      </w:r>
    </w:p>
  </w:footnote>
  <w:footnote w:id="100">
    <w:p w14:paraId="63B2F291" w14:textId="202D25DE" w:rsidR="004620AD" w:rsidRPr="003C5AB0" w:rsidRDefault="004620AD">
      <w:pPr>
        <w:pStyle w:val="FootnoteText"/>
        <w:rPr>
          <w:sz w:val="18"/>
          <w:szCs w:val="18"/>
        </w:rPr>
      </w:pPr>
      <w:r w:rsidRPr="003C5AB0">
        <w:rPr>
          <w:rStyle w:val="FootnoteReference"/>
          <w:sz w:val="18"/>
          <w:szCs w:val="18"/>
        </w:rPr>
        <w:footnoteRef/>
      </w:r>
      <w:r w:rsidRPr="003C5AB0">
        <w:rPr>
          <w:sz w:val="18"/>
          <w:szCs w:val="18"/>
        </w:rPr>
        <w:t xml:space="preserve"> </w:t>
      </w:r>
      <w:r w:rsidR="000101ED" w:rsidRPr="003C5AB0">
        <w:rPr>
          <w:sz w:val="18"/>
          <w:szCs w:val="18"/>
        </w:rPr>
        <w:t xml:space="preserve">Gadinis,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0101ED" w:rsidRPr="003C5AB0">
        <w:rPr>
          <w:sz w:val="18"/>
          <w:szCs w:val="18"/>
        </w:rPr>
        <w:t xml:space="preserve">, at </w:t>
      </w:r>
      <w:r w:rsidRPr="003C5AB0">
        <w:rPr>
          <w:sz w:val="18"/>
          <w:szCs w:val="18"/>
        </w:rPr>
        <w:t>6</w:t>
      </w:r>
      <w:r w:rsidR="000101ED" w:rsidRPr="003C5AB0">
        <w:rPr>
          <w:sz w:val="18"/>
          <w:szCs w:val="18"/>
        </w:rPr>
        <w:t>.</w:t>
      </w:r>
    </w:p>
  </w:footnote>
  <w:footnote w:id="101">
    <w:p w14:paraId="627784BF" w14:textId="03545FE6" w:rsidR="004620AD" w:rsidRPr="003C5AB0" w:rsidRDefault="004620AD" w:rsidP="004620AD">
      <w:pPr>
        <w:pStyle w:val="FootnoteText"/>
        <w:rPr>
          <w:sz w:val="18"/>
          <w:szCs w:val="18"/>
        </w:rPr>
      </w:pPr>
      <w:r w:rsidRPr="003C5AB0">
        <w:rPr>
          <w:rStyle w:val="FootnoteReference"/>
          <w:sz w:val="18"/>
          <w:szCs w:val="18"/>
        </w:rPr>
        <w:footnoteRef/>
      </w:r>
      <w:r w:rsidR="000101ED" w:rsidRPr="003C5AB0">
        <w:rPr>
          <w:sz w:val="18"/>
          <w:szCs w:val="18"/>
        </w:rPr>
        <w:t xml:space="preserve">Gerrard, supra note </w:t>
      </w:r>
      <w:r w:rsidR="0005095F" w:rsidRPr="003C5AB0">
        <w:rPr>
          <w:sz w:val="18"/>
          <w:szCs w:val="18"/>
        </w:rPr>
        <w:fldChar w:fldCharType="begin"/>
      </w:r>
      <w:r w:rsidR="0005095F" w:rsidRPr="003C5AB0">
        <w:rPr>
          <w:sz w:val="18"/>
          <w:szCs w:val="18"/>
        </w:rPr>
        <w:instrText xml:space="preserve"> NOTEREF _Ref191564648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16</w:t>
      </w:r>
      <w:r w:rsidR="0005095F" w:rsidRPr="003C5AB0">
        <w:rPr>
          <w:sz w:val="18"/>
          <w:szCs w:val="18"/>
        </w:rPr>
        <w:fldChar w:fldCharType="end"/>
      </w:r>
      <w:r w:rsidR="000101ED" w:rsidRPr="003C5AB0">
        <w:rPr>
          <w:sz w:val="18"/>
          <w:szCs w:val="18"/>
        </w:rPr>
        <w:t>, at 3-4.</w:t>
      </w:r>
    </w:p>
  </w:footnote>
  <w:footnote w:id="102">
    <w:p w14:paraId="1E2C71B9" w14:textId="080BE342" w:rsidR="004620AD" w:rsidRPr="003C5AB0" w:rsidRDefault="004620AD" w:rsidP="004620AD">
      <w:pPr>
        <w:pStyle w:val="FootnoteText"/>
        <w:rPr>
          <w:sz w:val="18"/>
          <w:szCs w:val="18"/>
        </w:rPr>
      </w:pPr>
      <w:r w:rsidRPr="003C5AB0">
        <w:rPr>
          <w:rStyle w:val="FootnoteReference"/>
          <w:sz w:val="18"/>
          <w:szCs w:val="18"/>
        </w:rPr>
        <w:footnoteRef/>
      </w:r>
      <w:r w:rsidRPr="003C5AB0">
        <w:rPr>
          <w:sz w:val="18"/>
          <w:szCs w:val="18"/>
        </w:rPr>
        <w:t xml:space="preserve"> </w:t>
      </w:r>
      <w:r w:rsidR="000101ED" w:rsidRPr="003C5AB0">
        <w:rPr>
          <w:i/>
          <w:iCs/>
          <w:sz w:val="18"/>
          <w:szCs w:val="18"/>
        </w:rPr>
        <w:t>Id.</w:t>
      </w:r>
    </w:p>
  </w:footnote>
  <w:footnote w:id="103">
    <w:p w14:paraId="284EFA65" w14:textId="587BB8FD" w:rsidR="00AB2AED" w:rsidRPr="004A5F86" w:rsidRDefault="00AB2AED">
      <w:pPr>
        <w:pStyle w:val="FootnoteText"/>
        <w:rPr>
          <w:sz w:val="18"/>
          <w:szCs w:val="18"/>
        </w:rPr>
      </w:pPr>
      <w:r w:rsidRPr="004A5F86">
        <w:rPr>
          <w:rStyle w:val="FootnoteReference"/>
          <w:sz w:val="18"/>
          <w:szCs w:val="18"/>
        </w:rPr>
        <w:footnoteRef/>
      </w:r>
      <w:r w:rsidRPr="004A5F86">
        <w:rPr>
          <w:sz w:val="18"/>
          <w:szCs w:val="18"/>
        </w:rPr>
        <w:t xml:space="preserve"> </w:t>
      </w:r>
      <w:r w:rsidRPr="003C5AB0">
        <w:rPr>
          <w:sz w:val="18"/>
          <w:szCs w:val="18"/>
        </w:rPr>
        <w:t xml:space="preserve">Gordon, supra note </w:t>
      </w:r>
      <w:r w:rsidRPr="003C5AB0">
        <w:rPr>
          <w:sz w:val="18"/>
          <w:szCs w:val="18"/>
        </w:rPr>
        <w:fldChar w:fldCharType="begin"/>
      </w:r>
      <w:r w:rsidRPr="003C5AB0">
        <w:rPr>
          <w:sz w:val="18"/>
          <w:szCs w:val="18"/>
        </w:rPr>
        <w:instrText xml:space="preserve"> NOTEREF _Ref191563650 \h </w:instrText>
      </w:r>
      <w:r w:rsidR="008439E1" w:rsidRPr="003C5AB0">
        <w:rPr>
          <w:sz w:val="18"/>
          <w:szCs w:val="18"/>
        </w:rPr>
        <w:instrText xml:space="preserve"> \* MERGEFORMAT </w:instrText>
      </w:r>
      <w:r w:rsidRPr="003C5AB0">
        <w:rPr>
          <w:sz w:val="18"/>
          <w:szCs w:val="18"/>
        </w:rPr>
      </w:r>
      <w:r w:rsidRPr="003C5AB0">
        <w:rPr>
          <w:sz w:val="18"/>
          <w:szCs w:val="18"/>
        </w:rPr>
        <w:fldChar w:fldCharType="separate"/>
      </w:r>
      <w:r w:rsidR="003C5AB0">
        <w:rPr>
          <w:sz w:val="18"/>
          <w:szCs w:val="18"/>
        </w:rPr>
        <w:t>8</w:t>
      </w:r>
      <w:r w:rsidRPr="003C5AB0">
        <w:rPr>
          <w:sz w:val="18"/>
          <w:szCs w:val="18"/>
        </w:rPr>
        <w:fldChar w:fldCharType="end"/>
      </w:r>
      <w:r w:rsidRPr="003C5AB0">
        <w:rPr>
          <w:sz w:val="18"/>
          <w:szCs w:val="18"/>
        </w:rPr>
        <w:t>, at 8.</w:t>
      </w:r>
    </w:p>
  </w:footnote>
  <w:footnote w:id="104">
    <w:p w14:paraId="2CEEDDCA" w14:textId="21285CA7" w:rsidR="00AB2AED" w:rsidRPr="004A5F86" w:rsidRDefault="00AB2AED">
      <w:pPr>
        <w:pStyle w:val="FootnoteText"/>
        <w:rPr>
          <w:sz w:val="18"/>
          <w:szCs w:val="18"/>
        </w:rPr>
      </w:pPr>
      <w:r w:rsidRPr="004A5F86">
        <w:rPr>
          <w:rStyle w:val="FootnoteReference"/>
          <w:sz w:val="18"/>
          <w:szCs w:val="18"/>
        </w:rPr>
        <w:footnoteRef/>
      </w:r>
      <w:r w:rsidRPr="004A5F86">
        <w:rPr>
          <w:sz w:val="18"/>
          <w:szCs w:val="18"/>
        </w:rPr>
        <w:t xml:space="preserve"> Gelter, supra note </w:t>
      </w:r>
      <w:r w:rsidRPr="004A5F86">
        <w:rPr>
          <w:sz w:val="18"/>
          <w:szCs w:val="18"/>
        </w:rPr>
        <w:fldChar w:fldCharType="begin"/>
      </w:r>
      <w:r w:rsidRPr="004A5F86">
        <w:rPr>
          <w:sz w:val="18"/>
          <w:szCs w:val="18"/>
        </w:rPr>
        <w:instrText xml:space="preserve"> NOTEREF _Ref191563855 \h </w:instrText>
      </w:r>
      <w:r w:rsidR="008439E1" w:rsidRPr="003C5AB0">
        <w:rPr>
          <w:sz w:val="18"/>
          <w:szCs w:val="18"/>
        </w:rPr>
        <w:instrText xml:space="preserve"> \* MERGEFORMAT </w:instrText>
      </w:r>
      <w:r w:rsidRPr="004A5F86">
        <w:rPr>
          <w:sz w:val="18"/>
          <w:szCs w:val="18"/>
        </w:rPr>
      </w:r>
      <w:r w:rsidRPr="004A5F86">
        <w:rPr>
          <w:sz w:val="18"/>
          <w:szCs w:val="18"/>
        </w:rPr>
        <w:fldChar w:fldCharType="separate"/>
      </w:r>
      <w:r w:rsidR="003C5AB0">
        <w:rPr>
          <w:sz w:val="18"/>
          <w:szCs w:val="18"/>
        </w:rPr>
        <w:t>51</w:t>
      </w:r>
      <w:r w:rsidRPr="004A5F86">
        <w:rPr>
          <w:sz w:val="18"/>
          <w:szCs w:val="18"/>
        </w:rPr>
        <w:fldChar w:fldCharType="end"/>
      </w:r>
      <w:r w:rsidRPr="004A5F86">
        <w:rPr>
          <w:sz w:val="18"/>
          <w:szCs w:val="18"/>
        </w:rPr>
        <w:t>.</w:t>
      </w:r>
    </w:p>
  </w:footnote>
  <w:footnote w:id="105">
    <w:p w14:paraId="0F8B55FE" w14:textId="46559F2A" w:rsidR="00FE7370" w:rsidRPr="003C5AB0" w:rsidRDefault="00FE7370" w:rsidP="00FE7370">
      <w:pPr>
        <w:pStyle w:val="FootnoteText"/>
        <w:rPr>
          <w:color w:val="FF0000"/>
          <w:sz w:val="18"/>
          <w:szCs w:val="18"/>
        </w:rPr>
      </w:pPr>
      <w:r w:rsidRPr="003C5AB0">
        <w:rPr>
          <w:rStyle w:val="FootnoteReference"/>
          <w:sz w:val="18"/>
          <w:szCs w:val="18"/>
        </w:rPr>
        <w:footnoteRef/>
      </w:r>
      <w:r w:rsidRPr="003C5AB0">
        <w:rPr>
          <w:sz w:val="18"/>
          <w:szCs w:val="18"/>
        </w:rPr>
        <w:t xml:space="preserve"> </w:t>
      </w:r>
      <w:bookmarkStart w:id="85" w:name="OLE_LINK12"/>
      <w:r w:rsidR="000101ED" w:rsidRPr="003C5AB0">
        <w:rPr>
          <w:sz w:val="18"/>
          <w:szCs w:val="18"/>
        </w:rPr>
        <w:t xml:space="preserve">Gordon, supra note </w:t>
      </w:r>
      <w:r w:rsidR="0005095F" w:rsidRPr="003C5AB0">
        <w:rPr>
          <w:sz w:val="18"/>
          <w:szCs w:val="18"/>
        </w:rPr>
        <w:fldChar w:fldCharType="begin"/>
      </w:r>
      <w:r w:rsidR="0005095F" w:rsidRPr="003C5AB0">
        <w:rPr>
          <w:sz w:val="18"/>
          <w:szCs w:val="18"/>
        </w:rPr>
        <w:instrText xml:space="preserve"> NOTEREF _Ref191563650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8</w:t>
      </w:r>
      <w:r w:rsidR="0005095F" w:rsidRPr="003C5AB0">
        <w:rPr>
          <w:sz w:val="18"/>
          <w:szCs w:val="18"/>
        </w:rPr>
        <w:fldChar w:fldCharType="end"/>
      </w:r>
      <w:r w:rsidR="000101ED" w:rsidRPr="003C5AB0">
        <w:rPr>
          <w:sz w:val="18"/>
          <w:szCs w:val="18"/>
        </w:rPr>
        <w:t>, at 8.</w:t>
      </w:r>
      <w:bookmarkEnd w:id="85"/>
    </w:p>
  </w:footnote>
  <w:footnote w:id="106">
    <w:p w14:paraId="35C29BD9" w14:textId="5221F244"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0101ED" w:rsidRPr="003C5AB0">
        <w:rPr>
          <w:i/>
          <w:iCs/>
          <w:sz w:val="18"/>
          <w:szCs w:val="18"/>
        </w:rPr>
        <w:t>Id.</w:t>
      </w:r>
      <w:r w:rsidR="000101ED" w:rsidRPr="003C5AB0">
        <w:rPr>
          <w:sz w:val="18"/>
          <w:szCs w:val="18"/>
        </w:rPr>
        <w:t xml:space="preserve"> at 9.</w:t>
      </w:r>
    </w:p>
  </w:footnote>
  <w:footnote w:id="107">
    <w:p w14:paraId="05E1A881" w14:textId="3A379089"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87" w:name="OLE_LINK170"/>
      <w:r w:rsidR="000101ED" w:rsidRPr="003C5AB0">
        <w:rPr>
          <w:color w:val="000000"/>
          <w:sz w:val="18"/>
          <w:szCs w:val="18"/>
        </w:rPr>
        <w:t>Statista Research Department,</w:t>
      </w:r>
      <w:r w:rsidR="000101ED" w:rsidRPr="003C5AB0">
        <w:rPr>
          <w:rStyle w:val="apple-converted-space"/>
          <w:color w:val="000000"/>
          <w:sz w:val="18"/>
          <w:szCs w:val="18"/>
        </w:rPr>
        <w:t> </w:t>
      </w:r>
      <w:r w:rsidR="000101ED" w:rsidRPr="003C5AB0">
        <w:rPr>
          <w:color w:val="000000"/>
          <w:sz w:val="18"/>
          <w:szCs w:val="18"/>
        </w:rPr>
        <w:t>EU: Oil production 2023</w:t>
      </w:r>
      <w:r w:rsidR="000101ED" w:rsidRPr="003C5AB0">
        <w:rPr>
          <w:rStyle w:val="apple-converted-space"/>
          <w:color w:val="000000"/>
          <w:sz w:val="18"/>
          <w:szCs w:val="18"/>
        </w:rPr>
        <w:t> </w:t>
      </w:r>
      <w:r w:rsidR="000101ED" w:rsidRPr="003C5AB0">
        <w:rPr>
          <w:color w:val="000000"/>
          <w:sz w:val="18"/>
          <w:szCs w:val="18"/>
        </w:rPr>
        <w:t>Statista</w:t>
      </w:r>
      <w:r w:rsidR="000101ED" w:rsidRPr="003C5AB0">
        <w:rPr>
          <w:rStyle w:val="apple-converted-space"/>
          <w:color w:val="000000"/>
          <w:sz w:val="18"/>
          <w:szCs w:val="18"/>
        </w:rPr>
        <w:t> </w:t>
      </w:r>
      <w:r w:rsidR="000101ED" w:rsidRPr="003C5AB0">
        <w:rPr>
          <w:color w:val="000000"/>
          <w:sz w:val="18"/>
          <w:szCs w:val="18"/>
        </w:rPr>
        <w:t xml:space="preserve">(2024), </w:t>
      </w:r>
      <w:hyperlink r:id="rId21" w:history="1">
        <w:r w:rsidR="00AC7B07" w:rsidRPr="003C5AB0">
          <w:rPr>
            <w:rStyle w:val="Hyperlink"/>
            <w:sz w:val="18"/>
            <w:szCs w:val="18"/>
          </w:rPr>
          <w:t>https://www.statista.com/statistics/265206/oil-production-in-the-european-union-in-barrels-per-day/</w:t>
        </w:r>
      </w:hyperlink>
      <w:r w:rsidR="000101ED" w:rsidRPr="003C5AB0">
        <w:rPr>
          <w:color w:val="000000"/>
          <w:sz w:val="18"/>
          <w:szCs w:val="18"/>
        </w:rPr>
        <w:t>.</w:t>
      </w:r>
      <w:r w:rsidR="00AC7B07" w:rsidRPr="003C5AB0">
        <w:rPr>
          <w:rStyle w:val="apple-converted-space"/>
          <w:color w:val="000000"/>
          <w:sz w:val="18"/>
          <w:szCs w:val="18"/>
        </w:rPr>
        <w:t xml:space="preserve"> </w:t>
      </w:r>
      <w:r w:rsidR="000101ED" w:rsidRPr="003C5AB0">
        <w:rPr>
          <w:rStyle w:val="apple-converted-space"/>
          <w:color w:val="000000"/>
          <w:sz w:val="18"/>
          <w:szCs w:val="18"/>
        </w:rPr>
        <w:t xml:space="preserve"> </w:t>
      </w:r>
      <w:bookmarkEnd w:id="87"/>
    </w:p>
  </w:footnote>
  <w:footnote w:id="108">
    <w:p w14:paraId="3D0A1A15" w14:textId="15586252"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88" w:name="OLE_LINK171"/>
      <w:r w:rsidR="000101ED" w:rsidRPr="003C5AB0">
        <w:rPr>
          <w:color w:val="000000"/>
          <w:sz w:val="18"/>
          <w:szCs w:val="18"/>
        </w:rPr>
        <w:t>Statista Research Department,</w:t>
      </w:r>
      <w:r w:rsidR="000101ED" w:rsidRPr="003C5AB0">
        <w:rPr>
          <w:rStyle w:val="apple-converted-space"/>
          <w:color w:val="000000"/>
          <w:sz w:val="18"/>
          <w:szCs w:val="18"/>
        </w:rPr>
        <w:t> </w:t>
      </w:r>
      <w:r w:rsidR="000101ED" w:rsidRPr="003C5AB0">
        <w:rPr>
          <w:color w:val="000000"/>
          <w:sz w:val="18"/>
          <w:szCs w:val="18"/>
        </w:rPr>
        <w:t>Global oil imports by region 2023</w:t>
      </w:r>
      <w:r w:rsidR="000101ED" w:rsidRPr="003C5AB0">
        <w:rPr>
          <w:rStyle w:val="apple-converted-space"/>
          <w:color w:val="000000"/>
          <w:sz w:val="18"/>
          <w:szCs w:val="18"/>
        </w:rPr>
        <w:t> </w:t>
      </w:r>
      <w:r w:rsidR="000101ED" w:rsidRPr="003C5AB0">
        <w:rPr>
          <w:color w:val="000000"/>
          <w:sz w:val="18"/>
          <w:szCs w:val="18"/>
        </w:rPr>
        <w:t>Statista</w:t>
      </w:r>
      <w:r w:rsidR="000101ED" w:rsidRPr="003C5AB0">
        <w:rPr>
          <w:rStyle w:val="apple-converted-space"/>
          <w:color w:val="000000"/>
          <w:sz w:val="18"/>
          <w:szCs w:val="18"/>
        </w:rPr>
        <w:t> </w:t>
      </w:r>
      <w:r w:rsidR="000101ED" w:rsidRPr="003C5AB0">
        <w:rPr>
          <w:color w:val="000000"/>
          <w:sz w:val="18"/>
          <w:szCs w:val="18"/>
        </w:rPr>
        <w:t xml:space="preserve">(2024), </w:t>
      </w:r>
      <w:hyperlink r:id="rId22" w:anchor=":~:text=Europe%20followed%20closely%20as%20the,with%2012.8%20million%20daily%20barrels" w:history="1">
        <w:r w:rsidR="00AC7B07" w:rsidRPr="003C5AB0">
          <w:rPr>
            <w:rStyle w:val="Hyperlink"/>
            <w:sz w:val="18"/>
            <w:szCs w:val="18"/>
          </w:rPr>
          <w:t>https://www.statista.com/statistics/240600/global-oil-importers-by-region-2011/#:~:text=Europe%20followed%20closely%20as%20the,with%2012.8%20million%20daily%20barrels</w:t>
        </w:r>
      </w:hyperlink>
      <w:r w:rsidR="000101ED" w:rsidRPr="003C5AB0">
        <w:rPr>
          <w:color w:val="000000"/>
          <w:sz w:val="18"/>
          <w:szCs w:val="18"/>
        </w:rPr>
        <w:t>.</w:t>
      </w:r>
      <w:r w:rsidR="00AC7B07" w:rsidRPr="003C5AB0">
        <w:rPr>
          <w:rStyle w:val="apple-converted-space"/>
          <w:color w:val="000000"/>
          <w:sz w:val="18"/>
          <w:szCs w:val="18"/>
        </w:rPr>
        <w:t xml:space="preserve"> </w:t>
      </w:r>
      <w:r w:rsidR="000101ED" w:rsidRPr="003C5AB0">
        <w:rPr>
          <w:rStyle w:val="apple-converted-space"/>
          <w:color w:val="000000"/>
          <w:sz w:val="18"/>
          <w:szCs w:val="18"/>
        </w:rPr>
        <w:t xml:space="preserve"> </w:t>
      </w:r>
      <w:bookmarkEnd w:id="88"/>
    </w:p>
  </w:footnote>
  <w:footnote w:id="109">
    <w:p w14:paraId="47975A77" w14:textId="4C1B6A7C"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89" w:name="OLE_LINK172"/>
      <w:r w:rsidR="009758AD" w:rsidRPr="003C5AB0">
        <w:rPr>
          <w:color w:val="000000"/>
          <w:sz w:val="18"/>
          <w:szCs w:val="18"/>
        </w:rPr>
        <w:t>EIA,</w:t>
      </w:r>
      <w:r w:rsidR="009758AD" w:rsidRPr="003C5AB0">
        <w:rPr>
          <w:rStyle w:val="apple-converted-space"/>
          <w:color w:val="000000"/>
          <w:sz w:val="18"/>
          <w:szCs w:val="18"/>
        </w:rPr>
        <w:t> </w:t>
      </w:r>
      <w:r w:rsidR="009758AD" w:rsidRPr="003C5AB0">
        <w:rPr>
          <w:color w:val="000000"/>
          <w:sz w:val="18"/>
          <w:szCs w:val="18"/>
        </w:rPr>
        <w:t>U.S. Energy Information Administration - EIA - independent statistics and analysis</w:t>
      </w:r>
      <w:r w:rsidR="009758AD" w:rsidRPr="003C5AB0">
        <w:rPr>
          <w:rStyle w:val="apple-converted-space"/>
          <w:color w:val="000000"/>
          <w:sz w:val="18"/>
          <w:szCs w:val="18"/>
        </w:rPr>
        <w:t> </w:t>
      </w:r>
      <w:r w:rsidR="009758AD" w:rsidRPr="003C5AB0">
        <w:rPr>
          <w:color w:val="000000"/>
          <w:sz w:val="18"/>
          <w:szCs w:val="18"/>
        </w:rPr>
        <w:t>Short-Term Energy Outlook - U.S. Energy Information Administration (EIA)</w:t>
      </w:r>
      <w:r w:rsidR="009758AD" w:rsidRPr="003C5AB0">
        <w:rPr>
          <w:rStyle w:val="apple-converted-space"/>
          <w:color w:val="000000"/>
          <w:sz w:val="18"/>
          <w:szCs w:val="18"/>
        </w:rPr>
        <w:t> </w:t>
      </w:r>
      <w:r w:rsidR="009758AD" w:rsidRPr="003C5AB0">
        <w:rPr>
          <w:color w:val="000000"/>
          <w:sz w:val="18"/>
          <w:szCs w:val="18"/>
        </w:rPr>
        <w:t xml:space="preserve">(2024), </w:t>
      </w:r>
      <w:hyperlink r:id="rId23" w:history="1">
        <w:r w:rsidR="00AC7B07" w:rsidRPr="003C5AB0">
          <w:rPr>
            <w:rStyle w:val="Hyperlink"/>
            <w:sz w:val="18"/>
            <w:szCs w:val="18"/>
          </w:rPr>
          <w:t>https://www.eia.gov/outlooks/steo/index.php</w:t>
        </w:r>
      </w:hyperlink>
      <w:r w:rsidR="009758AD" w:rsidRPr="003C5AB0">
        <w:rPr>
          <w:color w:val="000000"/>
          <w:sz w:val="18"/>
          <w:szCs w:val="18"/>
        </w:rPr>
        <w:t>.</w:t>
      </w:r>
      <w:r w:rsidR="00AC7B07" w:rsidRPr="003C5AB0">
        <w:rPr>
          <w:rStyle w:val="apple-converted-space"/>
          <w:color w:val="000000"/>
          <w:sz w:val="18"/>
          <w:szCs w:val="18"/>
        </w:rPr>
        <w:t xml:space="preserve"> </w:t>
      </w:r>
      <w:bookmarkEnd w:id="89"/>
    </w:p>
  </w:footnote>
  <w:footnote w:id="110">
    <w:p w14:paraId="2FC93093" w14:textId="356DFDDC" w:rsidR="00F072FC" w:rsidRPr="003C5AB0" w:rsidRDefault="00F072FC" w:rsidP="00F072FC">
      <w:pPr>
        <w:pStyle w:val="FootnoteText"/>
        <w:rPr>
          <w:sz w:val="18"/>
          <w:szCs w:val="18"/>
        </w:rPr>
      </w:pPr>
      <w:r w:rsidRPr="003C5AB0">
        <w:rPr>
          <w:rStyle w:val="FootnoteReference"/>
          <w:sz w:val="18"/>
          <w:szCs w:val="18"/>
        </w:rPr>
        <w:footnoteRef/>
      </w:r>
      <w:r w:rsidRPr="003C5AB0">
        <w:rPr>
          <w:sz w:val="18"/>
          <w:szCs w:val="18"/>
        </w:rPr>
        <w:t xml:space="preserve"> </w:t>
      </w:r>
      <w:r w:rsidR="009758AD" w:rsidRPr="003C5AB0">
        <w:rPr>
          <w:color w:val="000000"/>
          <w:sz w:val="18"/>
          <w:szCs w:val="18"/>
        </w:rPr>
        <w:t>American Petroleum Institute,</w:t>
      </w:r>
      <w:r w:rsidR="009758AD" w:rsidRPr="003C5AB0">
        <w:rPr>
          <w:rStyle w:val="apple-converted-space"/>
          <w:color w:val="000000"/>
          <w:sz w:val="18"/>
          <w:szCs w:val="18"/>
        </w:rPr>
        <w:t> </w:t>
      </w:r>
      <w:r w:rsidR="009758AD" w:rsidRPr="003C5AB0">
        <w:rPr>
          <w:color w:val="000000"/>
          <w:sz w:val="18"/>
          <w:szCs w:val="18"/>
        </w:rPr>
        <w:t xml:space="preserve">Oil &amp; Natural Gas: Supporting the Economy, Creating Job, Driving America Forward (2018), </w:t>
      </w:r>
      <w:hyperlink r:id="rId24" w:history="1">
        <w:r w:rsidR="00AC7B07" w:rsidRPr="003C5AB0">
          <w:rPr>
            <w:rStyle w:val="Hyperlink"/>
            <w:sz w:val="18"/>
            <w:szCs w:val="18"/>
          </w:rPr>
          <w:t>https://www.api.org/news-policy-and-issues/taxes/oil-and-natural-gas-contribution-to-us-economy-fact-sheet</w:t>
        </w:r>
      </w:hyperlink>
      <w:r w:rsidR="009758AD" w:rsidRPr="003C5AB0">
        <w:rPr>
          <w:color w:val="000000"/>
          <w:sz w:val="18"/>
          <w:szCs w:val="18"/>
        </w:rPr>
        <w:t>.</w:t>
      </w:r>
      <w:r w:rsidR="00AC7B07" w:rsidRPr="003C5AB0">
        <w:rPr>
          <w:rStyle w:val="apple-converted-space"/>
          <w:color w:val="000000"/>
          <w:sz w:val="18"/>
          <w:szCs w:val="18"/>
        </w:rPr>
        <w:t xml:space="preserve"> </w:t>
      </w:r>
    </w:p>
  </w:footnote>
  <w:footnote w:id="111">
    <w:p w14:paraId="54595237" w14:textId="48F6FE2D" w:rsidR="00F072FC" w:rsidRPr="003C5AB0" w:rsidRDefault="00F072FC" w:rsidP="00F072FC">
      <w:pPr>
        <w:pStyle w:val="FootnoteText"/>
        <w:rPr>
          <w:sz w:val="18"/>
          <w:szCs w:val="18"/>
        </w:rPr>
      </w:pPr>
      <w:r w:rsidRPr="003C5AB0">
        <w:rPr>
          <w:rStyle w:val="FootnoteReference"/>
          <w:sz w:val="18"/>
          <w:szCs w:val="18"/>
        </w:rPr>
        <w:footnoteRef/>
      </w:r>
      <w:r w:rsidRPr="003C5AB0">
        <w:rPr>
          <w:sz w:val="18"/>
          <w:szCs w:val="18"/>
        </w:rPr>
        <w:t xml:space="preserve"> US Energy Information Administration, Proved Reserves of Crude Oil and Natural Gas in the United States, Year-End 2021, p. 23 fig. 14, pp. 30-31 Table 7 (Dec. 2022)</w:t>
      </w:r>
      <w:r w:rsidR="009758AD" w:rsidRPr="003C5AB0">
        <w:rPr>
          <w:sz w:val="18"/>
          <w:szCs w:val="18"/>
        </w:rPr>
        <w:t>.</w:t>
      </w:r>
    </w:p>
  </w:footnote>
  <w:footnote w:id="112">
    <w:p w14:paraId="01B3E785" w14:textId="32A05503" w:rsidR="00F072FC" w:rsidRPr="003C5AB0" w:rsidRDefault="00F072FC" w:rsidP="00F072FC">
      <w:pPr>
        <w:pStyle w:val="FootnoteText"/>
        <w:rPr>
          <w:sz w:val="18"/>
          <w:szCs w:val="18"/>
        </w:rPr>
      </w:pPr>
      <w:r w:rsidRPr="003C5AB0">
        <w:rPr>
          <w:rStyle w:val="FootnoteReference"/>
          <w:sz w:val="18"/>
          <w:szCs w:val="18"/>
        </w:rPr>
        <w:footnoteRef/>
      </w:r>
      <w:r w:rsidRPr="003C5AB0">
        <w:rPr>
          <w:sz w:val="18"/>
          <w:szCs w:val="18"/>
        </w:rPr>
        <w:t xml:space="preserve"> </w:t>
      </w:r>
      <w:r w:rsidR="009758AD" w:rsidRPr="003C5AB0">
        <w:rPr>
          <w:color w:val="000000"/>
          <w:sz w:val="18"/>
          <w:szCs w:val="18"/>
        </w:rPr>
        <w:t>EIA,</w:t>
      </w:r>
      <w:r w:rsidR="009758AD" w:rsidRPr="003C5AB0">
        <w:rPr>
          <w:rStyle w:val="apple-converted-space"/>
          <w:color w:val="000000"/>
          <w:sz w:val="18"/>
          <w:szCs w:val="18"/>
        </w:rPr>
        <w:t> </w:t>
      </w:r>
      <w:r w:rsidR="009758AD" w:rsidRPr="003C5AB0">
        <w:rPr>
          <w:color w:val="000000"/>
          <w:sz w:val="18"/>
          <w:szCs w:val="18"/>
        </w:rPr>
        <w:t>U.S. crude oil proved reserves (million barrels)</w:t>
      </w:r>
      <w:r w:rsidR="009758AD" w:rsidRPr="003C5AB0">
        <w:rPr>
          <w:rStyle w:val="apple-converted-space"/>
          <w:color w:val="000000"/>
          <w:sz w:val="18"/>
          <w:szCs w:val="18"/>
        </w:rPr>
        <w:t> </w:t>
      </w:r>
      <w:r w:rsidR="009758AD" w:rsidRPr="003C5AB0">
        <w:rPr>
          <w:color w:val="000000"/>
          <w:sz w:val="18"/>
          <w:szCs w:val="18"/>
        </w:rPr>
        <w:t xml:space="preserve">(2024), </w:t>
      </w:r>
      <w:hyperlink r:id="rId25" w:history="1">
        <w:r w:rsidR="009758AD" w:rsidRPr="003C5AB0">
          <w:rPr>
            <w:rStyle w:val="Hyperlink"/>
            <w:sz w:val="18"/>
            <w:szCs w:val="18"/>
          </w:rPr>
          <w:t>https://www.eia.gov/dnav/pet/hist/LeafHandler.ashx?n=PET&amp;s=RCRR01NUS_1&amp;f=A</w:t>
        </w:r>
      </w:hyperlink>
      <w:r w:rsidR="009758AD" w:rsidRPr="003C5AB0">
        <w:rPr>
          <w:color w:val="000000"/>
          <w:sz w:val="18"/>
          <w:szCs w:val="18"/>
        </w:rPr>
        <w:t>.</w:t>
      </w:r>
      <w:r w:rsidR="009758AD" w:rsidRPr="003C5AB0">
        <w:rPr>
          <w:rStyle w:val="apple-converted-space"/>
          <w:color w:val="000000"/>
          <w:sz w:val="18"/>
          <w:szCs w:val="18"/>
        </w:rPr>
        <w:t xml:space="preserve"> </w:t>
      </w:r>
    </w:p>
  </w:footnote>
  <w:footnote w:id="113">
    <w:p w14:paraId="6DC57D21" w14:textId="77777777" w:rsidR="00F072FC" w:rsidRPr="003C5AB0" w:rsidRDefault="00F072FC" w:rsidP="00F072FC">
      <w:pPr>
        <w:pStyle w:val="FootnoteText"/>
        <w:rPr>
          <w:sz w:val="18"/>
          <w:szCs w:val="18"/>
        </w:rPr>
      </w:pPr>
      <w:r w:rsidRPr="003C5AB0">
        <w:rPr>
          <w:rStyle w:val="FootnoteReference"/>
          <w:sz w:val="18"/>
          <w:szCs w:val="18"/>
        </w:rPr>
        <w:footnoteRef/>
      </w:r>
      <w:r w:rsidRPr="003C5AB0">
        <w:rPr>
          <w:sz w:val="18"/>
          <w:szCs w:val="18"/>
        </w:rPr>
        <w:t xml:space="preserve"> Roberto </w:t>
      </w:r>
      <w:proofErr w:type="spellStart"/>
      <w:r w:rsidRPr="003C5AB0">
        <w:rPr>
          <w:sz w:val="18"/>
          <w:szCs w:val="18"/>
        </w:rPr>
        <w:t>Tallarita</w:t>
      </w:r>
      <w:proofErr w:type="spellEnd"/>
      <w:r w:rsidRPr="003C5AB0">
        <w:rPr>
          <w:sz w:val="18"/>
          <w:szCs w:val="18"/>
        </w:rPr>
        <w:t xml:space="preserve">, The Limits of Portfolio Primacy, 76 VAND. L. REV. 511 (2023). </w:t>
      </w:r>
    </w:p>
  </w:footnote>
  <w:footnote w:id="114">
    <w:p w14:paraId="6DC16042" w14:textId="5DC7E0FA" w:rsidR="002B3958" w:rsidRPr="003C5AB0" w:rsidRDefault="002B3958" w:rsidP="002B3958">
      <w:pPr>
        <w:pStyle w:val="FootnoteText"/>
        <w:rPr>
          <w:sz w:val="18"/>
          <w:szCs w:val="18"/>
        </w:rPr>
      </w:pPr>
      <w:r w:rsidRPr="003C5AB0">
        <w:rPr>
          <w:rStyle w:val="FootnoteReference"/>
          <w:sz w:val="18"/>
          <w:szCs w:val="18"/>
        </w:rPr>
        <w:footnoteRef/>
      </w:r>
      <w:r w:rsidRPr="003C5AB0">
        <w:rPr>
          <w:sz w:val="18"/>
          <w:szCs w:val="18"/>
        </w:rPr>
        <w:t xml:space="preserve"> Gordon</w:t>
      </w:r>
      <w:r w:rsidR="009758AD"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_Ref191563650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8</w:t>
      </w:r>
      <w:r w:rsidR="0005095F" w:rsidRPr="003C5AB0">
        <w:rPr>
          <w:sz w:val="18"/>
          <w:szCs w:val="18"/>
        </w:rPr>
        <w:fldChar w:fldCharType="end"/>
      </w:r>
      <w:r w:rsidR="009758AD" w:rsidRPr="003C5AB0">
        <w:rPr>
          <w:sz w:val="18"/>
          <w:szCs w:val="18"/>
        </w:rPr>
        <w:t xml:space="preserve">, at </w:t>
      </w:r>
      <w:r w:rsidRPr="003C5AB0">
        <w:rPr>
          <w:sz w:val="18"/>
          <w:szCs w:val="18"/>
        </w:rPr>
        <w:t>9</w:t>
      </w:r>
      <w:r w:rsidR="009758AD" w:rsidRPr="003C5AB0">
        <w:rPr>
          <w:sz w:val="18"/>
          <w:szCs w:val="18"/>
        </w:rPr>
        <w:t>.</w:t>
      </w:r>
    </w:p>
  </w:footnote>
  <w:footnote w:id="115">
    <w:p w14:paraId="08CDFC4C" w14:textId="4681B6EC" w:rsidR="002B3958" w:rsidRPr="003C5AB0" w:rsidRDefault="002B3958">
      <w:pPr>
        <w:pStyle w:val="FootnoteText"/>
        <w:rPr>
          <w:i/>
          <w:iCs/>
          <w:sz w:val="18"/>
          <w:szCs w:val="18"/>
        </w:rPr>
      </w:pPr>
      <w:r w:rsidRPr="003C5AB0">
        <w:rPr>
          <w:rStyle w:val="FootnoteReference"/>
          <w:sz w:val="18"/>
          <w:szCs w:val="18"/>
        </w:rPr>
        <w:footnoteRef/>
      </w:r>
      <w:r w:rsidRPr="003C5AB0">
        <w:rPr>
          <w:sz w:val="18"/>
          <w:szCs w:val="18"/>
        </w:rPr>
        <w:t xml:space="preserve"> </w:t>
      </w:r>
      <w:r w:rsidR="009758AD" w:rsidRPr="003C5AB0">
        <w:rPr>
          <w:i/>
          <w:iCs/>
          <w:sz w:val="18"/>
          <w:szCs w:val="18"/>
        </w:rPr>
        <w:t>Id.</w:t>
      </w:r>
    </w:p>
  </w:footnote>
  <w:footnote w:id="116">
    <w:p w14:paraId="2F442D8C" w14:textId="2FD5382F"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7E24CE" w:rsidRPr="003C5AB0">
        <w:rPr>
          <w:color w:val="000000"/>
          <w:sz w:val="18"/>
          <w:szCs w:val="18"/>
        </w:rPr>
        <w:t>CEI,</w:t>
      </w:r>
      <w:r w:rsidR="007E24CE" w:rsidRPr="003C5AB0">
        <w:rPr>
          <w:rStyle w:val="apple-converted-space"/>
          <w:color w:val="000000"/>
          <w:sz w:val="18"/>
          <w:szCs w:val="18"/>
        </w:rPr>
        <w:t> </w:t>
      </w:r>
      <w:r w:rsidR="007E24CE" w:rsidRPr="003C5AB0">
        <w:rPr>
          <w:color w:val="000000"/>
          <w:sz w:val="18"/>
          <w:szCs w:val="18"/>
        </w:rPr>
        <w:t>California’s economy is supported by oil and gas: CEI</w:t>
      </w:r>
      <w:r w:rsidR="007E24CE" w:rsidRPr="003C5AB0">
        <w:rPr>
          <w:rStyle w:val="apple-converted-space"/>
          <w:color w:val="000000"/>
          <w:sz w:val="18"/>
          <w:szCs w:val="18"/>
        </w:rPr>
        <w:t> </w:t>
      </w:r>
      <w:r w:rsidR="007E24CE" w:rsidRPr="003C5AB0">
        <w:rPr>
          <w:color w:val="000000"/>
          <w:sz w:val="18"/>
          <w:szCs w:val="18"/>
        </w:rPr>
        <w:t>Californians for Energy Independence</w:t>
      </w:r>
      <w:r w:rsidR="007E24CE" w:rsidRPr="003C5AB0">
        <w:rPr>
          <w:rStyle w:val="apple-converted-space"/>
          <w:color w:val="000000"/>
          <w:sz w:val="18"/>
          <w:szCs w:val="18"/>
        </w:rPr>
        <w:t> </w:t>
      </w:r>
      <w:r w:rsidR="007E24CE" w:rsidRPr="003C5AB0">
        <w:rPr>
          <w:color w:val="000000"/>
          <w:sz w:val="18"/>
          <w:szCs w:val="18"/>
        </w:rPr>
        <w:t xml:space="preserve">(2023), </w:t>
      </w:r>
      <w:hyperlink r:id="rId26" w:anchor=":~:text=California%20produces%20463%2C000%20barrels%20of,import%20almost%203%20times%20more" w:history="1">
        <w:r w:rsidR="00AC7B07" w:rsidRPr="003C5AB0">
          <w:rPr>
            <w:rStyle w:val="Hyperlink"/>
            <w:sz w:val="18"/>
            <w:szCs w:val="18"/>
          </w:rPr>
          <w:t>https://www.energyindependenceca.com/californias-economy-is-powered-by-oil-and-gas/#:~:text=California%20produces%20463%2C000%20barrels%20of,import%20almost%203%20times%20more</w:t>
        </w:r>
      </w:hyperlink>
      <w:r w:rsidR="007E24CE" w:rsidRPr="003C5AB0">
        <w:rPr>
          <w:color w:val="000000"/>
          <w:sz w:val="18"/>
          <w:szCs w:val="18"/>
        </w:rPr>
        <w:t>.</w:t>
      </w:r>
      <w:r w:rsidR="00AC7B07" w:rsidRPr="003C5AB0">
        <w:rPr>
          <w:rStyle w:val="apple-converted-space"/>
          <w:color w:val="000000"/>
          <w:sz w:val="18"/>
          <w:szCs w:val="18"/>
        </w:rPr>
        <w:t xml:space="preserve"> </w:t>
      </w:r>
    </w:p>
  </w:footnote>
  <w:footnote w:id="117">
    <w:p w14:paraId="659424DB" w14:textId="216543D6"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7E24CE" w:rsidRPr="003C5AB0">
        <w:rPr>
          <w:color w:val="000000"/>
          <w:sz w:val="18"/>
          <w:szCs w:val="18"/>
        </w:rPr>
        <w:t>California Energy Commission,</w:t>
      </w:r>
      <w:r w:rsidR="007E24CE" w:rsidRPr="003C5AB0">
        <w:rPr>
          <w:rStyle w:val="apple-converted-space"/>
          <w:color w:val="000000"/>
          <w:sz w:val="18"/>
          <w:szCs w:val="18"/>
        </w:rPr>
        <w:t> </w:t>
      </w:r>
      <w:r w:rsidR="007E24CE" w:rsidRPr="003C5AB0">
        <w:rPr>
          <w:color w:val="000000"/>
          <w:sz w:val="18"/>
          <w:szCs w:val="18"/>
        </w:rPr>
        <w:t>Annual oil supply sources to California refineries</w:t>
      </w:r>
      <w:r w:rsidR="007E24CE" w:rsidRPr="003C5AB0">
        <w:rPr>
          <w:rStyle w:val="apple-converted-space"/>
          <w:color w:val="000000"/>
          <w:sz w:val="18"/>
          <w:szCs w:val="18"/>
        </w:rPr>
        <w:t> </w:t>
      </w:r>
      <w:r w:rsidR="007E24CE" w:rsidRPr="003C5AB0">
        <w:rPr>
          <w:color w:val="000000"/>
          <w:sz w:val="18"/>
          <w:szCs w:val="18"/>
        </w:rPr>
        <w:t xml:space="preserve">California Energy Commission (2024), </w:t>
      </w:r>
      <w:hyperlink r:id="rId27" w:history="1">
        <w:r w:rsidR="00AC7B07" w:rsidRPr="003C5AB0">
          <w:rPr>
            <w:rStyle w:val="Hyperlink"/>
            <w:sz w:val="18"/>
            <w:szCs w:val="18"/>
          </w:rPr>
          <w:t>https://www.energy.ca.gov/data-reports/energy-almanac/californias-petroleum-market/annual-oil-supply-sources-california</w:t>
        </w:r>
      </w:hyperlink>
      <w:r w:rsidR="007E24CE" w:rsidRPr="003C5AB0">
        <w:rPr>
          <w:color w:val="000000"/>
          <w:sz w:val="18"/>
          <w:szCs w:val="18"/>
        </w:rPr>
        <w:t>.</w:t>
      </w:r>
      <w:r w:rsidR="00AC7B07" w:rsidRPr="003C5AB0">
        <w:rPr>
          <w:color w:val="000000"/>
          <w:sz w:val="18"/>
          <w:szCs w:val="18"/>
        </w:rPr>
        <w:t xml:space="preserve"> </w:t>
      </w:r>
    </w:p>
  </w:footnote>
  <w:footnote w:id="118">
    <w:p w14:paraId="1F64E61D" w14:textId="185B78D6" w:rsidR="00E4279F" w:rsidRPr="003C5AB0" w:rsidRDefault="00E4279F" w:rsidP="00E4279F">
      <w:pPr>
        <w:pStyle w:val="FootnoteText"/>
        <w:rPr>
          <w:sz w:val="18"/>
          <w:szCs w:val="18"/>
        </w:rPr>
      </w:pPr>
      <w:r w:rsidRPr="003C5AB0">
        <w:rPr>
          <w:rStyle w:val="FootnoteReference"/>
          <w:sz w:val="18"/>
          <w:szCs w:val="18"/>
        </w:rPr>
        <w:footnoteRef/>
      </w:r>
      <w:r w:rsidRPr="003C5AB0">
        <w:rPr>
          <w:sz w:val="18"/>
          <w:szCs w:val="18"/>
        </w:rPr>
        <w:t xml:space="preserve"> </w:t>
      </w:r>
      <w:r w:rsidRPr="003C5AB0">
        <w:rPr>
          <w:color w:val="000000"/>
          <w:sz w:val="18"/>
          <w:szCs w:val="18"/>
        </w:rPr>
        <w:t>CFACT,</w:t>
      </w:r>
      <w:r w:rsidRPr="003C5AB0">
        <w:rPr>
          <w:rStyle w:val="apple-converted-space"/>
          <w:color w:val="000000"/>
          <w:sz w:val="18"/>
          <w:szCs w:val="18"/>
        </w:rPr>
        <w:t> </w:t>
      </w:r>
      <w:r w:rsidRPr="003C5AB0">
        <w:rPr>
          <w:color w:val="000000"/>
          <w:sz w:val="18"/>
          <w:szCs w:val="18"/>
        </w:rPr>
        <w:t>California ranks #1 in sending dollars abroad for Energy</w:t>
      </w:r>
      <w:r w:rsidRPr="003C5AB0">
        <w:rPr>
          <w:rStyle w:val="apple-converted-space"/>
          <w:color w:val="000000"/>
          <w:sz w:val="18"/>
          <w:szCs w:val="18"/>
        </w:rPr>
        <w:t> </w:t>
      </w:r>
      <w:r w:rsidRPr="003C5AB0">
        <w:rPr>
          <w:color w:val="000000"/>
          <w:sz w:val="18"/>
          <w:szCs w:val="18"/>
        </w:rPr>
        <w:t>CFACT</w:t>
      </w:r>
      <w:r w:rsidRPr="003C5AB0">
        <w:rPr>
          <w:rStyle w:val="apple-converted-space"/>
          <w:color w:val="000000"/>
          <w:sz w:val="18"/>
          <w:szCs w:val="18"/>
        </w:rPr>
        <w:t> </w:t>
      </w:r>
      <w:r w:rsidRPr="003C5AB0">
        <w:rPr>
          <w:color w:val="000000"/>
          <w:sz w:val="18"/>
          <w:szCs w:val="18"/>
        </w:rPr>
        <w:t xml:space="preserve">(2018), </w:t>
      </w:r>
      <w:hyperlink r:id="rId28" w:history="1">
        <w:r w:rsidR="00AC7B07" w:rsidRPr="003C5AB0">
          <w:rPr>
            <w:rStyle w:val="Hyperlink"/>
            <w:sz w:val="18"/>
            <w:szCs w:val="18"/>
          </w:rPr>
          <w:t>https://www.cfact.org/2018/10/09/california-ranks-1-in-sending-dollars-abroad-for-energy/</w:t>
        </w:r>
      </w:hyperlink>
      <w:r w:rsidRPr="003C5AB0">
        <w:rPr>
          <w:color w:val="000000"/>
          <w:sz w:val="18"/>
          <w:szCs w:val="18"/>
        </w:rPr>
        <w:t>.</w:t>
      </w:r>
      <w:r w:rsidR="00AC7B07" w:rsidRPr="003C5AB0">
        <w:rPr>
          <w:color w:val="000000"/>
          <w:sz w:val="18"/>
          <w:szCs w:val="18"/>
        </w:rPr>
        <w:t xml:space="preserve"> </w:t>
      </w:r>
    </w:p>
  </w:footnote>
  <w:footnote w:id="119">
    <w:p w14:paraId="7F56CCF5" w14:textId="1C484D7F"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E4279F" w:rsidRPr="003C5AB0">
        <w:rPr>
          <w:i/>
          <w:iCs/>
          <w:sz w:val="18"/>
          <w:szCs w:val="18"/>
        </w:rPr>
        <w:t>Id.</w:t>
      </w:r>
    </w:p>
  </w:footnote>
  <w:footnote w:id="120">
    <w:p w14:paraId="1F22003F" w14:textId="5113C717"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7E24CE" w:rsidRPr="003C5AB0">
        <w:rPr>
          <w:color w:val="000000"/>
          <w:sz w:val="18"/>
          <w:szCs w:val="18"/>
        </w:rPr>
        <w:t>EIA,</w:t>
      </w:r>
      <w:r w:rsidR="007E24CE" w:rsidRPr="003C5AB0">
        <w:rPr>
          <w:rStyle w:val="apple-converted-space"/>
          <w:color w:val="000000"/>
          <w:sz w:val="18"/>
          <w:szCs w:val="18"/>
        </w:rPr>
        <w:t> </w:t>
      </w:r>
      <w:r w:rsidR="007E24CE" w:rsidRPr="003C5AB0">
        <w:rPr>
          <w:color w:val="000000"/>
          <w:sz w:val="18"/>
          <w:szCs w:val="18"/>
        </w:rPr>
        <w:t>U.S. Energy Information Administration - EIA - independent statistics and analysis</w:t>
      </w:r>
      <w:r w:rsidR="007E24CE" w:rsidRPr="003C5AB0">
        <w:rPr>
          <w:rStyle w:val="apple-converted-space"/>
          <w:color w:val="000000"/>
          <w:sz w:val="18"/>
          <w:szCs w:val="18"/>
        </w:rPr>
        <w:t> </w:t>
      </w:r>
      <w:r w:rsidR="007E24CE" w:rsidRPr="003C5AB0">
        <w:rPr>
          <w:color w:val="000000"/>
          <w:sz w:val="18"/>
          <w:szCs w:val="18"/>
        </w:rPr>
        <w:t>EIA</w:t>
      </w:r>
      <w:r w:rsidR="007E24CE" w:rsidRPr="003C5AB0">
        <w:rPr>
          <w:rStyle w:val="apple-converted-space"/>
          <w:color w:val="000000"/>
          <w:sz w:val="18"/>
          <w:szCs w:val="18"/>
        </w:rPr>
        <w:t> </w:t>
      </w:r>
      <w:r w:rsidR="007E24CE" w:rsidRPr="003C5AB0">
        <w:rPr>
          <w:color w:val="000000"/>
          <w:sz w:val="18"/>
          <w:szCs w:val="18"/>
        </w:rPr>
        <w:t xml:space="preserve">(2024), </w:t>
      </w:r>
      <w:hyperlink r:id="rId29" w:history="1">
        <w:r w:rsidR="00AC7B07" w:rsidRPr="003C5AB0">
          <w:rPr>
            <w:rStyle w:val="Hyperlink"/>
            <w:sz w:val="18"/>
            <w:szCs w:val="18"/>
          </w:rPr>
          <w:t>https://www.eia.gov/state/?sid=CA</w:t>
        </w:r>
      </w:hyperlink>
      <w:r w:rsidR="007E24CE" w:rsidRPr="003C5AB0">
        <w:rPr>
          <w:color w:val="000000"/>
          <w:sz w:val="18"/>
          <w:szCs w:val="18"/>
        </w:rPr>
        <w:t>.</w:t>
      </w:r>
      <w:r w:rsidR="00AC7B07" w:rsidRPr="003C5AB0">
        <w:rPr>
          <w:color w:val="000000"/>
          <w:sz w:val="18"/>
          <w:szCs w:val="18"/>
        </w:rPr>
        <w:t xml:space="preserve"> </w:t>
      </w:r>
      <w:r w:rsidR="007E24CE" w:rsidRPr="003C5AB0">
        <w:rPr>
          <w:rStyle w:val="apple-converted-space"/>
          <w:color w:val="000000"/>
          <w:sz w:val="18"/>
          <w:szCs w:val="18"/>
        </w:rPr>
        <w:t> </w:t>
      </w:r>
    </w:p>
  </w:footnote>
  <w:footnote w:id="121">
    <w:p w14:paraId="76703D29" w14:textId="1763C335"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92" w:name="OLE_LINK175"/>
      <w:r w:rsidR="00BB0689" w:rsidRPr="003C5AB0">
        <w:rPr>
          <w:color w:val="000000"/>
          <w:sz w:val="18"/>
          <w:szCs w:val="18"/>
        </w:rPr>
        <w:t>CalEPA,</w:t>
      </w:r>
      <w:r w:rsidR="00BB0689" w:rsidRPr="003C5AB0">
        <w:rPr>
          <w:rStyle w:val="apple-converted-space"/>
          <w:color w:val="000000"/>
          <w:sz w:val="18"/>
          <w:szCs w:val="18"/>
        </w:rPr>
        <w:t> </w:t>
      </w:r>
      <w:r w:rsidR="00BB0689" w:rsidRPr="003C5AB0">
        <w:rPr>
          <w:color w:val="000000"/>
          <w:sz w:val="18"/>
          <w:szCs w:val="18"/>
        </w:rPr>
        <w:t>California Climate Dashboard</w:t>
      </w:r>
      <w:r w:rsidR="00BB0689" w:rsidRPr="003C5AB0">
        <w:rPr>
          <w:rStyle w:val="apple-converted-space"/>
          <w:color w:val="000000"/>
          <w:sz w:val="18"/>
          <w:szCs w:val="18"/>
        </w:rPr>
        <w:t> </w:t>
      </w:r>
      <w:r w:rsidR="00BB0689" w:rsidRPr="003C5AB0">
        <w:rPr>
          <w:color w:val="000000"/>
          <w:sz w:val="18"/>
          <w:szCs w:val="18"/>
        </w:rPr>
        <w:t xml:space="preserve">(2024), </w:t>
      </w:r>
      <w:hyperlink r:id="rId30" w:history="1">
        <w:r w:rsidR="00AC7B07" w:rsidRPr="003C5AB0">
          <w:rPr>
            <w:rStyle w:val="Hyperlink"/>
            <w:sz w:val="18"/>
            <w:szCs w:val="18"/>
          </w:rPr>
          <w:t>https://calepa.ca.gov/climate-dashboard/</w:t>
        </w:r>
      </w:hyperlink>
      <w:r w:rsidR="00BB0689" w:rsidRPr="003C5AB0">
        <w:rPr>
          <w:color w:val="000000"/>
          <w:sz w:val="18"/>
          <w:szCs w:val="18"/>
        </w:rPr>
        <w:t>.</w:t>
      </w:r>
      <w:r w:rsidR="00AC7B07" w:rsidRPr="003C5AB0">
        <w:rPr>
          <w:rStyle w:val="apple-converted-space"/>
          <w:color w:val="000000"/>
          <w:sz w:val="18"/>
          <w:szCs w:val="18"/>
        </w:rPr>
        <w:t xml:space="preserve"> </w:t>
      </w:r>
      <w:bookmarkEnd w:id="92"/>
    </w:p>
  </w:footnote>
  <w:footnote w:id="122">
    <w:p w14:paraId="7A72A272" w14:textId="580EC50A" w:rsidR="0094563B" w:rsidRPr="003C5AB0" w:rsidRDefault="0094563B" w:rsidP="0094563B">
      <w:pPr>
        <w:pStyle w:val="FootnoteText"/>
        <w:rPr>
          <w:sz w:val="18"/>
          <w:szCs w:val="18"/>
        </w:rPr>
      </w:pPr>
      <w:r w:rsidRPr="003C5AB0">
        <w:rPr>
          <w:rStyle w:val="FootnoteReference"/>
          <w:sz w:val="18"/>
          <w:szCs w:val="18"/>
        </w:rPr>
        <w:footnoteRef/>
      </w:r>
      <w:r w:rsidRPr="003C5AB0">
        <w:rPr>
          <w:sz w:val="18"/>
          <w:szCs w:val="18"/>
        </w:rPr>
        <w:t xml:space="preserve"> Gadinis</w:t>
      </w:r>
      <w:r w:rsidR="00BB0689" w:rsidRPr="003C5AB0">
        <w:rPr>
          <w:sz w:val="18"/>
          <w:szCs w:val="18"/>
        </w:rPr>
        <w:t xml:space="preserve">, </w:t>
      </w:r>
      <w:r w:rsidR="003507F9"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_Ref191563183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7</w:t>
      </w:r>
      <w:r w:rsidR="0005095F" w:rsidRPr="003C5AB0">
        <w:rPr>
          <w:sz w:val="18"/>
          <w:szCs w:val="18"/>
        </w:rPr>
        <w:fldChar w:fldCharType="end"/>
      </w:r>
      <w:r w:rsidR="00BB0689" w:rsidRPr="003C5AB0">
        <w:rPr>
          <w:sz w:val="18"/>
          <w:szCs w:val="18"/>
        </w:rPr>
        <w:t>,</w:t>
      </w:r>
      <w:r w:rsidRPr="003C5AB0">
        <w:rPr>
          <w:sz w:val="18"/>
          <w:szCs w:val="18"/>
        </w:rPr>
        <w:t xml:space="preserve"> </w:t>
      </w:r>
      <w:r w:rsidR="00BB0689" w:rsidRPr="003C5AB0">
        <w:rPr>
          <w:sz w:val="18"/>
          <w:szCs w:val="18"/>
        </w:rPr>
        <w:t xml:space="preserve">at </w:t>
      </w:r>
      <w:r w:rsidRPr="003C5AB0">
        <w:rPr>
          <w:sz w:val="18"/>
          <w:szCs w:val="18"/>
        </w:rPr>
        <w:t>21</w:t>
      </w:r>
      <w:r w:rsidR="00BB0689" w:rsidRPr="003C5AB0">
        <w:rPr>
          <w:sz w:val="18"/>
          <w:szCs w:val="18"/>
        </w:rPr>
        <w:t>.</w:t>
      </w:r>
    </w:p>
  </w:footnote>
  <w:footnote w:id="123">
    <w:p w14:paraId="5D93EB3C" w14:textId="71DF61F9" w:rsidR="00086249" w:rsidRPr="003C5AB0" w:rsidRDefault="00086249">
      <w:pPr>
        <w:pStyle w:val="FootnoteText"/>
        <w:rPr>
          <w:sz w:val="18"/>
          <w:szCs w:val="18"/>
        </w:rPr>
      </w:pPr>
      <w:r w:rsidRPr="003C5AB0">
        <w:rPr>
          <w:rStyle w:val="FootnoteReference"/>
          <w:sz w:val="18"/>
          <w:szCs w:val="18"/>
        </w:rPr>
        <w:footnoteRef/>
      </w:r>
      <w:r w:rsidRPr="003C5AB0">
        <w:rPr>
          <w:sz w:val="18"/>
          <w:szCs w:val="18"/>
        </w:rPr>
        <w:t xml:space="preserve"> </w:t>
      </w:r>
      <w:r w:rsidR="00BB0689" w:rsidRPr="003C5AB0">
        <w:rPr>
          <w:color w:val="000000"/>
          <w:sz w:val="18"/>
          <w:szCs w:val="18"/>
        </w:rPr>
        <w:t>Lamar Johnson &amp; Zoya Mirza,</w:t>
      </w:r>
      <w:r w:rsidR="00BB0689" w:rsidRPr="003C5AB0">
        <w:rPr>
          <w:rStyle w:val="apple-converted-space"/>
          <w:color w:val="000000"/>
          <w:sz w:val="18"/>
          <w:szCs w:val="18"/>
        </w:rPr>
        <w:t> </w:t>
      </w:r>
      <w:r w:rsidR="00BB0689" w:rsidRPr="003C5AB0">
        <w:rPr>
          <w:color w:val="000000"/>
          <w:sz w:val="18"/>
          <w:szCs w:val="18"/>
        </w:rPr>
        <w:t>The ESG battle: 4 key states shaping regulatory discourse in the US</w:t>
      </w:r>
      <w:r w:rsidR="00BB0689" w:rsidRPr="003C5AB0">
        <w:rPr>
          <w:rStyle w:val="apple-converted-space"/>
          <w:color w:val="000000"/>
          <w:sz w:val="18"/>
          <w:szCs w:val="18"/>
        </w:rPr>
        <w:t> </w:t>
      </w:r>
      <w:r w:rsidR="00BB0689" w:rsidRPr="003C5AB0">
        <w:rPr>
          <w:color w:val="000000"/>
          <w:sz w:val="18"/>
          <w:szCs w:val="18"/>
        </w:rPr>
        <w:t>ESG Dive</w:t>
      </w:r>
      <w:r w:rsidR="00BB0689" w:rsidRPr="003C5AB0">
        <w:rPr>
          <w:rStyle w:val="apple-converted-space"/>
          <w:color w:val="000000"/>
          <w:sz w:val="18"/>
          <w:szCs w:val="18"/>
        </w:rPr>
        <w:t> </w:t>
      </w:r>
      <w:r w:rsidR="00BB0689" w:rsidRPr="003C5AB0">
        <w:rPr>
          <w:color w:val="000000"/>
          <w:sz w:val="18"/>
          <w:szCs w:val="18"/>
        </w:rPr>
        <w:t xml:space="preserve">(2023), </w:t>
      </w:r>
      <w:hyperlink r:id="rId31" w:history="1">
        <w:r w:rsidR="009449BE" w:rsidRPr="003C5AB0">
          <w:rPr>
            <w:rStyle w:val="Hyperlink"/>
            <w:sz w:val="18"/>
            <w:szCs w:val="18"/>
          </w:rPr>
          <w:t>https://www.esgdive.com/news/4-key-states-shaping-us-esg-regulatory-discourse-analysis-FL-TX-CA-NY/700047/</w:t>
        </w:r>
      </w:hyperlink>
      <w:r w:rsidR="009449BE" w:rsidRPr="003C5AB0">
        <w:rPr>
          <w:color w:val="000000"/>
          <w:sz w:val="18"/>
          <w:szCs w:val="18"/>
        </w:rPr>
        <w:t xml:space="preserve"> </w:t>
      </w:r>
      <w:r w:rsidR="00BB0689" w:rsidRPr="003C5AB0">
        <w:rPr>
          <w:color w:val="000000"/>
          <w:sz w:val="18"/>
          <w:szCs w:val="18"/>
        </w:rPr>
        <w:t>.</w:t>
      </w:r>
    </w:p>
  </w:footnote>
  <w:footnote w:id="124">
    <w:p w14:paraId="446D6281" w14:textId="4BF70EF4" w:rsidR="00086249" w:rsidRPr="003C5AB0" w:rsidRDefault="00086249">
      <w:pPr>
        <w:pStyle w:val="FootnoteText"/>
        <w:rPr>
          <w:sz w:val="18"/>
          <w:szCs w:val="18"/>
        </w:rPr>
      </w:pPr>
      <w:r w:rsidRPr="003C5AB0">
        <w:rPr>
          <w:rStyle w:val="FootnoteReference"/>
          <w:sz w:val="18"/>
          <w:szCs w:val="18"/>
        </w:rPr>
        <w:footnoteRef/>
      </w:r>
      <w:r w:rsidR="00BB0689" w:rsidRPr="003C5AB0">
        <w:rPr>
          <w:color w:val="000000"/>
          <w:sz w:val="18"/>
          <w:szCs w:val="18"/>
        </w:rPr>
        <w:t>Toni Allen,</w:t>
      </w:r>
      <w:r w:rsidR="00BB0689" w:rsidRPr="003C5AB0">
        <w:rPr>
          <w:rStyle w:val="apple-converted-space"/>
          <w:color w:val="000000"/>
          <w:sz w:val="18"/>
          <w:szCs w:val="18"/>
        </w:rPr>
        <w:t> </w:t>
      </w:r>
      <w:r w:rsidR="00BB0689" w:rsidRPr="003C5AB0">
        <w:rPr>
          <w:color w:val="000000"/>
          <w:sz w:val="18"/>
          <w:szCs w:val="18"/>
        </w:rPr>
        <w:t>US states fossil fuel consumption: These 15 states are most dependent</w:t>
      </w:r>
      <w:r w:rsidR="00BB0689" w:rsidRPr="003C5AB0">
        <w:rPr>
          <w:rStyle w:val="apple-converted-space"/>
          <w:color w:val="000000"/>
          <w:sz w:val="18"/>
          <w:szCs w:val="18"/>
        </w:rPr>
        <w:t> </w:t>
      </w:r>
      <w:r w:rsidR="00BB0689" w:rsidRPr="003C5AB0">
        <w:rPr>
          <w:color w:val="000000"/>
          <w:sz w:val="18"/>
          <w:szCs w:val="18"/>
        </w:rPr>
        <w:t>Commodity.com</w:t>
      </w:r>
      <w:r w:rsidR="00BB0689" w:rsidRPr="003C5AB0">
        <w:rPr>
          <w:rStyle w:val="apple-converted-space"/>
          <w:color w:val="000000"/>
          <w:sz w:val="18"/>
          <w:szCs w:val="18"/>
        </w:rPr>
        <w:t> </w:t>
      </w:r>
      <w:r w:rsidR="00BB0689" w:rsidRPr="003C5AB0">
        <w:rPr>
          <w:color w:val="000000"/>
          <w:sz w:val="18"/>
          <w:szCs w:val="18"/>
        </w:rPr>
        <w:t xml:space="preserve">(2022), </w:t>
      </w:r>
      <w:hyperlink r:id="rId32" w:history="1">
        <w:r w:rsidR="00BB0689" w:rsidRPr="003C5AB0">
          <w:rPr>
            <w:rStyle w:val="Hyperlink"/>
            <w:sz w:val="18"/>
            <w:szCs w:val="18"/>
          </w:rPr>
          <w:t>https://commodity.com/blog/states-fossil-fuels/</w:t>
        </w:r>
      </w:hyperlink>
      <w:r w:rsidR="00BB0689" w:rsidRPr="003C5AB0">
        <w:rPr>
          <w:color w:val="000000"/>
          <w:sz w:val="18"/>
          <w:szCs w:val="18"/>
        </w:rPr>
        <w:t xml:space="preserve">; </w:t>
      </w:r>
      <w:r w:rsidR="00BB0689" w:rsidRPr="003C5AB0">
        <w:rPr>
          <w:i/>
          <w:iCs/>
          <w:color w:val="000000"/>
          <w:sz w:val="18"/>
          <w:szCs w:val="18"/>
        </w:rPr>
        <w:t>See</w:t>
      </w:r>
      <w:r w:rsidR="00BB0689" w:rsidRPr="003C5AB0">
        <w:rPr>
          <w:color w:val="000000"/>
          <w:sz w:val="18"/>
          <w:szCs w:val="18"/>
        </w:rPr>
        <w:t xml:space="preserve"> U.S. states most dependent on fossil fuels</w:t>
      </w:r>
      <w:r w:rsidR="00BB0689" w:rsidRPr="003C5AB0">
        <w:rPr>
          <w:rStyle w:val="apple-converted-space"/>
          <w:color w:val="000000"/>
          <w:sz w:val="18"/>
          <w:szCs w:val="18"/>
        </w:rPr>
        <w:t> </w:t>
      </w:r>
      <w:r w:rsidR="00BB0689" w:rsidRPr="003C5AB0">
        <w:rPr>
          <w:color w:val="000000"/>
          <w:sz w:val="18"/>
          <w:szCs w:val="18"/>
        </w:rPr>
        <w:t>Global Trade Magazine</w:t>
      </w:r>
      <w:r w:rsidR="00BB0689" w:rsidRPr="003C5AB0">
        <w:rPr>
          <w:rStyle w:val="apple-converted-space"/>
          <w:color w:val="000000"/>
          <w:sz w:val="18"/>
          <w:szCs w:val="18"/>
        </w:rPr>
        <w:t> </w:t>
      </w:r>
      <w:r w:rsidR="00BB0689" w:rsidRPr="003C5AB0">
        <w:rPr>
          <w:color w:val="000000"/>
          <w:sz w:val="18"/>
          <w:szCs w:val="18"/>
        </w:rPr>
        <w:t xml:space="preserve">(2021), </w:t>
      </w:r>
      <w:hyperlink r:id="rId33" w:history="1">
        <w:r w:rsidR="009449BE" w:rsidRPr="003C5AB0">
          <w:rPr>
            <w:rStyle w:val="Hyperlink"/>
            <w:sz w:val="18"/>
            <w:szCs w:val="18"/>
          </w:rPr>
          <w:t>https://www.globaltrademag.com/u-s-states-most-dependent-on-fossil-fuels/</w:t>
        </w:r>
      </w:hyperlink>
      <w:r w:rsidR="009449BE" w:rsidRPr="003C5AB0">
        <w:rPr>
          <w:color w:val="000000"/>
          <w:sz w:val="18"/>
          <w:szCs w:val="18"/>
        </w:rPr>
        <w:t xml:space="preserve"> </w:t>
      </w:r>
      <w:r w:rsidR="00BB0689" w:rsidRPr="003C5AB0">
        <w:rPr>
          <w:color w:val="000000"/>
          <w:sz w:val="18"/>
          <w:szCs w:val="18"/>
        </w:rPr>
        <w:t>.</w:t>
      </w:r>
    </w:p>
  </w:footnote>
  <w:footnote w:id="125">
    <w:p w14:paraId="408D578C" w14:textId="08DB66AF" w:rsidR="00086249" w:rsidRPr="003C5AB0" w:rsidRDefault="00086249">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126">
    <w:p w14:paraId="34E66E8D" w14:textId="354E8EB4" w:rsidR="000578C4" w:rsidRPr="003C5AB0" w:rsidRDefault="000578C4" w:rsidP="000578C4">
      <w:pPr>
        <w:pStyle w:val="FootnoteText"/>
        <w:rPr>
          <w:sz w:val="18"/>
          <w:szCs w:val="18"/>
        </w:rPr>
      </w:pPr>
      <w:r w:rsidRPr="003C5AB0">
        <w:rPr>
          <w:rStyle w:val="FootnoteReference"/>
          <w:sz w:val="18"/>
          <w:szCs w:val="18"/>
        </w:rPr>
        <w:footnoteRef/>
      </w:r>
      <w:r w:rsidR="00FC650C" w:rsidRPr="003C5AB0">
        <w:rPr>
          <w:color w:val="000000"/>
          <w:sz w:val="18"/>
          <w:szCs w:val="18"/>
        </w:rPr>
        <w:t>West Virginia’s abundant natural gas and oil resources provide nearly $13 billion in economic, Trade &amp; Job Benefits,</w:t>
      </w:r>
      <w:r w:rsidR="00FC650C" w:rsidRPr="003C5AB0">
        <w:rPr>
          <w:rStyle w:val="apple-converted-space"/>
          <w:color w:val="000000"/>
          <w:sz w:val="18"/>
          <w:szCs w:val="18"/>
        </w:rPr>
        <w:t> </w:t>
      </w:r>
      <w:r w:rsidR="00FC650C" w:rsidRPr="003C5AB0">
        <w:rPr>
          <w:color w:val="000000"/>
          <w:sz w:val="18"/>
          <w:szCs w:val="18"/>
        </w:rPr>
        <w:t xml:space="preserve">Energy API, </w:t>
      </w:r>
      <w:hyperlink r:id="rId34" w:history="1">
        <w:r w:rsidR="00FC650C" w:rsidRPr="003C5AB0">
          <w:rPr>
            <w:rStyle w:val="Hyperlink"/>
            <w:sz w:val="18"/>
            <w:szCs w:val="18"/>
          </w:rPr>
          <w:t>https://www.api.org/news-policy-and-issues/news/2023/05/16/api-pwc-wv-2023?utm.com</w:t>
        </w:r>
      </w:hyperlink>
      <w:r w:rsidR="00FC650C" w:rsidRPr="003C5AB0">
        <w:rPr>
          <w:color w:val="000000"/>
          <w:sz w:val="18"/>
          <w:szCs w:val="18"/>
        </w:rPr>
        <w:t xml:space="preserve">; </w:t>
      </w:r>
      <w:r w:rsidR="005C76F0" w:rsidRPr="003C5AB0">
        <w:rPr>
          <w:i/>
          <w:iCs/>
          <w:color w:val="000000"/>
          <w:sz w:val="18"/>
          <w:szCs w:val="18"/>
        </w:rPr>
        <w:t>See</w:t>
      </w:r>
      <w:r w:rsidR="005C76F0" w:rsidRPr="003C5AB0">
        <w:rPr>
          <w:color w:val="000000"/>
          <w:sz w:val="18"/>
          <w:szCs w:val="18"/>
        </w:rPr>
        <w:t xml:space="preserve"> </w:t>
      </w:r>
      <w:r w:rsidR="00FC650C" w:rsidRPr="003C5AB0">
        <w:rPr>
          <w:color w:val="000000"/>
          <w:sz w:val="18"/>
          <w:szCs w:val="18"/>
        </w:rPr>
        <w:t>IEEFA,</w:t>
      </w:r>
      <w:r w:rsidR="00FC650C" w:rsidRPr="003C5AB0">
        <w:rPr>
          <w:rStyle w:val="apple-converted-space"/>
          <w:color w:val="000000"/>
          <w:sz w:val="18"/>
          <w:szCs w:val="18"/>
        </w:rPr>
        <w:t> </w:t>
      </w:r>
      <w:r w:rsidR="00FC650C" w:rsidRPr="003C5AB0">
        <w:rPr>
          <w:color w:val="000000"/>
          <w:sz w:val="18"/>
          <w:szCs w:val="18"/>
        </w:rPr>
        <w:t>The declining significance of the petrochemical industry in Louisiana</w:t>
      </w:r>
      <w:r w:rsidR="00FC650C" w:rsidRPr="003C5AB0">
        <w:rPr>
          <w:rStyle w:val="apple-converted-space"/>
          <w:color w:val="000000"/>
          <w:sz w:val="18"/>
          <w:szCs w:val="18"/>
        </w:rPr>
        <w:t> </w:t>
      </w:r>
      <w:r w:rsidR="00FC650C" w:rsidRPr="003C5AB0">
        <w:rPr>
          <w:color w:val="000000"/>
          <w:sz w:val="18"/>
          <w:szCs w:val="18"/>
        </w:rPr>
        <w:t xml:space="preserve">(2024), </w:t>
      </w:r>
      <w:hyperlink r:id="rId35" w:anchor=":~:text=Louisiana%2C%20once%20among%20the%20nation's,benefit%20from%20the%20energy%20transition" w:history="1">
        <w:r w:rsidR="009449BE" w:rsidRPr="003C5AB0">
          <w:rPr>
            <w:rStyle w:val="Hyperlink"/>
            <w:sz w:val="18"/>
            <w:szCs w:val="18"/>
          </w:rPr>
          <w:t>https://ieefa.org/resources/declining-significance-petrochemical-industry-louisiana#:~:text=Louisiana%2C%20once%20among%20the%20nation's,benefit%20from%20the%20energy%20transition</w:t>
        </w:r>
      </w:hyperlink>
      <w:r w:rsidR="009449BE" w:rsidRPr="003C5AB0">
        <w:rPr>
          <w:color w:val="000000"/>
          <w:sz w:val="18"/>
          <w:szCs w:val="18"/>
        </w:rPr>
        <w:t xml:space="preserve"> </w:t>
      </w:r>
    </w:p>
  </w:footnote>
  <w:footnote w:id="127">
    <w:p w14:paraId="058C7433" w14:textId="4F555B43" w:rsidR="00815257" w:rsidRPr="003C5AB0" w:rsidRDefault="00815257" w:rsidP="00815257">
      <w:pPr>
        <w:pStyle w:val="FootnoteText"/>
        <w:rPr>
          <w:sz w:val="18"/>
          <w:szCs w:val="18"/>
        </w:rPr>
      </w:pPr>
      <w:r w:rsidRPr="003C5AB0">
        <w:rPr>
          <w:rStyle w:val="FootnoteReference"/>
          <w:sz w:val="18"/>
          <w:szCs w:val="18"/>
        </w:rPr>
        <w:footnoteRef/>
      </w:r>
      <w:r w:rsidRPr="003C5AB0">
        <w:rPr>
          <w:sz w:val="18"/>
          <w:szCs w:val="18"/>
        </w:rPr>
        <w:t xml:space="preserve"> </w:t>
      </w:r>
      <w:r w:rsidR="00D865C5" w:rsidRPr="003C5AB0">
        <w:rPr>
          <w:sz w:val="18"/>
          <w:szCs w:val="18"/>
        </w:rPr>
        <w:t xml:space="preserve">BEA, </w:t>
      </w:r>
      <w:r w:rsidR="00D865C5" w:rsidRPr="003C5AB0">
        <w:rPr>
          <w:color w:val="000000"/>
          <w:sz w:val="18"/>
          <w:szCs w:val="18"/>
        </w:rPr>
        <w:t>GDP by State,</w:t>
      </w:r>
      <w:r w:rsidR="00D865C5" w:rsidRPr="003C5AB0">
        <w:rPr>
          <w:rStyle w:val="apple-converted-space"/>
          <w:color w:val="000000"/>
          <w:sz w:val="18"/>
          <w:szCs w:val="18"/>
        </w:rPr>
        <w:t> </w:t>
      </w:r>
      <w:r w:rsidR="00D865C5" w:rsidRPr="003C5AB0">
        <w:rPr>
          <w:color w:val="000000"/>
          <w:sz w:val="18"/>
          <w:szCs w:val="18"/>
        </w:rPr>
        <w:t>U.S. Bureau of Economic Analysis (BEA)</w:t>
      </w:r>
      <w:r w:rsidR="00D865C5" w:rsidRPr="003C5AB0">
        <w:rPr>
          <w:rStyle w:val="apple-converted-space"/>
          <w:color w:val="000000"/>
          <w:sz w:val="18"/>
          <w:szCs w:val="18"/>
        </w:rPr>
        <w:t> </w:t>
      </w:r>
      <w:r w:rsidR="00D865C5" w:rsidRPr="003C5AB0">
        <w:rPr>
          <w:color w:val="000000"/>
          <w:sz w:val="18"/>
          <w:szCs w:val="18"/>
        </w:rPr>
        <w:t>(2024), https://www.bea.gov/data/gdp/gdp-state</w:t>
      </w:r>
      <w:r w:rsidRPr="003C5AB0">
        <w:rPr>
          <w:sz w:val="18"/>
          <w:szCs w:val="18"/>
        </w:rPr>
        <w:t>;</w:t>
      </w:r>
      <w:r w:rsidR="0000678A" w:rsidRPr="003C5AB0">
        <w:rPr>
          <w:sz w:val="18"/>
          <w:szCs w:val="18"/>
        </w:rPr>
        <w:t xml:space="preserve"> </w:t>
      </w:r>
      <w:r w:rsidR="00D865C5" w:rsidRPr="003C5AB0">
        <w:rPr>
          <w:color w:val="000000"/>
          <w:sz w:val="18"/>
          <w:szCs w:val="18"/>
        </w:rPr>
        <w:t>LAEDC,</w:t>
      </w:r>
      <w:r w:rsidR="00D865C5" w:rsidRPr="003C5AB0">
        <w:rPr>
          <w:rStyle w:val="apple-converted-space"/>
          <w:color w:val="000000"/>
          <w:sz w:val="18"/>
          <w:szCs w:val="18"/>
        </w:rPr>
        <w:t> </w:t>
      </w:r>
      <w:r w:rsidR="00D865C5" w:rsidRPr="003C5AB0">
        <w:rPr>
          <w:color w:val="000000"/>
          <w:sz w:val="18"/>
          <w:szCs w:val="18"/>
        </w:rPr>
        <w:t>Oil &amp; Gas in California: The industry, its economic contribution and user industries at risk in 2017</w:t>
      </w:r>
      <w:r w:rsidR="00D865C5" w:rsidRPr="003C5AB0">
        <w:rPr>
          <w:rStyle w:val="apple-converted-space"/>
          <w:color w:val="000000"/>
          <w:sz w:val="18"/>
          <w:szCs w:val="18"/>
        </w:rPr>
        <w:t> </w:t>
      </w:r>
      <w:r w:rsidR="00D865C5" w:rsidRPr="003C5AB0">
        <w:rPr>
          <w:color w:val="000000"/>
          <w:sz w:val="18"/>
          <w:szCs w:val="18"/>
        </w:rPr>
        <w:t xml:space="preserve">(2019), </w:t>
      </w:r>
      <w:hyperlink r:id="rId36" w:history="1">
        <w:r w:rsidR="00D865C5" w:rsidRPr="003C5AB0">
          <w:rPr>
            <w:rStyle w:val="Hyperlink"/>
            <w:sz w:val="18"/>
            <w:szCs w:val="18"/>
          </w:rPr>
          <w:t>https://laedc.org/wpcms/wp-content/uploads/2022/08/LAEDC_WSPA_FINAL_20190814.pdf</w:t>
        </w:r>
      </w:hyperlink>
      <w:r w:rsidR="00D865C5" w:rsidRPr="003C5AB0">
        <w:rPr>
          <w:color w:val="000000"/>
          <w:sz w:val="18"/>
          <w:szCs w:val="18"/>
        </w:rPr>
        <w:t>.</w:t>
      </w:r>
      <w:r w:rsidR="00D865C5" w:rsidRPr="003C5AB0">
        <w:rPr>
          <w:rStyle w:val="apple-converted-space"/>
          <w:color w:val="000000"/>
          <w:sz w:val="18"/>
          <w:szCs w:val="18"/>
        </w:rPr>
        <w:t xml:space="preserve">; </w:t>
      </w:r>
      <w:r w:rsidR="005C76F0" w:rsidRPr="003C5AB0">
        <w:rPr>
          <w:rStyle w:val="apple-converted-space"/>
          <w:i/>
          <w:iCs/>
          <w:color w:val="000000"/>
          <w:sz w:val="18"/>
          <w:szCs w:val="18"/>
        </w:rPr>
        <w:t>See</w:t>
      </w:r>
      <w:r w:rsidR="005C76F0" w:rsidRPr="003C5AB0">
        <w:rPr>
          <w:rStyle w:val="apple-converted-space"/>
          <w:color w:val="000000"/>
          <w:sz w:val="18"/>
          <w:szCs w:val="18"/>
        </w:rPr>
        <w:t xml:space="preserve"> </w:t>
      </w:r>
      <w:r w:rsidR="00D865C5" w:rsidRPr="003C5AB0">
        <w:rPr>
          <w:color w:val="000000"/>
          <w:sz w:val="18"/>
          <w:szCs w:val="18"/>
        </w:rPr>
        <w:t>Texas Comptroller of Public Accounts,</w:t>
      </w:r>
      <w:r w:rsidR="00D865C5" w:rsidRPr="003C5AB0">
        <w:rPr>
          <w:rStyle w:val="apple-converted-space"/>
          <w:color w:val="000000"/>
          <w:sz w:val="18"/>
          <w:szCs w:val="18"/>
        </w:rPr>
        <w:t> </w:t>
      </w:r>
      <w:r w:rsidR="00D865C5" w:rsidRPr="003C5AB0">
        <w:rPr>
          <w:color w:val="000000"/>
          <w:sz w:val="18"/>
          <w:szCs w:val="18"/>
        </w:rPr>
        <w:t>Natural gas overview: Texas comptroller energy</w:t>
      </w:r>
      <w:r w:rsidR="00D865C5" w:rsidRPr="003C5AB0">
        <w:rPr>
          <w:rStyle w:val="apple-converted-space"/>
          <w:color w:val="000000"/>
          <w:sz w:val="18"/>
          <w:szCs w:val="18"/>
        </w:rPr>
        <w:t> </w:t>
      </w:r>
      <w:r w:rsidR="00D865C5" w:rsidRPr="003C5AB0">
        <w:rPr>
          <w:color w:val="000000"/>
          <w:sz w:val="18"/>
          <w:szCs w:val="18"/>
        </w:rPr>
        <w:t xml:space="preserve">Natural Gas Overview: Texas Comptroller Energy, </w:t>
      </w:r>
      <w:hyperlink r:id="rId37" w:anchor=":~:text=The%20industries%20of%20oil%20and,of%20state%20GDP%20in%202021" w:history="1">
        <w:r w:rsidR="009449BE" w:rsidRPr="003C5AB0">
          <w:rPr>
            <w:rStyle w:val="Hyperlink"/>
            <w:sz w:val="18"/>
            <w:szCs w:val="18"/>
          </w:rPr>
          <w:t>https://comptroller.texas.gov/economy/economic-data/energy/2023/nat-gas.php#:~:text=The%20industries%20of%20oil%20and,of%20state%20GDP%20in%202021</w:t>
        </w:r>
      </w:hyperlink>
      <w:r w:rsidR="009449BE" w:rsidRPr="003C5AB0">
        <w:rPr>
          <w:color w:val="000000"/>
          <w:sz w:val="18"/>
          <w:szCs w:val="18"/>
        </w:rPr>
        <w:t xml:space="preserve"> </w:t>
      </w:r>
      <w:r w:rsidR="00D865C5" w:rsidRPr="003C5AB0">
        <w:rPr>
          <w:rStyle w:val="apple-converted-space"/>
          <w:color w:val="000000"/>
          <w:sz w:val="18"/>
          <w:szCs w:val="18"/>
        </w:rPr>
        <w:t> </w:t>
      </w:r>
    </w:p>
  </w:footnote>
  <w:footnote w:id="128">
    <w:p w14:paraId="680815BB" w14:textId="0EB7579F" w:rsidR="008631F7" w:rsidRPr="003C5AB0" w:rsidRDefault="008631F7">
      <w:pPr>
        <w:pStyle w:val="FootnoteText"/>
        <w:rPr>
          <w:sz w:val="18"/>
          <w:szCs w:val="18"/>
        </w:rPr>
      </w:pPr>
      <w:r w:rsidRPr="003C5AB0">
        <w:rPr>
          <w:rStyle w:val="FootnoteReference"/>
          <w:sz w:val="18"/>
          <w:szCs w:val="18"/>
        </w:rPr>
        <w:footnoteRef/>
      </w:r>
      <w:r w:rsidRPr="003C5AB0">
        <w:rPr>
          <w:sz w:val="18"/>
          <w:szCs w:val="18"/>
        </w:rPr>
        <w:t xml:space="preserve"> </w:t>
      </w:r>
      <w:r w:rsidR="00F334F7" w:rsidRPr="003C5AB0">
        <w:rPr>
          <w:color w:val="000000"/>
          <w:sz w:val="18"/>
          <w:szCs w:val="18"/>
        </w:rPr>
        <w:t>TIPRO,</w:t>
      </w:r>
      <w:r w:rsidR="00F334F7" w:rsidRPr="003C5AB0">
        <w:rPr>
          <w:rStyle w:val="apple-converted-space"/>
          <w:color w:val="000000"/>
          <w:sz w:val="18"/>
          <w:szCs w:val="18"/>
        </w:rPr>
        <w:t> </w:t>
      </w:r>
      <w:r w:rsidR="00F334F7" w:rsidRPr="003C5AB0">
        <w:rPr>
          <w:color w:val="000000"/>
          <w:sz w:val="18"/>
          <w:szCs w:val="18"/>
        </w:rPr>
        <w:t>Energy-report-2024</w:t>
      </w:r>
      <w:r w:rsidR="00F334F7" w:rsidRPr="003C5AB0">
        <w:rPr>
          <w:rStyle w:val="apple-converted-space"/>
          <w:color w:val="000000"/>
          <w:sz w:val="18"/>
          <w:szCs w:val="18"/>
        </w:rPr>
        <w:t> </w:t>
      </w:r>
      <w:r w:rsidR="00F334F7" w:rsidRPr="003C5AB0">
        <w:rPr>
          <w:color w:val="000000"/>
          <w:sz w:val="18"/>
          <w:szCs w:val="18"/>
        </w:rPr>
        <w:t xml:space="preserve">(2024), </w:t>
      </w:r>
      <w:hyperlink r:id="rId38" w:history="1">
        <w:r w:rsidR="00F334F7" w:rsidRPr="003C5AB0">
          <w:rPr>
            <w:rStyle w:val="Hyperlink"/>
            <w:sz w:val="18"/>
            <w:szCs w:val="18"/>
          </w:rPr>
          <w:t>https://tipro.org/tipro-energy-report-2024/</w:t>
        </w:r>
      </w:hyperlink>
      <w:r w:rsidR="00F334F7" w:rsidRPr="003C5AB0">
        <w:rPr>
          <w:color w:val="000000"/>
          <w:sz w:val="18"/>
          <w:szCs w:val="18"/>
        </w:rPr>
        <w:t xml:space="preserve">; </w:t>
      </w:r>
    </w:p>
  </w:footnote>
  <w:footnote w:id="129">
    <w:p w14:paraId="6A337066" w14:textId="392566B5" w:rsidR="00CD3AD8" w:rsidRPr="003C5AB0" w:rsidRDefault="00CD3AD8">
      <w:pPr>
        <w:pStyle w:val="FootnoteText"/>
        <w:rPr>
          <w:sz w:val="18"/>
          <w:szCs w:val="18"/>
        </w:rPr>
      </w:pPr>
      <w:r w:rsidRPr="003C5AB0">
        <w:rPr>
          <w:rStyle w:val="FootnoteReference"/>
          <w:sz w:val="18"/>
          <w:szCs w:val="18"/>
        </w:rPr>
        <w:footnoteRef/>
      </w:r>
      <w:r w:rsidRPr="003C5AB0">
        <w:rPr>
          <w:sz w:val="18"/>
          <w:szCs w:val="18"/>
        </w:rPr>
        <w:t xml:space="preserve"> </w:t>
      </w:r>
      <w:r w:rsidR="00F334F7" w:rsidRPr="003C5AB0">
        <w:rPr>
          <w:sz w:val="18"/>
          <w:szCs w:val="18"/>
        </w:rPr>
        <w:t xml:space="preserve">LAEDC, supra note 157; API, </w:t>
      </w:r>
      <w:r w:rsidR="00F334F7" w:rsidRPr="003C5AB0">
        <w:rPr>
          <w:color w:val="000000"/>
          <w:sz w:val="18"/>
          <w:szCs w:val="18"/>
        </w:rPr>
        <w:t>How many jobs has the oil and natural gas industry created?,</w:t>
      </w:r>
      <w:r w:rsidR="00F334F7" w:rsidRPr="003C5AB0">
        <w:rPr>
          <w:rStyle w:val="apple-converted-space"/>
          <w:color w:val="000000"/>
          <w:sz w:val="18"/>
          <w:szCs w:val="18"/>
        </w:rPr>
        <w:t> </w:t>
      </w:r>
      <w:r w:rsidR="00F334F7" w:rsidRPr="003C5AB0">
        <w:rPr>
          <w:color w:val="000000"/>
          <w:sz w:val="18"/>
          <w:szCs w:val="18"/>
        </w:rPr>
        <w:t xml:space="preserve">Energy API, </w:t>
      </w:r>
      <w:hyperlink r:id="rId39" w:anchor=":~:text=Industry%20supports%209.8%20million%20jobs,U.S.%20employment%2C%20according%20to%20PwC" w:history="1">
        <w:r w:rsidR="0005791F" w:rsidRPr="003C5AB0">
          <w:rPr>
            <w:rStyle w:val="Hyperlink"/>
            <w:sz w:val="18"/>
            <w:szCs w:val="18"/>
          </w:rPr>
          <w:t>https://www.api.org/oil-and-natural-gas/energy-primers/hydraulic-fracturing/how-many-jobs-has-the-oil-and-natural-gas-industry-created#:~:text=Industry%20supports%209.8%20million%20jobs,U.S.%20employment%2C%20according%20to%20PwC</w:t>
        </w:r>
      </w:hyperlink>
      <w:r w:rsidR="0005791F" w:rsidRPr="003C5AB0">
        <w:rPr>
          <w:color w:val="000000"/>
          <w:sz w:val="18"/>
          <w:szCs w:val="18"/>
        </w:rPr>
        <w:t xml:space="preserve"> </w:t>
      </w:r>
      <w:r w:rsidR="00BD6CFB" w:rsidRPr="003C5AB0">
        <w:rPr>
          <w:sz w:val="18"/>
          <w:szCs w:val="18"/>
        </w:rPr>
        <w:t xml:space="preserve"> </w:t>
      </w:r>
    </w:p>
  </w:footnote>
  <w:footnote w:id="130">
    <w:p w14:paraId="2AE5C6E7" w14:textId="7B4D2F45" w:rsidR="00AB2AED" w:rsidRPr="004A5F86" w:rsidRDefault="00AB2AED">
      <w:pPr>
        <w:pStyle w:val="FootnoteText"/>
        <w:rPr>
          <w:sz w:val="18"/>
          <w:szCs w:val="18"/>
        </w:rPr>
      </w:pPr>
      <w:r w:rsidRPr="004A5F86">
        <w:rPr>
          <w:rStyle w:val="FootnoteReference"/>
          <w:sz w:val="18"/>
          <w:szCs w:val="18"/>
        </w:rPr>
        <w:footnoteRef/>
      </w:r>
      <w:r w:rsidRPr="004A5F86">
        <w:rPr>
          <w:sz w:val="18"/>
          <w:szCs w:val="18"/>
        </w:rPr>
        <w:t xml:space="preserve"> </w:t>
      </w:r>
      <w:r w:rsidRPr="003C5AB0">
        <w:rPr>
          <w:sz w:val="18"/>
          <w:szCs w:val="18"/>
        </w:rPr>
        <w:t xml:space="preserve">Gelter supra </w:t>
      </w:r>
      <w:proofErr w:type="gramStart"/>
      <w:r w:rsidRPr="003C5AB0">
        <w:rPr>
          <w:sz w:val="18"/>
          <w:szCs w:val="18"/>
        </w:rPr>
        <w:t>note</w:t>
      </w:r>
      <w:proofErr w:type="gramEnd"/>
      <w:r w:rsidR="0005095F" w:rsidRPr="003C5AB0">
        <w:rPr>
          <w:sz w:val="18"/>
          <w:szCs w:val="18"/>
        </w:rPr>
        <w:t xml:space="preserve"> </w:t>
      </w:r>
      <w:r w:rsidR="0005095F" w:rsidRPr="003C5AB0">
        <w:rPr>
          <w:sz w:val="18"/>
          <w:szCs w:val="18"/>
        </w:rPr>
        <w:fldChar w:fldCharType="begin"/>
      </w:r>
      <w:r w:rsidR="0005095F" w:rsidRPr="003C5AB0">
        <w:rPr>
          <w:sz w:val="18"/>
          <w:szCs w:val="18"/>
        </w:rPr>
        <w:instrText xml:space="preserve"> NOTEREF _Ref191563855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51</w:t>
      </w:r>
      <w:r w:rsidR="0005095F" w:rsidRPr="003C5AB0">
        <w:rPr>
          <w:sz w:val="18"/>
          <w:szCs w:val="18"/>
        </w:rPr>
        <w:fldChar w:fldCharType="end"/>
      </w:r>
      <w:r w:rsidRPr="003C5AB0">
        <w:rPr>
          <w:sz w:val="18"/>
          <w:szCs w:val="18"/>
        </w:rPr>
        <w:t>, at 911.</w:t>
      </w:r>
    </w:p>
  </w:footnote>
  <w:footnote w:id="131">
    <w:p w14:paraId="2DE02978" w14:textId="1536B404" w:rsidR="00D75580" w:rsidRPr="003C5AB0" w:rsidRDefault="00D75580">
      <w:pPr>
        <w:pStyle w:val="FootnoteText"/>
        <w:rPr>
          <w:sz w:val="18"/>
          <w:szCs w:val="18"/>
        </w:rPr>
      </w:pPr>
      <w:r w:rsidRPr="003C5AB0">
        <w:rPr>
          <w:rStyle w:val="FootnoteReference"/>
          <w:sz w:val="18"/>
          <w:szCs w:val="18"/>
        </w:rPr>
        <w:footnoteRef/>
      </w:r>
      <w:r w:rsidRPr="003C5AB0">
        <w:rPr>
          <w:sz w:val="18"/>
          <w:szCs w:val="18"/>
        </w:rPr>
        <w:t xml:space="preserve"> </w:t>
      </w:r>
      <w:bookmarkStart w:id="94" w:name="OLE_LINK10"/>
      <w:r w:rsidR="0005095F" w:rsidRPr="004A5F86">
        <w:rPr>
          <w:i/>
          <w:iCs/>
          <w:sz w:val="18"/>
          <w:szCs w:val="18"/>
        </w:rPr>
        <w:t>Id.</w:t>
      </w:r>
    </w:p>
    <w:bookmarkEnd w:id="94"/>
  </w:footnote>
  <w:footnote w:id="132">
    <w:p w14:paraId="256EE170" w14:textId="18EBA37C" w:rsidR="00D75580" w:rsidRPr="003C5AB0" w:rsidRDefault="00D75580">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r w:rsidR="00902166" w:rsidRPr="003C5AB0">
        <w:rPr>
          <w:sz w:val="18"/>
          <w:szCs w:val="18"/>
        </w:rPr>
        <w:t>at 969-970.</w:t>
      </w:r>
    </w:p>
  </w:footnote>
  <w:footnote w:id="133">
    <w:p w14:paraId="7A6BD6D4" w14:textId="1474AA93" w:rsidR="00D75580" w:rsidRPr="003C5AB0" w:rsidRDefault="00D75580">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134">
    <w:p w14:paraId="682DA73B" w14:textId="4640BCD3" w:rsidR="00F27F86" w:rsidRPr="003C5AB0" w:rsidRDefault="00F27F86">
      <w:pPr>
        <w:pStyle w:val="FootnoteText"/>
        <w:rPr>
          <w:sz w:val="18"/>
          <w:szCs w:val="18"/>
        </w:rPr>
      </w:pPr>
      <w:r w:rsidRPr="003C5AB0">
        <w:rPr>
          <w:rStyle w:val="FootnoteReference"/>
          <w:sz w:val="18"/>
          <w:szCs w:val="18"/>
        </w:rPr>
        <w:footnoteRef/>
      </w:r>
      <w:r w:rsidRPr="003C5AB0">
        <w:rPr>
          <w:sz w:val="18"/>
          <w:szCs w:val="18"/>
        </w:rPr>
        <w:t xml:space="preserve"> Gordon</w:t>
      </w:r>
      <w:r w:rsidR="00902166"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_Ref191563650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8</w:t>
      </w:r>
      <w:r w:rsidR="0005095F" w:rsidRPr="003C5AB0">
        <w:rPr>
          <w:sz w:val="18"/>
          <w:szCs w:val="18"/>
        </w:rPr>
        <w:fldChar w:fldCharType="end"/>
      </w:r>
      <w:r w:rsidR="00902166" w:rsidRPr="003C5AB0">
        <w:rPr>
          <w:sz w:val="18"/>
          <w:szCs w:val="18"/>
        </w:rPr>
        <w:t>,</w:t>
      </w:r>
      <w:r w:rsidRPr="003C5AB0">
        <w:rPr>
          <w:sz w:val="18"/>
          <w:szCs w:val="18"/>
        </w:rPr>
        <w:t xml:space="preserve"> </w:t>
      </w:r>
      <w:r w:rsidR="00902166" w:rsidRPr="003C5AB0">
        <w:rPr>
          <w:sz w:val="18"/>
          <w:szCs w:val="18"/>
        </w:rPr>
        <w:t xml:space="preserve">at </w:t>
      </w:r>
      <w:r w:rsidRPr="003C5AB0">
        <w:rPr>
          <w:sz w:val="18"/>
          <w:szCs w:val="18"/>
        </w:rPr>
        <w:t>7</w:t>
      </w:r>
      <w:r w:rsidR="00902166" w:rsidRPr="003C5AB0">
        <w:rPr>
          <w:sz w:val="18"/>
          <w:szCs w:val="18"/>
        </w:rPr>
        <w:t>.</w:t>
      </w:r>
    </w:p>
  </w:footnote>
  <w:footnote w:id="135">
    <w:p w14:paraId="16BB45A7" w14:textId="5F471D7E"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w:t>
      </w:r>
      <w:r w:rsidR="00902166" w:rsidRPr="003C5AB0">
        <w:rPr>
          <w:i/>
          <w:iCs/>
          <w:sz w:val="18"/>
          <w:szCs w:val="18"/>
        </w:rPr>
        <w:t>Id.</w:t>
      </w:r>
      <w:r w:rsidR="00902166" w:rsidRPr="003C5AB0">
        <w:rPr>
          <w:sz w:val="18"/>
          <w:szCs w:val="18"/>
        </w:rPr>
        <w:t xml:space="preserve"> at</w:t>
      </w:r>
      <w:r w:rsidRPr="003C5AB0">
        <w:rPr>
          <w:sz w:val="18"/>
          <w:szCs w:val="18"/>
        </w:rPr>
        <w:t xml:space="preserve"> 6. </w:t>
      </w:r>
    </w:p>
  </w:footnote>
  <w:footnote w:id="136">
    <w:p w14:paraId="5EF0042D" w14:textId="4047910C"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902166" w:rsidRPr="003C5AB0">
        <w:rPr>
          <w:i/>
          <w:iCs/>
          <w:sz w:val="18"/>
          <w:szCs w:val="18"/>
        </w:rPr>
        <w:t>Id.</w:t>
      </w:r>
      <w:r w:rsidRPr="003C5AB0">
        <w:rPr>
          <w:i/>
          <w:iCs/>
          <w:sz w:val="18"/>
          <w:szCs w:val="18"/>
        </w:rPr>
        <w:t xml:space="preserve">  </w:t>
      </w:r>
    </w:p>
  </w:footnote>
  <w:footnote w:id="137">
    <w:p w14:paraId="2C29081F" w14:textId="3C98BD13"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Gordon</w:t>
      </w:r>
      <w:r w:rsidR="00902166"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_Ref191563650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8</w:t>
      </w:r>
      <w:r w:rsidR="0005095F" w:rsidRPr="003C5AB0">
        <w:rPr>
          <w:sz w:val="18"/>
          <w:szCs w:val="18"/>
        </w:rPr>
        <w:fldChar w:fldCharType="end"/>
      </w:r>
      <w:r w:rsidR="00902166" w:rsidRPr="003C5AB0">
        <w:rPr>
          <w:sz w:val="18"/>
          <w:szCs w:val="18"/>
        </w:rPr>
        <w:t>, at 7</w:t>
      </w:r>
      <w:r w:rsidR="007B4890" w:rsidRPr="003C5AB0">
        <w:rPr>
          <w:sz w:val="18"/>
          <w:szCs w:val="18"/>
        </w:rPr>
        <w:t>.</w:t>
      </w:r>
    </w:p>
  </w:footnote>
  <w:footnote w:id="138">
    <w:p w14:paraId="3D295711" w14:textId="3C101B03"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w:t>
      </w:r>
      <w:r w:rsidR="00902166" w:rsidRPr="003C5AB0">
        <w:rPr>
          <w:i/>
          <w:iCs/>
          <w:sz w:val="18"/>
          <w:szCs w:val="18"/>
        </w:rPr>
        <w:t>Id</w:t>
      </w:r>
      <w:r w:rsidR="007B4890" w:rsidRPr="003C5AB0">
        <w:rPr>
          <w:i/>
          <w:iCs/>
          <w:sz w:val="18"/>
          <w:szCs w:val="18"/>
        </w:rPr>
        <w:t xml:space="preserve">; See </w:t>
      </w:r>
      <w:r w:rsidR="007B4890" w:rsidRPr="003C5AB0">
        <w:rPr>
          <w:sz w:val="18"/>
          <w:szCs w:val="18"/>
        </w:rPr>
        <w:t xml:space="preserve">ECB, New Pension Fund Statistics, ECB Economic Bulletin 7/2020, </w:t>
      </w:r>
      <w:hyperlink r:id="rId40" w:history="1">
        <w:r w:rsidR="00AC7B07" w:rsidRPr="003C5AB0">
          <w:rPr>
            <w:rStyle w:val="Hyperlink"/>
            <w:sz w:val="18"/>
            <w:szCs w:val="18"/>
          </w:rPr>
          <w:t>www.ecb.europa.eu/pub/economicbulletin/articles/2020/html/ecb.ebart202007_03~5ead7cb1dc.en.html</w:t>
        </w:r>
      </w:hyperlink>
      <w:r w:rsidR="007B4890" w:rsidRPr="003C5AB0">
        <w:rPr>
          <w:sz w:val="18"/>
          <w:szCs w:val="18"/>
        </w:rPr>
        <w:t>.</w:t>
      </w:r>
      <w:r w:rsidR="00AC7B07" w:rsidRPr="003C5AB0">
        <w:rPr>
          <w:sz w:val="18"/>
          <w:szCs w:val="18"/>
        </w:rPr>
        <w:t xml:space="preserve"> </w:t>
      </w:r>
    </w:p>
  </w:footnote>
  <w:footnote w:id="139">
    <w:p w14:paraId="75FDFDCA" w14:textId="63BBC9DF"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Dimitris Christelis</w:t>
      </w:r>
      <w:r w:rsidR="00902166" w:rsidRPr="003C5AB0">
        <w:rPr>
          <w:sz w:val="18"/>
          <w:szCs w:val="18"/>
        </w:rPr>
        <w:t xml:space="preserve"> et al.</w:t>
      </w:r>
      <w:r w:rsidRPr="003C5AB0">
        <w:rPr>
          <w:sz w:val="18"/>
          <w:szCs w:val="18"/>
        </w:rPr>
        <w:t xml:space="preserve">, Differences in Portfolios Across Countries: Economic Environment Versus Household Characteristics, 95(1) REV. ECON &amp; STATS. 220 (2013). </w:t>
      </w:r>
    </w:p>
  </w:footnote>
  <w:footnote w:id="140">
    <w:p w14:paraId="2BFE2DB0" w14:textId="2649E05F"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w:t>
      </w:r>
      <w:bookmarkStart w:id="97" w:name="OLE_LINK176"/>
      <w:r w:rsidR="00552F3E" w:rsidRPr="003C5AB0">
        <w:rPr>
          <w:color w:val="000000"/>
          <w:sz w:val="18"/>
          <w:szCs w:val="18"/>
        </w:rPr>
        <w:t xml:space="preserve">Allianz, Allianz Global Wealth Report (2021), </w:t>
      </w:r>
      <w:r w:rsidRPr="003C5AB0">
        <w:rPr>
          <w:sz w:val="18"/>
          <w:szCs w:val="18"/>
        </w:rPr>
        <w:t>at 3</w:t>
      </w:r>
      <w:bookmarkEnd w:id="97"/>
      <w:r w:rsidRPr="003C5AB0">
        <w:rPr>
          <w:sz w:val="18"/>
          <w:szCs w:val="18"/>
        </w:rPr>
        <w:t>.</w:t>
      </w:r>
    </w:p>
  </w:footnote>
  <w:footnote w:id="141">
    <w:p w14:paraId="512B83CA" w14:textId="4A9A5440" w:rsidR="00D81688" w:rsidRPr="003C5AB0" w:rsidRDefault="00D81688" w:rsidP="00D81688">
      <w:pPr>
        <w:pStyle w:val="FootnoteText"/>
        <w:rPr>
          <w:sz w:val="18"/>
          <w:szCs w:val="18"/>
        </w:rPr>
      </w:pPr>
      <w:r w:rsidRPr="003C5AB0">
        <w:rPr>
          <w:rStyle w:val="FootnoteReference"/>
          <w:sz w:val="18"/>
          <w:szCs w:val="18"/>
        </w:rPr>
        <w:footnoteRef/>
      </w:r>
      <w:r w:rsidRPr="003C5AB0">
        <w:rPr>
          <w:sz w:val="18"/>
          <w:szCs w:val="18"/>
        </w:rPr>
        <w:t xml:space="preserve"> Gordon</w:t>
      </w:r>
      <w:r w:rsidR="002F5CB0" w:rsidRPr="003C5AB0">
        <w:rPr>
          <w:sz w:val="18"/>
          <w:szCs w:val="18"/>
        </w:rPr>
        <w:t xml:space="preserve">, </w:t>
      </w:r>
      <w:r w:rsidR="005C76F0" w:rsidRPr="003C5AB0">
        <w:rPr>
          <w:sz w:val="18"/>
          <w:szCs w:val="18"/>
        </w:rPr>
        <w:t xml:space="preserve">supra note </w:t>
      </w:r>
      <w:r w:rsidR="0005095F" w:rsidRPr="003C5AB0">
        <w:rPr>
          <w:sz w:val="18"/>
          <w:szCs w:val="18"/>
        </w:rPr>
        <w:fldChar w:fldCharType="begin"/>
      </w:r>
      <w:r w:rsidR="0005095F" w:rsidRPr="003C5AB0">
        <w:rPr>
          <w:sz w:val="18"/>
          <w:szCs w:val="18"/>
        </w:rPr>
        <w:instrText xml:space="preserve"> NOTEREF _Ref191563650 \h </w:instrText>
      </w:r>
      <w:r w:rsidR="008439E1" w:rsidRPr="003C5AB0">
        <w:rPr>
          <w:sz w:val="18"/>
          <w:szCs w:val="18"/>
        </w:rPr>
        <w:instrText xml:space="preserve"> \* MERGEFORMAT </w:instrText>
      </w:r>
      <w:r w:rsidR="0005095F" w:rsidRPr="003C5AB0">
        <w:rPr>
          <w:sz w:val="18"/>
          <w:szCs w:val="18"/>
        </w:rPr>
      </w:r>
      <w:r w:rsidR="0005095F" w:rsidRPr="003C5AB0">
        <w:rPr>
          <w:sz w:val="18"/>
          <w:szCs w:val="18"/>
        </w:rPr>
        <w:fldChar w:fldCharType="separate"/>
      </w:r>
      <w:r w:rsidR="003C5AB0">
        <w:rPr>
          <w:sz w:val="18"/>
          <w:szCs w:val="18"/>
        </w:rPr>
        <w:t>8</w:t>
      </w:r>
      <w:r w:rsidR="0005095F" w:rsidRPr="003C5AB0">
        <w:rPr>
          <w:sz w:val="18"/>
          <w:szCs w:val="18"/>
        </w:rPr>
        <w:fldChar w:fldCharType="end"/>
      </w:r>
      <w:r w:rsidR="002F5CB0" w:rsidRPr="003C5AB0">
        <w:rPr>
          <w:sz w:val="18"/>
          <w:szCs w:val="18"/>
        </w:rPr>
        <w:t>, at 9.</w:t>
      </w:r>
    </w:p>
  </w:footnote>
  <w:footnote w:id="142">
    <w:p w14:paraId="14BEC3E1" w14:textId="332E85EB"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05095F" w:rsidRPr="004A5F86">
        <w:rPr>
          <w:i/>
          <w:iCs/>
          <w:sz w:val="18"/>
          <w:szCs w:val="18"/>
        </w:rPr>
        <w:t>Id</w:t>
      </w:r>
      <w:r w:rsidR="0005095F" w:rsidRPr="003C5AB0">
        <w:rPr>
          <w:sz w:val="18"/>
          <w:szCs w:val="18"/>
        </w:rPr>
        <w:t>.</w:t>
      </w:r>
      <w:r w:rsidR="002F5CB0" w:rsidRPr="003C5AB0">
        <w:rPr>
          <w:sz w:val="18"/>
          <w:szCs w:val="18"/>
        </w:rPr>
        <w:t xml:space="preserve"> at 6.</w:t>
      </w:r>
      <w:r w:rsidRPr="003C5AB0">
        <w:rPr>
          <w:sz w:val="18"/>
          <w:szCs w:val="18"/>
        </w:rPr>
        <w:t xml:space="preserve">  </w:t>
      </w:r>
    </w:p>
  </w:footnote>
  <w:footnote w:id="143">
    <w:p w14:paraId="5F7115DE" w14:textId="4654FE97" w:rsidR="00CE4E3E" w:rsidRPr="003C5AB0" w:rsidRDefault="00CE4E3E">
      <w:pPr>
        <w:pStyle w:val="FootnoteText"/>
        <w:rPr>
          <w:sz w:val="18"/>
          <w:szCs w:val="18"/>
        </w:rPr>
      </w:pPr>
      <w:r w:rsidRPr="003C5AB0">
        <w:rPr>
          <w:rStyle w:val="FootnoteReference"/>
          <w:sz w:val="18"/>
          <w:szCs w:val="18"/>
        </w:rPr>
        <w:footnoteRef/>
      </w:r>
      <w:r w:rsidRPr="003C5AB0">
        <w:rPr>
          <w:sz w:val="18"/>
          <w:szCs w:val="18"/>
        </w:rPr>
        <w:t xml:space="preserve"> </w:t>
      </w:r>
      <w:r w:rsidR="002F5CB0" w:rsidRPr="003C5AB0">
        <w:rPr>
          <w:color w:val="000000"/>
          <w:sz w:val="18"/>
          <w:szCs w:val="18"/>
        </w:rPr>
        <w:t>USAFacts,</w:t>
      </w:r>
      <w:r w:rsidR="002F5CB0" w:rsidRPr="003C5AB0">
        <w:rPr>
          <w:rStyle w:val="apple-converted-space"/>
          <w:color w:val="000000"/>
          <w:sz w:val="18"/>
          <w:szCs w:val="18"/>
        </w:rPr>
        <w:t> </w:t>
      </w:r>
      <w:r w:rsidR="002F5CB0" w:rsidRPr="003C5AB0">
        <w:rPr>
          <w:color w:val="000000"/>
          <w:sz w:val="18"/>
          <w:szCs w:val="18"/>
        </w:rPr>
        <w:t>How does voter turnout in the US change by state, age and race?</w:t>
      </w:r>
      <w:r w:rsidR="002F5CB0" w:rsidRPr="003C5AB0">
        <w:rPr>
          <w:rStyle w:val="apple-converted-space"/>
          <w:color w:val="000000"/>
          <w:sz w:val="18"/>
          <w:szCs w:val="18"/>
        </w:rPr>
        <w:t> </w:t>
      </w:r>
      <w:r w:rsidR="002F5CB0" w:rsidRPr="003C5AB0">
        <w:rPr>
          <w:color w:val="000000"/>
          <w:sz w:val="18"/>
          <w:szCs w:val="18"/>
        </w:rPr>
        <w:t>USAFacts</w:t>
      </w:r>
      <w:r w:rsidR="002F5CB0" w:rsidRPr="003C5AB0">
        <w:rPr>
          <w:rStyle w:val="apple-converted-space"/>
          <w:color w:val="000000"/>
          <w:sz w:val="18"/>
          <w:szCs w:val="18"/>
        </w:rPr>
        <w:t> </w:t>
      </w:r>
      <w:r w:rsidR="002F5CB0" w:rsidRPr="003C5AB0">
        <w:rPr>
          <w:color w:val="000000"/>
          <w:sz w:val="18"/>
          <w:szCs w:val="18"/>
        </w:rPr>
        <w:t xml:space="preserve">(2024), </w:t>
      </w:r>
      <w:hyperlink r:id="rId41" w:history="1">
        <w:r w:rsidR="002F5CB0" w:rsidRPr="003C5AB0">
          <w:rPr>
            <w:rStyle w:val="Hyperlink"/>
            <w:sz w:val="18"/>
            <w:szCs w:val="18"/>
          </w:rPr>
          <w:t>https://usafacts.org/articles/how-many-americans-vote-and-how-do-voting-rates-vary-state/</w:t>
        </w:r>
      </w:hyperlink>
      <w:r w:rsidR="002F5CB0" w:rsidRPr="003C5AB0">
        <w:rPr>
          <w:color w:val="000000"/>
          <w:sz w:val="18"/>
          <w:szCs w:val="18"/>
        </w:rPr>
        <w:t xml:space="preserve">; </w:t>
      </w:r>
      <w:r w:rsidRPr="003C5AB0">
        <w:rPr>
          <w:i/>
          <w:iCs/>
          <w:sz w:val="18"/>
          <w:szCs w:val="18"/>
        </w:rPr>
        <w:t xml:space="preserve">See </w:t>
      </w:r>
      <w:r w:rsidR="002F5CB0" w:rsidRPr="003C5AB0">
        <w:rPr>
          <w:color w:val="000000"/>
          <w:sz w:val="18"/>
          <w:szCs w:val="18"/>
        </w:rPr>
        <w:t>US Census Bureau,</w:t>
      </w:r>
      <w:r w:rsidR="002F5CB0" w:rsidRPr="003C5AB0">
        <w:rPr>
          <w:rStyle w:val="apple-converted-space"/>
          <w:color w:val="000000"/>
          <w:sz w:val="18"/>
          <w:szCs w:val="18"/>
        </w:rPr>
        <w:t> </w:t>
      </w:r>
      <w:r w:rsidR="002F5CB0" w:rsidRPr="003C5AB0">
        <w:rPr>
          <w:color w:val="000000"/>
          <w:sz w:val="18"/>
          <w:szCs w:val="18"/>
        </w:rPr>
        <w:t>Historical reported voting rates</w:t>
      </w:r>
      <w:r w:rsidR="002F5CB0" w:rsidRPr="003C5AB0">
        <w:rPr>
          <w:rStyle w:val="apple-converted-space"/>
          <w:color w:val="000000"/>
          <w:sz w:val="18"/>
          <w:szCs w:val="18"/>
        </w:rPr>
        <w:t> </w:t>
      </w:r>
      <w:r w:rsidR="002F5CB0" w:rsidRPr="003C5AB0">
        <w:rPr>
          <w:color w:val="000000"/>
          <w:sz w:val="18"/>
          <w:szCs w:val="18"/>
        </w:rPr>
        <w:t>Census.gov</w:t>
      </w:r>
      <w:r w:rsidR="002F5CB0" w:rsidRPr="003C5AB0">
        <w:rPr>
          <w:rStyle w:val="apple-converted-space"/>
          <w:color w:val="000000"/>
          <w:sz w:val="18"/>
          <w:szCs w:val="18"/>
        </w:rPr>
        <w:t> </w:t>
      </w:r>
      <w:r w:rsidR="002F5CB0" w:rsidRPr="003C5AB0">
        <w:rPr>
          <w:color w:val="000000"/>
          <w:sz w:val="18"/>
          <w:szCs w:val="18"/>
        </w:rPr>
        <w:t xml:space="preserve">(2023), </w:t>
      </w:r>
      <w:hyperlink r:id="rId42" w:history="1">
        <w:r w:rsidR="00AC7B07" w:rsidRPr="003C5AB0">
          <w:rPr>
            <w:rStyle w:val="Hyperlink"/>
            <w:sz w:val="18"/>
            <w:szCs w:val="18"/>
          </w:rPr>
          <w:t>https://www.census.gov/data/tables/time-series/demo/voting-and-registration/voting-historical-time-series.html</w:t>
        </w:r>
      </w:hyperlink>
      <w:r w:rsidR="002F5CB0" w:rsidRPr="003C5AB0">
        <w:rPr>
          <w:color w:val="000000"/>
          <w:sz w:val="18"/>
          <w:szCs w:val="18"/>
        </w:rPr>
        <w:t>.</w:t>
      </w:r>
      <w:r w:rsidR="00AC7B07" w:rsidRPr="003C5AB0">
        <w:rPr>
          <w:color w:val="000000"/>
          <w:sz w:val="18"/>
          <w:szCs w:val="18"/>
        </w:rPr>
        <w:t xml:space="preserve"> </w:t>
      </w:r>
    </w:p>
  </w:footnote>
  <w:footnote w:id="144">
    <w:p w14:paraId="6B40BE0B" w14:textId="1AC5C34F" w:rsidR="00534C47" w:rsidRPr="003C5AB0" w:rsidRDefault="00534C47">
      <w:pPr>
        <w:pStyle w:val="FootnoteText"/>
        <w:rPr>
          <w:sz w:val="18"/>
          <w:szCs w:val="18"/>
        </w:rPr>
      </w:pPr>
      <w:r w:rsidRPr="003C5AB0">
        <w:rPr>
          <w:rStyle w:val="FootnoteReference"/>
          <w:sz w:val="18"/>
          <w:szCs w:val="18"/>
        </w:rPr>
        <w:footnoteRef/>
      </w:r>
      <w:r w:rsidRPr="003C5AB0">
        <w:rPr>
          <w:sz w:val="18"/>
          <w:szCs w:val="18"/>
        </w:rPr>
        <w:t xml:space="preserve"> </w:t>
      </w:r>
      <w:bookmarkStart w:id="100" w:name="OLE_LINK17"/>
      <w:r w:rsidR="002F5CB0" w:rsidRPr="003C5AB0">
        <w:rPr>
          <w:color w:val="000000"/>
          <w:sz w:val="18"/>
          <w:szCs w:val="18"/>
        </w:rPr>
        <w:t>Christine Mahoney</w:t>
      </w:r>
      <w:r w:rsidR="008439E1" w:rsidRPr="003C5AB0">
        <w:rPr>
          <w:color w:val="000000"/>
          <w:sz w:val="18"/>
          <w:szCs w:val="18"/>
        </w:rPr>
        <w:t xml:space="preserve">, </w:t>
      </w:r>
      <w:r w:rsidR="002F5CB0" w:rsidRPr="003C5AB0">
        <w:rPr>
          <w:color w:val="000000"/>
          <w:sz w:val="18"/>
          <w:szCs w:val="18"/>
        </w:rPr>
        <w:t>Lobbying Success in the United States and the European Union.</w:t>
      </w:r>
      <w:r w:rsidR="002F5CB0" w:rsidRPr="003C5AB0">
        <w:rPr>
          <w:rStyle w:val="apple-converted-space"/>
          <w:color w:val="000000"/>
          <w:sz w:val="18"/>
          <w:szCs w:val="18"/>
        </w:rPr>
        <w:t> </w:t>
      </w:r>
      <w:r w:rsidR="002F5CB0" w:rsidRPr="003C5AB0">
        <w:rPr>
          <w:i/>
          <w:iCs/>
          <w:color w:val="000000"/>
          <w:sz w:val="18"/>
          <w:szCs w:val="18"/>
        </w:rPr>
        <w:t>Journal of Public Policy</w:t>
      </w:r>
      <w:r w:rsidR="002F5CB0" w:rsidRPr="003C5AB0">
        <w:rPr>
          <w:color w:val="000000"/>
          <w:sz w:val="18"/>
          <w:szCs w:val="18"/>
        </w:rPr>
        <w:t>,</w:t>
      </w:r>
      <w:r w:rsidR="002F5CB0" w:rsidRPr="003C5AB0">
        <w:rPr>
          <w:rStyle w:val="apple-converted-space"/>
          <w:color w:val="000000"/>
          <w:sz w:val="18"/>
          <w:szCs w:val="18"/>
        </w:rPr>
        <w:t> </w:t>
      </w:r>
      <w:r w:rsidR="002F5CB0" w:rsidRPr="003C5AB0">
        <w:rPr>
          <w:i/>
          <w:iCs/>
          <w:color w:val="000000"/>
          <w:sz w:val="18"/>
          <w:szCs w:val="18"/>
        </w:rPr>
        <w:t>27</w:t>
      </w:r>
      <w:r w:rsidR="002F5CB0" w:rsidRPr="003C5AB0">
        <w:rPr>
          <w:color w:val="000000"/>
          <w:sz w:val="18"/>
          <w:szCs w:val="18"/>
        </w:rPr>
        <w:t>(1), 35–56</w:t>
      </w:r>
      <w:r w:rsidR="008439E1" w:rsidRPr="003C5AB0">
        <w:rPr>
          <w:color w:val="000000"/>
          <w:sz w:val="18"/>
          <w:szCs w:val="18"/>
        </w:rPr>
        <w:t>, (2007).</w:t>
      </w:r>
      <w:bookmarkEnd w:id="100"/>
    </w:p>
  </w:footnote>
  <w:footnote w:id="145">
    <w:p w14:paraId="00214FE7" w14:textId="0EAE4BDB"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2F5CB0" w:rsidRPr="003C5AB0">
        <w:rPr>
          <w:i/>
          <w:iCs/>
          <w:sz w:val="18"/>
          <w:szCs w:val="18"/>
        </w:rPr>
        <w:t>Id</w:t>
      </w:r>
      <w:r w:rsidR="002F5CB0" w:rsidRPr="003C5AB0">
        <w:rPr>
          <w:sz w:val="18"/>
          <w:szCs w:val="18"/>
        </w:rPr>
        <w:t>. at 56.</w:t>
      </w:r>
    </w:p>
  </w:footnote>
  <w:footnote w:id="146">
    <w:p w14:paraId="590C2D7E" w14:textId="21BB2373" w:rsidR="008956FE" w:rsidRPr="003C5AB0" w:rsidRDefault="008956FE">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147">
    <w:p w14:paraId="1902F9D5" w14:textId="36B2CF77"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2F5CB0" w:rsidRPr="003C5AB0">
        <w:rPr>
          <w:color w:val="000000"/>
          <w:sz w:val="18"/>
          <w:szCs w:val="18"/>
        </w:rPr>
        <w:t>Christine Mahoney,</w:t>
      </w:r>
      <w:r w:rsidR="002F5CB0" w:rsidRPr="003C5AB0">
        <w:rPr>
          <w:rStyle w:val="apple-converted-space"/>
          <w:color w:val="000000"/>
          <w:sz w:val="18"/>
          <w:szCs w:val="18"/>
        </w:rPr>
        <w:t> </w:t>
      </w:r>
      <w:r w:rsidR="002F5CB0" w:rsidRPr="003C5AB0">
        <w:rPr>
          <w:color w:val="000000"/>
          <w:sz w:val="18"/>
          <w:szCs w:val="18"/>
        </w:rPr>
        <w:t>Why lobbying in America is different</w:t>
      </w:r>
      <w:r w:rsidR="002F5CB0" w:rsidRPr="003C5AB0">
        <w:rPr>
          <w:rStyle w:val="apple-converted-space"/>
          <w:color w:val="000000"/>
          <w:sz w:val="18"/>
          <w:szCs w:val="18"/>
        </w:rPr>
        <w:t> </w:t>
      </w:r>
      <w:r w:rsidR="002F5CB0" w:rsidRPr="003C5AB0">
        <w:rPr>
          <w:color w:val="000000"/>
          <w:sz w:val="18"/>
          <w:szCs w:val="18"/>
        </w:rPr>
        <w:t>POLITICO</w:t>
      </w:r>
      <w:r w:rsidR="002F5CB0" w:rsidRPr="003C5AB0">
        <w:rPr>
          <w:rStyle w:val="apple-converted-space"/>
          <w:color w:val="000000"/>
          <w:sz w:val="18"/>
          <w:szCs w:val="18"/>
        </w:rPr>
        <w:t> </w:t>
      </w:r>
      <w:r w:rsidR="002F5CB0" w:rsidRPr="003C5AB0">
        <w:rPr>
          <w:color w:val="000000"/>
          <w:sz w:val="18"/>
          <w:szCs w:val="18"/>
        </w:rPr>
        <w:t xml:space="preserve">(2014), </w:t>
      </w:r>
      <w:hyperlink r:id="rId43" w:history="1">
        <w:r w:rsidR="00AC7B07" w:rsidRPr="003C5AB0">
          <w:rPr>
            <w:rStyle w:val="Hyperlink"/>
            <w:sz w:val="18"/>
            <w:szCs w:val="18"/>
          </w:rPr>
          <w:t>https://www.politico.eu/article/why-lobbying-in-america-is-different/</w:t>
        </w:r>
      </w:hyperlink>
      <w:r w:rsidR="002F5CB0" w:rsidRPr="003C5AB0">
        <w:rPr>
          <w:color w:val="000000"/>
          <w:sz w:val="18"/>
          <w:szCs w:val="18"/>
        </w:rPr>
        <w:t>.</w:t>
      </w:r>
      <w:r w:rsidR="00AC7B07" w:rsidRPr="003C5AB0">
        <w:rPr>
          <w:color w:val="000000"/>
          <w:sz w:val="18"/>
          <w:szCs w:val="18"/>
        </w:rPr>
        <w:t xml:space="preserve"> </w:t>
      </w:r>
    </w:p>
  </w:footnote>
  <w:footnote w:id="148">
    <w:p w14:paraId="2B0758E0" w14:textId="674D1665" w:rsidR="003F5CD9" w:rsidRPr="003C5AB0" w:rsidRDefault="003F5CD9" w:rsidP="003F5CD9">
      <w:pPr>
        <w:pStyle w:val="FootnoteText"/>
        <w:rPr>
          <w:sz w:val="18"/>
          <w:szCs w:val="18"/>
        </w:rPr>
      </w:pPr>
      <w:r w:rsidRPr="003C5AB0">
        <w:rPr>
          <w:rStyle w:val="FootnoteReference"/>
          <w:sz w:val="18"/>
          <w:szCs w:val="18"/>
        </w:rPr>
        <w:footnoteRef/>
      </w:r>
      <w:r w:rsidRPr="003C5AB0">
        <w:rPr>
          <w:sz w:val="18"/>
          <w:szCs w:val="18"/>
        </w:rPr>
        <w:t xml:space="preserve"> </w:t>
      </w:r>
      <w:r w:rsidR="002F5CB0" w:rsidRPr="003C5AB0">
        <w:rPr>
          <w:color w:val="000000"/>
          <w:sz w:val="18"/>
          <w:szCs w:val="18"/>
        </w:rPr>
        <w:t xml:space="preserve">India </w:t>
      </w:r>
      <w:proofErr w:type="spellStart"/>
      <w:r w:rsidR="002F5CB0" w:rsidRPr="003C5AB0">
        <w:rPr>
          <w:color w:val="000000"/>
          <w:sz w:val="18"/>
          <w:szCs w:val="18"/>
        </w:rPr>
        <w:t>Cravello</w:t>
      </w:r>
      <w:proofErr w:type="spellEnd"/>
      <w:r w:rsidR="002F5CB0" w:rsidRPr="003C5AB0">
        <w:rPr>
          <w:color w:val="000000"/>
          <w:sz w:val="18"/>
          <w:szCs w:val="18"/>
        </w:rPr>
        <w:t>,</w:t>
      </w:r>
      <w:r w:rsidR="002F5CB0" w:rsidRPr="003C5AB0">
        <w:rPr>
          <w:rStyle w:val="apple-converted-space"/>
          <w:color w:val="000000"/>
          <w:sz w:val="18"/>
          <w:szCs w:val="18"/>
        </w:rPr>
        <w:t> </w:t>
      </w:r>
      <w:r w:rsidR="002F5CB0" w:rsidRPr="003C5AB0">
        <w:rPr>
          <w:color w:val="000000"/>
          <w:sz w:val="18"/>
          <w:szCs w:val="18"/>
        </w:rPr>
        <w:t>Cross Atlantic lobbying styles: A comparison between US and EU Interest Group Dynamics</w:t>
      </w:r>
      <w:r w:rsidR="002F5CB0" w:rsidRPr="003C5AB0">
        <w:rPr>
          <w:rStyle w:val="apple-converted-space"/>
          <w:color w:val="000000"/>
          <w:sz w:val="18"/>
          <w:szCs w:val="18"/>
        </w:rPr>
        <w:t> </w:t>
      </w:r>
      <w:r w:rsidR="002F5CB0" w:rsidRPr="003C5AB0">
        <w:rPr>
          <w:color w:val="000000"/>
          <w:sz w:val="18"/>
          <w:szCs w:val="18"/>
        </w:rPr>
        <w:t>Denver Journal of International Law Policy</w:t>
      </w:r>
      <w:r w:rsidR="002F5CB0" w:rsidRPr="003C5AB0">
        <w:rPr>
          <w:rStyle w:val="apple-converted-space"/>
          <w:color w:val="000000"/>
          <w:sz w:val="18"/>
          <w:szCs w:val="18"/>
        </w:rPr>
        <w:t> </w:t>
      </w:r>
      <w:r w:rsidR="002F5CB0" w:rsidRPr="003C5AB0">
        <w:rPr>
          <w:color w:val="000000"/>
          <w:sz w:val="18"/>
          <w:szCs w:val="18"/>
        </w:rPr>
        <w:t xml:space="preserve">(2023), </w:t>
      </w:r>
      <w:hyperlink r:id="rId44" w:history="1">
        <w:r w:rsidR="00AC7B07" w:rsidRPr="003C5AB0">
          <w:rPr>
            <w:rStyle w:val="Hyperlink"/>
            <w:sz w:val="18"/>
            <w:szCs w:val="18"/>
          </w:rPr>
          <w:t>https://djilp.org/cross-atlantic-lobbying-styles-a-comparison-between-us-and-eu-interest-group-dynamics/</w:t>
        </w:r>
      </w:hyperlink>
      <w:r w:rsidR="002F5CB0" w:rsidRPr="003C5AB0">
        <w:rPr>
          <w:color w:val="000000"/>
          <w:sz w:val="18"/>
          <w:szCs w:val="18"/>
        </w:rPr>
        <w:t>.</w:t>
      </w:r>
      <w:r w:rsidR="00AC7B07" w:rsidRPr="003C5AB0">
        <w:rPr>
          <w:color w:val="000000"/>
          <w:sz w:val="18"/>
          <w:szCs w:val="18"/>
        </w:rPr>
        <w:t xml:space="preserve"> </w:t>
      </w:r>
    </w:p>
  </w:footnote>
  <w:footnote w:id="149">
    <w:p w14:paraId="22371A9A" w14:textId="538479F4" w:rsidR="00711BC8" w:rsidRPr="003C5AB0" w:rsidRDefault="00711BC8" w:rsidP="00372B11">
      <w:pPr>
        <w:pStyle w:val="FootnoteText"/>
        <w:rPr>
          <w:sz w:val="18"/>
          <w:szCs w:val="18"/>
        </w:rPr>
      </w:pPr>
      <w:r w:rsidRPr="003C5AB0">
        <w:rPr>
          <w:rStyle w:val="FootnoteReference"/>
          <w:sz w:val="18"/>
          <w:szCs w:val="18"/>
        </w:rPr>
        <w:footnoteRef/>
      </w:r>
      <w:r w:rsidR="002F5CB0" w:rsidRPr="003C5AB0">
        <w:rPr>
          <w:sz w:val="18"/>
          <w:szCs w:val="18"/>
        </w:rPr>
        <w:t xml:space="preserve"> </w:t>
      </w:r>
      <w:r w:rsidR="002F5CB0" w:rsidRPr="003C5AB0">
        <w:rPr>
          <w:i/>
          <w:iCs/>
          <w:sz w:val="18"/>
          <w:szCs w:val="18"/>
        </w:rPr>
        <w:t>Id.</w:t>
      </w:r>
      <w:r w:rsidRPr="003C5AB0">
        <w:rPr>
          <w:bCs/>
          <w:sz w:val="18"/>
          <w:szCs w:val="18"/>
        </w:rPr>
        <w:t xml:space="preserve"> </w:t>
      </w:r>
    </w:p>
  </w:footnote>
  <w:footnote w:id="150">
    <w:p w14:paraId="37044CF6" w14:textId="0AE8200A"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hyperlink r:id="rId45" w:history="1">
        <w:r w:rsidRPr="003C5AB0">
          <w:rPr>
            <w:rStyle w:val="Hyperlink"/>
            <w:sz w:val="18"/>
            <w:szCs w:val="18"/>
          </w:rPr>
          <w:t>https://www.opensecrets.org/federal-lobbying/federal-and-state</w:t>
        </w:r>
      </w:hyperlink>
      <w:r w:rsidRPr="003C5AB0">
        <w:rPr>
          <w:sz w:val="18"/>
          <w:szCs w:val="18"/>
        </w:rPr>
        <w:t xml:space="preserve"> </w:t>
      </w:r>
    </w:p>
  </w:footnote>
  <w:footnote w:id="151">
    <w:p w14:paraId="3B093C34" w14:textId="2FE27EC6"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Mahoney</w:t>
      </w:r>
      <w:r w:rsidR="00DB6363" w:rsidRPr="003C5AB0">
        <w:rPr>
          <w:sz w:val="18"/>
          <w:szCs w:val="18"/>
        </w:rPr>
        <w:t xml:space="preserve">, </w:t>
      </w:r>
      <w:r w:rsidR="00AC7B07" w:rsidRPr="003C5AB0">
        <w:rPr>
          <w:sz w:val="18"/>
          <w:szCs w:val="18"/>
        </w:rPr>
        <w:t xml:space="preserve">supra note </w:t>
      </w:r>
      <w:r w:rsidR="00460FE1" w:rsidRPr="003C5AB0">
        <w:rPr>
          <w:sz w:val="18"/>
          <w:szCs w:val="18"/>
        </w:rPr>
        <w:fldChar w:fldCharType="begin"/>
      </w:r>
      <w:r w:rsidR="00460FE1" w:rsidRPr="003C5AB0">
        <w:rPr>
          <w:sz w:val="18"/>
          <w:szCs w:val="18"/>
        </w:rPr>
        <w:instrText xml:space="preserve"> NOTEREF _Ref191564977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143</w:t>
      </w:r>
      <w:r w:rsidR="00460FE1" w:rsidRPr="003C5AB0">
        <w:rPr>
          <w:sz w:val="18"/>
          <w:szCs w:val="18"/>
        </w:rPr>
        <w:fldChar w:fldCharType="end"/>
      </w:r>
      <w:r w:rsidR="00DB6363" w:rsidRPr="003C5AB0">
        <w:rPr>
          <w:sz w:val="18"/>
          <w:szCs w:val="18"/>
        </w:rPr>
        <w:t xml:space="preserve">, at 35-56. </w:t>
      </w:r>
      <w:r w:rsidRPr="003C5AB0">
        <w:rPr>
          <w:sz w:val="18"/>
          <w:szCs w:val="18"/>
        </w:rPr>
        <w:t xml:space="preserve"> </w:t>
      </w:r>
    </w:p>
  </w:footnote>
  <w:footnote w:id="152">
    <w:p w14:paraId="151BCDEF" w14:textId="602C4044" w:rsidR="00BD5201" w:rsidRPr="003C5AB0" w:rsidRDefault="00BD5201">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r w:rsidRPr="003C5AB0">
        <w:rPr>
          <w:sz w:val="18"/>
          <w:szCs w:val="18"/>
        </w:rPr>
        <w:t xml:space="preserve"> </w:t>
      </w:r>
    </w:p>
  </w:footnote>
  <w:footnote w:id="153">
    <w:p w14:paraId="46FC9CC3" w14:textId="1F2639F0" w:rsidR="00324012" w:rsidRPr="003C5AB0" w:rsidRDefault="00324012" w:rsidP="00324012">
      <w:pPr>
        <w:pStyle w:val="FootnoteText"/>
        <w:rPr>
          <w:sz w:val="18"/>
          <w:szCs w:val="18"/>
        </w:rPr>
      </w:pPr>
      <w:r w:rsidRPr="003C5AB0">
        <w:rPr>
          <w:rStyle w:val="FootnoteReference"/>
          <w:sz w:val="18"/>
          <w:szCs w:val="18"/>
        </w:rPr>
        <w:footnoteRef/>
      </w:r>
      <w:r w:rsidRPr="003C5AB0">
        <w:rPr>
          <w:sz w:val="18"/>
          <w:szCs w:val="18"/>
        </w:rPr>
        <w:t xml:space="preserve"> </w:t>
      </w:r>
      <w:r w:rsidR="000355D5" w:rsidRPr="003C5AB0">
        <w:rPr>
          <w:color w:val="000000"/>
          <w:sz w:val="18"/>
          <w:szCs w:val="18"/>
        </w:rPr>
        <w:t>Mahoney,</w:t>
      </w:r>
      <w:r w:rsidR="000355D5" w:rsidRPr="003C5AB0">
        <w:rPr>
          <w:rStyle w:val="apple-converted-space"/>
          <w:color w:val="000000"/>
          <w:sz w:val="18"/>
          <w:szCs w:val="18"/>
        </w:rPr>
        <w:t> </w:t>
      </w:r>
      <w:r w:rsidR="00AC7B07" w:rsidRPr="003C5AB0">
        <w:rPr>
          <w:color w:val="000000"/>
          <w:sz w:val="18"/>
          <w:szCs w:val="18"/>
        </w:rPr>
        <w:t xml:space="preserve">supra note </w:t>
      </w:r>
      <w:r w:rsidR="00460FE1" w:rsidRPr="003C5AB0">
        <w:rPr>
          <w:color w:val="000000"/>
          <w:sz w:val="18"/>
          <w:szCs w:val="18"/>
        </w:rPr>
        <w:fldChar w:fldCharType="begin"/>
      </w:r>
      <w:r w:rsidR="00460FE1" w:rsidRPr="003C5AB0">
        <w:rPr>
          <w:color w:val="000000"/>
          <w:sz w:val="18"/>
          <w:szCs w:val="18"/>
        </w:rPr>
        <w:instrText xml:space="preserve"> NOTEREF OLE_LINK22 \h </w:instrText>
      </w:r>
      <w:r w:rsidR="008439E1" w:rsidRPr="003C5AB0">
        <w:rPr>
          <w:color w:val="000000"/>
          <w:sz w:val="18"/>
          <w:szCs w:val="18"/>
        </w:rPr>
        <w:instrText xml:space="preserve"> \* MERGEFORMAT </w:instrText>
      </w:r>
      <w:r w:rsidR="00460FE1" w:rsidRPr="003C5AB0">
        <w:rPr>
          <w:color w:val="000000"/>
          <w:sz w:val="18"/>
          <w:szCs w:val="18"/>
        </w:rPr>
      </w:r>
      <w:r w:rsidR="00460FE1" w:rsidRPr="003C5AB0">
        <w:rPr>
          <w:color w:val="000000"/>
          <w:sz w:val="18"/>
          <w:szCs w:val="18"/>
        </w:rPr>
        <w:fldChar w:fldCharType="separate"/>
      </w:r>
      <w:r w:rsidR="003C5AB0">
        <w:rPr>
          <w:color w:val="000000"/>
          <w:sz w:val="18"/>
          <w:szCs w:val="18"/>
        </w:rPr>
        <w:t>146</w:t>
      </w:r>
      <w:r w:rsidR="00460FE1" w:rsidRPr="003C5AB0">
        <w:rPr>
          <w:color w:val="000000"/>
          <w:sz w:val="18"/>
          <w:szCs w:val="18"/>
        </w:rPr>
        <w:fldChar w:fldCharType="end"/>
      </w:r>
      <w:r w:rsidR="00AC7B07" w:rsidRPr="003C5AB0">
        <w:rPr>
          <w:color w:val="000000"/>
          <w:sz w:val="18"/>
          <w:szCs w:val="18"/>
        </w:rPr>
        <w:t>.</w:t>
      </w:r>
      <w:r w:rsidR="00AC7B07" w:rsidRPr="003C5AB0" w:rsidDel="000355D5">
        <w:rPr>
          <w:sz w:val="18"/>
          <w:szCs w:val="18"/>
        </w:rPr>
        <w:t xml:space="preserve"> </w:t>
      </w:r>
    </w:p>
  </w:footnote>
  <w:footnote w:id="154">
    <w:p w14:paraId="71AF060D" w14:textId="5D3AE92D" w:rsidR="00711BC8" w:rsidRPr="003C5AB0" w:rsidRDefault="00711BC8" w:rsidP="00372B11">
      <w:pPr>
        <w:pStyle w:val="FootnoteText"/>
        <w:rPr>
          <w:sz w:val="18"/>
          <w:szCs w:val="18"/>
        </w:rPr>
      </w:pPr>
      <w:r w:rsidRPr="003C5AB0">
        <w:rPr>
          <w:rStyle w:val="FootnoteReference"/>
          <w:sz w:val="18"/>
          <w:szCs w:val="18"/>
        </w:rPr>
        <w:footnoteRef/>
      </w:r>
      <w:r w:rsidR="000355D5" w:rsidRPr="003C5AB0">
        <w:rPr>
          <w:sz w:val="18"/>
          <w:szCs w:val="18"/>
        </w:rPr>
        <w:t xml:space="preserve"> </w:t>
      </w:r>
      <w:r w:rsidR="000355D5" w:rsidRPr="003C5AB0">
        <w:rPr>
          <w:i/>
          <w:iCs/>
          <w:sz w:val="18"/>
          <w:szCs w:val="18"/>
        </w:rPr>
        <w:t>Id.</w:t>
      </w:r>
    </w:p>
  </w:footnote>
  <w:footnote w:id="155">
    <w:p w14:paraId="5F2C7D9D" w14:textId="7B8B0E30" w:rsidR="00324012" w:rsidRPr="003C5AB0" w:rsidRDefault="00324012" w:rsidP="00324012">
      <w:pPr>
        <w:pStyle w:val="FootnoteText"/>
        <w:rPr>
          <w:sz w:val="18"/>
          <w:szCs w:val="18"/>
        </w:rPr>
      </w:pPr>
      <w:r w:rsidRPr="003C5AB0">
        <w:rPr>
          <w:rStyle w:val="FootnoteReference"/>
          <w:sz w:val="18"/>
          <w:szCs w:val="18"/>
        </w:rPr>
        <w:footnoteRef/>
      </w:r>
      <w:r w:rsidRPr="003C5AB0">
        <w:rPr>
          <w:sz w:val="18"/>
          <w:szCs w:val="18"/>
        </w:rPr>
        <w:t xml:space="preserve"> </w:t>
      </w:r>
      <w:r w:rsidR="000355D5" w:rsidRPr="003C5AB0">
        <w:rPr>
          <w:sz w:val="18"/>
          <w:szCs w:val="18"/>
        </w:rPr>
        <w:t>Robert J. Brulle, The climate lobby: a sectoral analysis of lobbying spending on climate change in the USA, 2000 to 2016. </w:t>
      </w:r>
      <w:r w:rsidR="000355D5" w:rsidRPr="003C5AB0">
        <w:rPr>
          <w:i/>
          <w:iCs/>
          <w:sz w:val="18"/>
          <w:szCs w:val="18"/>
        </w:rPr>
        <w:t>Climatic Change</w:t>
      </w:r>
      <w:r w:rsidR="000355D5" w:rsidRPr="003C5AB0">
        <w:rPr>
          <w:sz w:val="18"/>
          <w:szCs w:val="18"/>
        </w:rPr>
        <w:t> 149, 289–303 (2018).</w:t>
      </w:r>
    </w:p>
  </w:footnote>
  <w:footnote w:id="156">
    <w:p w14:paraId="7DD3CBAB" w14:textId="59DDA503" w:rsidR="00584295" w:rsidRPr="003C5AB0" w:rsidRDefault="00584295" w:rsidP="00584295">
      <w:pPr>
        <w:pStyle w:val="FootnoteText"/>
        <w:rPr>
          <w:sz w:val="18"/>
          <w:szCs w:val="18"/>
        </w:rPr>
      </w:pPr>
      <w:r w:rsidRPr="003C5AB0">
        <w:rPr>
          <w:rStyle w:val="FootnoteReference"/>
          <w:color w:val="000000" w:themeColor="text1"/>
          <w:sz w:val="18"/>
          <w:szCs w:val="18"/>
        </w:rPr>
        <w:footnoteRef/>
      </w:r>
      <w:r w:rsidRPr="003C5AB0">
        <w:rPr>
          <w:color w:val="000000" w:themeColor="text1"/>
          <w:sz w:val="18"/>
          <w:szCs w:val="18"/>
        </w:rPr>
        <w:t xml:space="preserve"> </w:t>
      </w:r>
      <w:r w:rsidR="00AC7B07" w:rsidRPr="003C5AB0">
        <w:rPr>
          <w:i/>
          <w:iCs/>
          <w:color w:val="000000" w:themeColor="text1"/>
          <w:sz w:val="18"/>
          <w:szCs w:val="18"/>
        </w:rPr>
        <w:t>Id.</w:t>
      </w:r>
      <w:r w:rsidRPr="003C5AB0">
        <w:rPr>
          <w:color w:val="000000" w:themeColor="text1"/>
          <w:sz w:val="18"/>
          <w:szCs w:val="18"/>
        </w:rPr>
        <w:t xml:space="preserve"> </w:t>
      </w:r>
    </w:p>
  </w:footnote>
  <w:footnote w:id="157">
    <w:p w14:paraId="41394C84" w14:textId="59980A90" w:rsidR="00584295" w:rsidRPr="003C5AB0" w:rsidRDefault="00584295" w:rsidP="00584295">
      <w:pPr>
        <w:pStyle w:val="FootnoteText"/>
        <w:rPr>
          <w:sz w:val="18"/>
          <w:szCs w:val="18"/>
        </w:rPr>
      </w:pPr>
      <w:r w:rsidRPr="003C5AB0">
        <w:rPr>
          <w:rStyle w:val="FootnoteReference"/>
          <w:sz w:val="18"/>
          <w:szCs w:val="18"/>
        </w:rPr>
        <w:footnoteRef/>
      </w:r>
      <w:r w:rsidRPr="003C5AB0">
        <w:rPr>
          <w:sz w:val="18"/>
          <w:szCs w:val="18"/>
        </w:rPr>
        <w:t xml:space="preserve"> </w:t>
      </w:r>
      <w:r w:rsidRPr="003C5AB0">
        <w:rPr>
          <w:color w:val="000000"/>
          <w:sz w:val="18"/>
          <w:szCs w:val="18"/>
        </w:rPr>
        <w:t>Federal and state lobbying,</w:t>
      </w:r>
      <w:r w:rsidRPr="003C5AB0">
        <w:rPr>
          <w:rStyle w:val="apple-converted-space"/>
          <w:color w:val="000000"/>
          <w:sz w:val="18"/>
          <w:szCs w:val="18"/>
        </w:rPr>
        <w:t> </w:t>
      </w:r>
      <w:r w:rsidRPr="003C5AB0">
        <w:rPr>
          <w:color w:val="000000"/>
          <w:sz w:val="18"/>
          <w:szCs w:val="18"/>
        </w:rPr>
        <w:t xml:space="preserve">OpenSecrets, </w:t>
      </w:r>
      <w:hyperlink r:id="rId46" w:history="1">
        <w:r w:rsidR="00AC7B07" w:rsidRPr="003C5AB0">
          <w:rPr>
            <w:rStyle w:val="Hyperlink"/>
            <w:sz w:val="18"/>
            <w:szCs w:val="18"/>
          </w:rPr>
          <w:t>https://www.opensecrets.org/federal-lobbying/federal-and-state</w:t>
        </w:r>
      </w:hyperlink>
      <w:r w:rsidRPr="003C5AB0">
        <w:rPr>
          <w:color w:val="000000"/>
          <w:sz w:val="18"/>
          <w:szCs w:val="18"/>
        </w:rPr>
        <w:t>.</w:t>
      </w:r>
      <w:r w:rsidR="00AC7B07" w:rsidRPr="003C5AB0">
        <w:rPr>
          <w:color w:val="000000"/>
          <w:sz w:val="18"/>
          <w:szCs w:val="18"/>
        </w:rPr>
        <w:t xml:space="preserve"> </w:t>
      </w:r>
    </w:p>
  </w:footnote>
  <w:footnote w:id="158">
    <w:p w14:paraId="6B7EE311" w14:textId="20AC33B6" w:rsidR="00D0394B" w:rsidRPr="003C5AB0" w:rsidRDefault="00D0394B" w:rsidP="00D0394B">
      <w:pPr>
        <w:pStyle w:val="FootnoteText"/>
        <w:rPr>
          <w:sz w:val="18"/>
          <w:szCs w:val="18"/>
        </w:rPr>
      </w:pPr>
      <w:r w:rsidRPr="003C5AB0">
        <w:rPr>
          <w:rStyle w:val="FootnoteReference"/>
          <w:color w:val="000000" w:themeColor="text1"/>
          <w:sz w:val="18"/>
          <w:szCs w:val="18"/>
        </w:rPr>
        <w:footnoteRef/>
      </w:r>
      <w:r w:rsidRPr="003C5AB0">
        <w:rPr>
          <w:color w:val="000000" w:themeColor="text1"/>
          <w:sz w:val="18"/>
          <w:szCs w:val="18"/>
        </w:rPr>
        <w:t xml:space="preserve"> </w:t>
      </w:r>
      <w:bookmarkStart w:id="109" w:name="OLE_LINK178"/>
      <w:r w:rsidR="000355D5" w:rsidRPr="003C5AB0">
        <w:rPr>
          <w:color w:val="000000" w:themeColor="text1"/>
          <w:sz w:val="18"/>
          <w:szCs w:val="18"/>
        </w:rPr>
        <w:t>Brulle</w:t>
      </w:r>
      <w:r w:rsidR="00AC7B07" w:rsidRPr="003C5AB0">
        <w:rPr>
          <w:color w:val="000000" w:themeColor="text1"/>
          <w:sz w:val="18"/>
          <w:szCs w:val="18"/>
        </w:rPr>
        <w:t xml:space="preserve">, supra note </w:t>
      </w:r>
      <w:r w:rsidR="00460FE1" w:rsidRPr="003C5AB0">
        <w:rPr>
          <w:color w:val="000000" w:themeColor="text1"/>
          <w:sz w:val="18"/>
          <w:szCs w:val="18"/>
        </w:rPr>
        <w:fldChar w:fldCharType="begin"/>
      </w:r>
      <w:r w:rsidR="00460FE1" w:rsidRPr="003C5AB0">
        <w:rPr>
          <w:color w:val="000000" w:themeColor="text1"/>
          <w:sz w:val="18"/>
          <w:szCs w:val="18"/>
        </w:rPr>
        <w:instrText xml:space="preserve"> NOTEREF _Ref191565000 \h </w:instrText>
      </w:r>
      <w:r w:rsidR="008439E1" w:rsidRPr="003C5AB0">
        <w:rPr>
          <w:color w:val="000000" w:themeColor="text1"/>
          <w:sz w:val="18"/>
          <w:szCs w:val="18"/>
        </w:rPr>
        <w:instrText xml:space="preserve"> \* MERGEFORMAT </w:instrText>
      </w:r>
      <w:r w:rsidR="00460FE1" w:rsidRPr="003C5AB0">
        <w:rPr>
          <w:color w:val="000000" w:themeColor="text1"/>
          <w:sz w:val="18"/>
          <w:szCs w:val="18"/>
        </w:rPr>
      </w:r>
      <w:r w:rsidR="00460FE1" w:rsidRPr="003C5AB0">
        <w:rPr>
          <w:color w:val="000000" w:themeColor="text1"/>
          <w:sz w:val="18"/>
          <w:szCs w:val="18"/>
        </w:rPr>
        <w:fldChar w:fldCharType="separate"/>
      </w:r>
      <w:r w:rsidR="003C5AB0">
        <w:rPr>
          <w:color w:val="000000" w:themeColor="text1"/>
          <w:sz w:val="18"/>
          <w:szCs w:val="18"/>
        </w:rPr>
        <w:t>154</w:t>
      </w:r>
      <w:r w:rsidR="00460FE1" w:rsidRPr="003C5AB0">
        <w:rPr>
          <w:color w:val="000000" w:themeColor="text1"/>
          <w:sz w:val="18"/>
          <w:szCs w:val="18"/>
        </w:rPr>
        <w:fldChar w:fldCharType="end"/>
      </w:r>
      <w:r w:rsidR="00AC7B07" w:rsidRPr="003C5AB0">
        <w:rPr>
          <w:color w:val="000000" w:themeColor="text1"/>
          <w:sz w:val="18"/>
          <w:szCs w:val="18"/>
        </w:rPr>
        <w:t xml:space="preserve">. </w:t>
      </w:r>
      <w:bookmarkEnd w:id="109"/>
    </w:p>
  </w:footnote>
  <w:footnote w:id="159">
    <w:p w14:paraId="215C8881" w14:textId="77BFC461" w:rsidR="006D37DF" w:rsidRPr="003C5AB0" w:rsidRDefault="006D37DF" w:rsidP="006D37DF">
      <w:pPr>
        <w:pStyle w:val="FootnoteText"/>
        <w:rPr>
          <w:sz w:val="18"/>
          <w:szCs w:val="18"/>
        </w:rPr>
      </w:pPr>
      <w:r w:rsidRPr="003C5AB0">
        <w:rPr>
          <w:rStyle w:val="FootnoteReference"/>
          <w:sz w:val="18"/>
          <w:szCs w:val="18"/>
        </w:rPr>
        <w:footnoteRef/>
      </w:r>
      <w:r w:rsidRPr="003C5AB0">
        <w:rPr>
          <w:sz w:val="18"/>
          <w:szCs w:val="18"/>
        </w:rPr>
        <w:t xml:space="preserve"> </w:t>
      </w:r>
      <w:r w:rsidR="000355D5" w:rsidRPr="003C5AB0">
        <w:rPr>
          <w:sz w:val="18"/>
          <w:szCs w:val="18"/>
        </w:rPr>
        <w:t xml:space="preserve">EPIC, </w:t>
      </w:r>
      <w:r w:rsidR="000355D5" w:rsidRPr="003C5AB0">
        <w:rPr>
          <w:color w:val="000000"/>
          <w:sz w:val="18"/>
          <w:szCs w:val="18"/>
        </w:rPr>
        <w:t>Evidence is in: Lobbying Crushed Climate Bill’s hopes,</w:t>
      </w:r>
      <w:r w:rsidR="000355D5" w:rsidRPr="003C5AB0">
        <w:rPr>
          <w:rStyle w:val="apple-converted-space"/>
          <w:color w:val="000000"/>
          <w:sz w:val="18"/>
          <w:szCs w:val="18"/>
        </w:rPr>
        <w:t> </w:t>
      </w:r>
      <w:r w:rsidR="000355D5" w:rsidRPr="003C5AB0">
        <w:rPr>
          <w:sz w:val="18"/>
          <w:szCs w:val="18"/>
        </w:rPr>
        <w:t>UChicago Energy Policy Institute (</w:t>
      </w:r>
      <w:r w:rsidR="000355D5" w:rsidRPr="003C5AB0">
        <w:rPr>
          <w:color w:val="000000"/>
          <w:sz w:val="18"/>
          <w:szCs w:val="18"/>
        </w:rPr>
        <w:t>EPIC)</w:t>
      </w:r>
      <w:r w:rsidR="000355D5" w:rsidRPr="003C5AB0">
        <w:rPr>
          <w:rStyle w:val="apple-converted-space"/>
          <w:color w:val="000000"/>
          <w:sz w:val="18"/>
          <w:szCs w:val="18"/>
        </w:rPr>
        <w:t> </w:t>
      </w:r>
      <w:r w:rsidR="000355D5" w:rsidRPr="003C5AB0">
        <w:rPr>
          <w:color w:val="000000"/>
          <w:sz w:val="18"/>
          <w:szCs w:val="18"/>
        </w:rPr>
        <w:t xml:space="preserve">(2019), </w:t>
      </w:r>
      <w:hyperlink r:id="rId47" w:history="1">
        <w:r w:rsidR="000355D5" w:rsidRPr="003C5AB0">
          <w:rPr>
            <w:rStyle w:val="Hyperlink"/>
            <w:sz w:val="18"/>
            <w:szCs w:val="18"/>
          </w:rPr>
          <w:t>https://epic.uchicago.edu/insights/evidence-is-in-lobbying-crushed-climate-bills-hopes/</w:t>
        </w:r>
      </w:hyperlink>
      <w:r w:rsidR="000355D5" w:rsidRPr="003C5AB0">
        <w:rPr>
          <w:color w:val="000000"/>
          <w:sz w:val="18"/>
          <w:szCs w:val="18"/>
        </w:rPr>
        <w:t xml:space="preserve">. </w:t>
      </w:r>
    </w:p>
  </w:footnote>
  <w:footnote w:id="160">
    <w:p w14:paraId="14C31432" w14:textId="4EA9D5C2"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Kyle C</w:t>
      </w:r>
      <w:r w:rsidR="000355D5" w:rsidRPr="003C5AB0">
        <w:rPr>
          <w:sz w:val="18"/>
          <w:szCs w:val="18"/>
        </w:rPr>
        <w:t>. Meng</w:t>
      </w:r>
      <w:r w:rsidRPr="003C5AB0">
        <w:rPr>
          <w:sz w:val="18"/>
          <w:szCs w:val="18"/>
        </w:rPr>
        <w:t xml:space="preserve"> </w:t>
      </w:r>
      <w:r w:rsidR="000355D5" w:rsidRPr="003C5AB0">
        <w:rPr>
          <w:sz w:val="18"/>
          <w:szCs w:val="18"/>
        </w:rPr>
        <w:t>&amp;</w:t>
      </w:r>
      <w:r w:rsidRPr="003C5AB0">
        <w:rPr>
          <w:sz w:val="18"/>
          <w:szCs w:val="18"/>
        </w:rPr>
        <w:t xml:space="preserve"> Ashwin Rode</w:t>
      </w:r>
      <w:r w:rsidR="000355D5" w:rsidRPr="003C5AB0">
        <w:rPr>
          <w:sz w:val="18"/>
          <w:szCs w:val="18"/>
        </w:rPr>
        <w:t xml:space="preserve">, </w:t>
      </w:r>
      <w:r w:rsidRPr="003C5AB0">
        <w:rPr>
          <w:sz w:val="18"/>
          <w:szCs w:val="18"/>
        </w:rPr>
        <w:t>The Social Cost of Lobbying Over Climate Policy</w:t>
      </w:r>
      <w:r w:rsidR="000355D5" w:rsidRPr="003C5AB0">
        <w:rPr>
          <w:sz w:val="18"/>
          <w:szCs w:val="18"/>
        </w:rPr>
        <w:t xml:space="preserve"> (</w:t>
      </w:r>
      <w:r w:rsidRPr="003C5AB0">
        <w:rPr>
          <w:sz w:val="18"/>
          <w:szCs w:val="18"/>
        </w:rPr>
        <w:t>2019</w:t>
      </w:r>
      <w:r w:rsidR="000355D5" w:rsidRPr="003C5AB0">
        <w:rPr>
          <w:sz w:val="18"/>
          <w:szCs w:val="18"/>
        </w:rPr>
        <w:t>)</w:t>
      </w:r>
      <w:r w:rsidR="008439E1" w:rsidRPr="003C5AB0">
        <w:rPr>
          <w:sz w:val="18"/>
          <w:szCs w:val="18"/>
        </w:rPr>
        <w:t xml:space="preserve">, </w:t>
      </w:r>
      <w:r w:rsidR="00DB6363" w:rsidRPr="003C5AB0">
        <w:rPr>
          <w:sz w:val="18"/>
          <w:szCs w:val="18"/>
        </w:rPr>
        <w:t>at 3.</w:t>
      </w:r>
      <w:r w:rsidRPr="003C5AB0">
        <w:rPr>
          <w:sz w:val="18"/>
          <w:szCs w:val="18"/>
        </w:rPr>
        <w:t xml:space="preserve"> </w:t>
      </w:r>
    </w:p>
  </w:footnote>
  <w:footnote w:id="161">
    <w:p w14:paraId="306ABDD8" w14:textId="7ECCD4FF"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7.</w:t>
      </w:r>
    </w:p>
  </w:footnote>
  <w:footnote w:id="162">
    <w:p w14:paraId="6FB6D5FA" w14:textId="29E2491F" w:rsidR="00584295" w:rsidRPr="004A5F86" w:rsidRDefault="00584295">
      <w:pPr>
        <w:pStyle w:val="FootnoteText"/>
        <w:rPr>
          <w:sz w:val="18"/>
          <w:szCs w:val="18"/>
        </w:rPr>
      </w:pPr>
      <w:r w:rsidRPr="004A5F86">
        <w:rPr>
          <w:rStyle w:val="FootnoteReference"/>
          <w:sz w:val="18"/>
          <w:szCs w:val="18"/>
        </w:rPr>
        <w:footnoteRef/>
      </w:r>
      <w:r w:rsidRPr="004A5F86">
        <w:rPr>
          <w:sz w:val="18"/>
          <w:szCs w:val="18"/>
        </w:rPr>
        <w:t xml:space="preserve"> </w:t>
      </w:r>
      <w:r w:rsidRPr="004A5F86">
        <w:rPr>
          <w:i/>
          <w:iCs/>
          <w:sz w:val="18"/>
          <w:szCs w:val="18"/>
        </w:rPr>
        <w:t>Id.</w:t>
      </w:r>
    </w:p>
  </w:footnote>
  <w:footnote w:id="163">
    <w:p w14:paraId="12B9EEE6" w14:textId="647A4FA3" w:rsidR="002F5758" w:rsidRPr="003C5AB0" w:rsidRDefault="002F5758" w:rsidP="002F5758">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sz w:val="18"/>
          <w:szCs w:val="18"/>
        </w:rPr>
        <w:t xml:space="preserve">Mahoney, </w:t>
      </w:r>
      <w:r w:rsidR="00AC7B07" w:rsidRPr="003C5AB0">
        <w:rPr>
          <w:sz w:val="18"/>
          <w:szCs w:val="18"/>
        </w:rPr>
        <w:t xml:space="preserve">supra note </w:t>
      </w:r>
      <w:r w:rsidR="00460FE1" w:rsidRPr="003C5AB0">
        <w:rPr>
          <w:sz w:val="18"/>
          <w:szCs w:val="18"/>
        </w:rPr>
        <w:fldChar w:fldCharType="begin"/>
      </w:r>
      <w:r w:rsidR="00460FE1" w:rsidRPr="003C5AB0">
        <w:rPr>
          <w:sz w:val="18"/>
          <w:szCs w:val="18"/>
        </w:rPr>
        <w:instrText xml:space="preserve"> NOTEREF _Ref191564977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143</w:t>
      </w:r>
      <w:r w:rsidR="00460FE1" w:rsidRPr="003C5AB0">
        <w:rPr>
          <w:sz w:val="18"/>
          <w:szCs w:val="18"/>
        </w:rPr>
        <w:fldChar w:fldCharType="end"/>
      </w:r>
      <w:r w:rsidR="00DB6363" w:rsidRPr="003C5AB0">
        <w:rPr>
          <w:sz w:val="18"/>
          <w:szCs w:val="18"/>
        </w:rPr>
        <w:t>, at 37-39.</w:t>
      </w:r>
      <w:r w:rsidRPr="003C5AB0">
        <w:rPr>
          <w:sz w:val="18"/>
          <w:szCs w:val="18"/>
        </w:rPr>
        <w:t xml:space="preserve"> </w:t>
      </w:r>
    </w:p>
  </w:footnote>
  <w:footnote w:id="164">
    <w:p w14:paraId="3EBD14C2" w14:textId="23E5E116" w:rsidR="002F5758" w:rsidRPr="003C5AB0" w:rsidRDefault="002F5758">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00DB6363" w:rsidRPr="003C5AB0">
        <w:rPr>
          <w:sz w:val="18"/>
          <w:szCs w:val="18"/>
          <w:lang w:val="pt-BR"/>
        </w:rPr>
        <w:t xml:space="preserve">Meng, supra note </w:t>
      </w:r>
      <w:r w:rsidR="00460FE1" w:rsidRPr="003C5AB0">
        <w:rPr>
          <w:sz w:val="18"/>
          <w:szCs w:val="18"/>
          <w:lang w:val="pt-BR"/>
        </w:rPr>
        <w:fldChar w:fldCharType="begin"/>
      </w:r>
      <w:r w:rsidR="00460FE1" w:rsidRPr="003C5AB0">
        <w:rPr>
          <w:sz w:val="18"/>
          <w:szCs w:val="18"/>
          <w:lang w:val="pt-BR"/>
        </w:rPr>
        <w:instrText xml:space="preserve"> NOTEREF _Ref191565056 \h </w:instrText>
      </w:r>
      <w:r w:rsidR="008439E1" w:rsidRPr="003C5AB0">
        <w:rPr>
          <w:sz w:val="18"/>
          <w:szCs w:val="18"/>
          <w:lang w:val="pt-BR"/>
        </w:rPr>
        <w:instrText xml:space="preserve"> \* MERGEFORMAT </w:instrText>
      </w:r>
      <w:r w:rsidR="00460FE1" w:rsidRPr="003C5AB0">
        <w:rPr>
          <w:sz w:val="18"/>
          <w:szCs w:val="18"/>
          <w:lang w:val="pt-BR"/>
        </w:rPr>
      </w:r>
      <w:r w:rsidR="00460FE1" w:rsidRPr="003C5AB0">
        <w:rPr>
          <w:sz w:val="18"/>
          <w:szCs w:val="18"/>
          <w:lang w:val="pt-BR"/>
        </w:rPr>
        <w:fldChar w:fldCharType="separate"/>
      </w:r>
      <w:r w:rsidR="003C5AB0">
        <w:rPr>
          <w:sz w:val="18"/>
          <w:szCs w:val="18"/>
          <w:lang w:val="pt-BR"/>
        </w:rPr>
        <w:t>159</w:t>
      </w:r>
      <w:r w:rsidR="00460FE1" w:rsidRPr="003C5AB0">
        <w:rPr>
          <w:sz w:val="18"/>
          <w:szCs w:val="18"/>
          <w:lang w:val="pt-BR"/>
        </w:rPr>
        <w:fldChar w:fldCharType="end"/>
      </w:r>
      <w:r w:rsidR="00DB6363" w:rsidRPr="003C5AB0">
        <w:rPr>
          <w:sz w:val="18"/>
          <w:szCs w:val="18"/>
          <w:lang w:val="pt-BR"/>
        </w:rPr>
        <w:t>.</w:t>
      </w:r>
    </w:p>
  </w:footnote>
  <w:footnote w:id="165">
    <w:p w14:paraId="7E6C5094" w14:textId="44F8BC78" w:rsidR="001D5B95" w:rsidRPr="003C5AB0" w:rsidRDefault="001D5B95" w:rsidP="001D5B95">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bookmarkStart w:id="114" w:name="OLE_LINK182"/>
      <w:r w:rsidRPr="003C5AB0">
        <w:rPr>
          <w:sz w:val="18"/>
          <w:szCs w:val="18"/>
          <w:lang w:val="pt-BR"/>
        </w:rPr>
        <w:t xml:space="preserve">Gordon, </w:t>
      </w:r>
      <w:r w:rsidR="005C76F0" w:rsidRPr="003C5AB0">
        <w:rPr>
          <w:sz w:val="18"/>
          <w:szCs w:val="18"/>
          <w:lang w:val="pt-BR"/>
        </w:rPr>
        <w:t xml:space="preserve">supra note </w:t>
      </w:r>
      <w:r w:rsidR="00460FE1" w:rsidRPr="003C5AB0">
        <w:rPr>
          <w:sz w:val="18"/>
          <w:szCs w:val="18"/>
          <w:lang w:val="pt-BR"/>
        </w:rPr>
        <w:fldChar w:fldCharType="begin"/>
      </w:r>
      <w:r w:rsidR="00460FE1" w:rsidRPr="003C5AB0">
        <w:rPr>
          <w:sz w:val="18"/>
          <w:szCs w:val="18"/>
          <w:lang w:val="pt-BR"/>
        </w:rPr>
        <w:instrText xml:space="preserve"> NOTEREF _Ref191563650 \h </w:instrText>
      </w:r>
      <w:r w:rsidR="008439E1" w:rsidRPr="003C5AB0">
        <w:rPr>
          <w:sz w:val="18"/>
          <w:szCs w:val="18"/>
          <w:lang w:val="pt-BR"/>
        </w:rPr>
        <w:instrText xml:space="preserve"> \* MERGEFORMAT </w:instrText>
      </w:r>
      <w:r w:rsidR="00460FE1" w:rsidRPr="003C5AB0">
        <w:rPr>
          <w:sz w:val="18"/>
          <w:szCs w:val="18"/>
          <w:lang w:val="pt-BR"/>
        </w:rPr>
      </w:r>
      <w:r w:rsidR="00460FE1" w:rsidRPr="003C5AB0">
        <w:rPr>
          <w:sz w:val="18"/>
          <w:szCs w:val="18"/>
          <w:lang w:val="pt-BR"/>
        </w:rPr>
        <w:fldChar w:fldCharType="separate"/>
      </w:r>
      <w:r w:rsidR="003C5AB0">
        <w:rPr>
          <w:sz w:val="18"/>
          <w:szCs w:val="18"/>
          <w:lang w:val="pt-BR"/>
        </w:rPr>
        <w:t>8</w:t>
      </w:r>
      <w:r w:rsidR="00460FE1" w:rsidRPr="003C5AB0">
        <w:rPr>
          <w:sz w:val="18"/>
          <w:szCs w:val="18"/>
          <w:lang w:val="pt-BR"/>
        </w:rPr>
        <w:fldChar w:fldCharType="end"/>
      </w:r>
      <w:r w:rsidRPr="003C5AB0">
        <w:rPr>
          <w:sz w:val="18"/>
          <w:szCs w:val="18"/>
          <w:lang w:val="pt-BR"/>
        </w:rPr>
        <w:t xml:space="preserve">, </w:t>
      </w:r>
      <w:proofErr w:type="spellStart"/>
      <w:r w:rsidRPr="003C5AB0">
        <w:rPr>
          <w:sz w:val="18"/>
          <w:szCs w:val="18"/>
          <w:lang w:val="pt-BR"/>
        </w:rPr>
        <w:t>at</w:t>
      </w:r>
      <w:proofErr w:type="spellEnd"/>
      <w:r w:rsidRPr="003C5AB0">
        <w:rPr>
          <w:sz w:val="18"/>
          <w:szCs w:val="18"/>
          <w:lang w:val="pt-BR"/>
        </w:rPr>
        <w:t xml:space="preserve"> 12.</w:t>
      </w:r>
      <w:bookmarkEnd w:id="114"/>
    </w:p>
  </w:footnote>
  <w:footnote w:id="166">
    <w:p w14:paraId="661D3254" w14:textId="15631945" w:rsidR="00796524" w:rsidRPr="003C5AB0" w:rsidRDefault="00796524">
      <w:pPr>
        <w:pStyle w:val="FootnoteText"/>
        <w:rPr>
          <w:sz w:val="18"/>
          <w:szCs w:val="18"/>
          <w:lang w:val="pt-BR"/>
        </w:rPr>
      </w:pPr>
      <w:r w:rsidRPr="003C5AB0">
        <w:rPr>
          <w:rStyle w:val="FootnoteReference"/>
          <w:sz w:val="18"/>
          <w:szCs w:val="18"/>
        </w:rPr>
        <w:footnoteRef/>
      </w:r>
      <w:r w:rsidRPr="003C5AB0">
        <w:rPr>
          <w:sz w:val="18"/>
          <w:szCs w:val="18"/>
          <w:lang w:val="pt-BR"/>
        </w:rPr>
        <w:t xml:space="preserve"> Gadinis</w:t>
      </w:r>
      <w:r w:rsidR="00DB6363" w:rsidRPr="003C5AB0">
        <w:rPr>
          <w:sz w:val="18"/>
          <w:szCs w:val="18"/>
          <w:lang w:val="pt-BR"/>
        </w:rPr>
        <w:t xml:space="preserve">, </w:t>
      </w:r>
      <w:r w:rsidR="003507F9" w:rsidRPr="003C5AB0">
        <w:rPr>
          <w:sz w:val="18"/>
          <w:szCs w:val="18"/>
          <w:lang w:val="pt-BR"/>
        </w:rPr>
        <w:t xml:space="preserve">supra note </w:t>
      </w:r>
      <w:r w:rsidR="00460FE1" w:rsidRPr="003C5AB0">
        <w:rPr>
          <w:sz w:val="18"/>
          <w:szCs w:val="18"/>
          <w:lang w:val="pt-BR"/>
        </w:rPr>
        <w:fldChar w:fldCharType="begin"/>
      </w:r>
      <w:r w:rsidR="00460FE1" w:rsidRPr="003C5AB0">
        <w:rPr>
          <w:sz w:val="18"/>
          <w:szCs w:val="18"/>
          <w:lang w:val="pt-BR"/>
        </w:rPr>
        <w:instrText xml:space="preserve"> NOTEREF _Ref191563183 \h </w:instrText>
      </w:r>
      <w:r w:rsidR="008439E1" w:rsidRPr="003C5AB0">
        <w:rPr>
          <w:sz w:val="18"/>
          <w:szCs w:val="18"/>
          <w:lang w:val="pt-BR"/>
        </w:rPr>
        <w:instrText xml:space="preserve"> \* MERGEFORMAT </w:instrText>
      </w:r>
      <w:r w:rsidR="00460FE1" w:rsidRPr="003C5AB0">
        <w:rPr>
          <w:sz w:val="18"/>
          <w:szCs w:val="18"/>
          <w:lang w:val="pt-BR"/>
        </w:rPr>
      </w:r>
      <w:r w:rsidR="00460FE1" w:rsidRPr="003C5AB0">
        <w:rPr>
          <w:sz w:val="18"/>
          <w:szCs w:val="18"/>
          <w:lang w:val="pt-BR"/>
        </w:rPr>
        <w:fldChar w:fldCharType="separate"/>
      </w:r>
      <w:r w:rsidR="003C5AB0">
        <w:rPr>
          <w:sz w:val="18"/>
          <w:szCs w:val="18"/>
          <w:lang w:val="pt-BR"/>
        </w:rPr>
        <w:t>7</w:t>
      </w:r>
      <w:r w:rsidR="00460FE1" w:rsidRPr="003C5AB0">
        <w:rPr>
          <w:sz w:val="18"/>
          <w:szCs w:val="18"/>
          <w:lang w:val="pt-BR"/>
        </w:rPr>
        <w:fldChar w:fldCharType="end"/>
      </w:r>
      <w:r w:rsidR="00DB6363" w:rsidRPr="003C5AB0">
        <w:rPr>
          <w:sz w:val="18"/>
          <w:szCs w:val="18"/>
          <w:lang w:val="pt-BR"/>
        </w:rPr>
        <w:t xml:space="preserve">, </w:t>
      </w:r>
      <w:proofErr w:type="spellStart"/>
      <w:r w:rsidR="00DB6363" w:rsidRPr="003C5AB0">
        <w:rPr>
          <w:sz w:val="18"/>
          <w:szCs w:val="18"/>
          <w:lang w:val="pt-BR"/>
        </w:rPr>
        <w:t>at</w:t>
      </w:r>
      <w:proofErr w:type="spellEnd"/>
      <w:r w:rsidR="00DB6363" w:rsidRPr="003C5AB0">
        <w:rPr>
          <w:sz w:val="18"/>
          <w:szCs w:val="18"/>
          <w:lang w:val="pt-BR"/>
        </w:rPr>
        <w:t xml:space="preserve"> </w:t>
      </w:r>
      <w:r w:rsidRPr="003C5AB0">
        <w:rPr>
          <w:sz w:val="18"/>
          <w:szCs w:val="18"/>
          <w:lang w:val="pt-BR"/>
        </w:rPr>
        <w:t>16.</w:t>
      </w:r>
    </w:p>
  </w:footnote>
  <w:footnote w:id="167">
    <w:p w14:paraId="6AF6EADC" w14:textId="792EA9F1" w:rsidR="00796524" w:rsidRPr="003C5AB0" w:rsidRDefault="00796524">
      <w:pPr>
        <w:pStyle w:val="FootnoteText"/>
        <w:rPr>
          <w:sz w:val="18"/>
          <w:szCs w:val="18"/>
          <w:lang w:val="pt-BR"/>
        </w:rPr>
      </w:pPr>
      <w:r w:rsidRPr="003C5AB0">
        <w:rPr>
          <w:rStyle w:val="FootnoteReference"/>
          <w:sz w:val="18"/>
          <w:szCs w:val="18"/>
        </w:rPr>
        <w:footnoteRef/>
      </w:r>
      <w:r w:rsidRPr="003C5AB0">
        <w:rPr>
          <w:sz w:val="18"/>
          <w:szCs w:val="18"/>
          <w:lang w:val="pt-BR"/>
        </w:rPr>
        <w:t xml:space="preserve"> </w:t>
      </w:r>
      <w:r w:rsidR="00DB6363" w:rsidRPr="003C5AB0">
        <w:rPr>
          <w:sz w:val="18"/>
          <w:szCs w:val="18"/>
          <w:lang w:val="pt-BR"/>
        </w:rPr>
        <w:t xml:space="preserve">SEC, supra note </w:t>
      </w:r>
      <w:r w:rsidR="00460FE1" w:rsidRPr="003C5AB0">
        <w:rPr>
          <w:sz w:val="18"/>
          <w:szCs w:val="18"/>
          <w:lang w:val="pt-BR"/>
        </w:rPr>
        <w:fldChar w:fldCharType="begin"/>
      </w:r>
      <w:r w:rsidR="00460FE1" w:rsidRPr="003C5AB0">
        <w:rPr>
          <w:sz w:val="18"/>
          <w:szCs w:val="18"/>
          <w:lang w:val="pt-BR"/>
        </w:rPr>
        <w:instrText xml:space="preserve"> NOTEREF OLE_LINK52 \h </w:instrText>
      </w:r>
      <w:r w:rsidR="008439E1" w:rsidRPr="003C5AB0">
        <w:rPr>
          <w:sz w:val="18"/>
          <w:szCs w:val="18"/>
          <w:lang w:val="pt-BR"/>
        </w:rPr>
        <w:instrText xml:space="preserve"> \* MERGEFORMAT </w:instrText>
      </w:r>
      <w:r w:rsidR="00460FE1" w:rsidRPr="003C5AB0">
        <w:rPr>
          <w:sz w:val="18"/>
          <w:szCs w:val="18"/>
          <w:lang w:val="pt-BR"/>
        </w:rPr>
      </w:r>
      <w:r w:rsidR="00460FE1" w:rsidRPr="003C5AB0">
        <w:rPr>
          <w:sz w:val="18"/>
          <w:szCs w:val="18"/>
          <w:lang w:val="pt-BR"/>
        </w:rPr>
        <w:fldChar w:fldCharType="separate"/>
      </w:r>
      <w:r w:rsidR="003C5AB0">
        <w:rPr>
          <w:sz w:val="18"/>
          <w:szCs w:val="18"/>
          <w:lang w:val="pt-BR"/>
        </w:rPr>
        <w:t>42</w:t>
      </w:r>
      <w:r w:rsidR="00460FE1" w:rsidRPr="003C5AB0">
        <w:rPr>
          <w:sz w:val="18"/>
          <w:szCs w:val="18"/>
          <w:lang w:val="pt-BR"/>
        </w:rPr>
        <w:fldChar w:fldCharType="end"/>
      </w:r>
      <w:r w:rsidR="00DB6363" w:rsidRPr="003C5AB0">
        <w:rPr>
          <w:sz w:val="18"/>
          <w:szCs w:val="18"/>
          <w:lang w:val="pt-BR"/>
        </w:rPr>
        <w:t>;</w:t>
      </w:r>
      <w:r w:rsidRPr="003C5AB0">
        <w:rPr>
          <w:sz w:val="18"/>
          <w:szCs w:val="18"/>
          <w:lang w:val="pt-BR"/>
        </w:rPr>
        <w:t xml:space="preserve"> </w:t>
      </w:r>
      <w:r w:rsidR="00DB6363" w:rsidRPr="003C5AB0">
        <w:rPr>
          <w:sz w:val="18"/>
          <w:szCs w:val="18"/>
          <w:lang w:val="pt-BR"/>
        </w:rPr>
        <w:t xml:space="preserve">Tarantino, supra note </w:t>
      </w:r>
      <w:r w:rsidR="00460FE1" w:rsidRPr="003C5AB0">
        <w:rPr>
          <w:sz w:val="18"/>
          <w:szCs w:val="18"/>
          <w:lang w:val="pt-BR"/>
        </w:rPr>
        <w:fldChar w:fldCharType="begin"/>
      </w:r>
      <w:r w:rsidR="00460FE1" w:rsidRPr="003C5AB0">
        <w:rPr>
          <w:sz w:val="18"/>
          <w:szCs w:val="18"/>
          <w:lang w:val="pt-BR"/>
        </w:rPr>
        <w:instrText xml:space="preserve"> NOTEREF _Ref191564456 \h </w:instrText>
      </w:r>
      <w:r w:rsidR="008439E1" w:rsidRPr="003C5AB0">
        <w:rPr>
          <w:sz w:val="18"/>
          <w:szCs w:val="18"/>
          <w:lang w:val="pt-BR"/>
        </w:rPr>
        <w:instrText xml:space="preserve"> \* MERGEFORMAT </w:instrText>
      </w:r>
      <w:r w:rsidR="00460FE1" w:rsidRPr="003C5AB0">
        <w:rPr>
          <w:sz w:val="18"/>
          <w:szCs w:val="18"/>
          <w:lang w:val="pt-BR"/>
        </w:rPr>
      </w:r>
      <w:r w:rsidR="00460FE1" w:rsidRPr="003C5AB0">
        <w:rPr>
          <w:sz w:val="18"/>
          <w:szCs w:val="18"/>
          <w:lang w:val="pt-BR"/>
        </w:rPr>
        <w:fldChar w:fldCharType="separate"/>
      </w:r>
      <w:r w:rsidR="003C5AB0">
        <w:rPr>
          <w:sz w:val="18"/>
          <w:szCs w:val="18"/>
          <w:lang w:val="pt-BR"/>
        </w:rPr>
        <w:t>29</w:t>
      </w:r>
      <w:r w:rsidR="00460FE1" w:rsidRPr="003C5AB0">
        <w:rPr>
          <w:sz w:val="18"/>
          <w:szCs w:val="18"/>
          <w:lang w:val="pt-BR"/>
        </w:rPr>
        <w:fldChar w:fldCharType="end"/>
      </w:r>
      <w:r w:rsidR="00DB6363" w:rsidRPr="003C5AB0">
        <w:rPr>
          <w:sz w:val="18"/>
          <w:szCs w:val="18"/>
          <w:lang w:val="pt-BR"/>
        </w:rPr>
        <w:t xml:space="preserve">. </w:t>
      </w:r>
    </w:p>
  </w:footnote>
  <w:footnote w:id="168">
    <w:p w14:paraId="5A5B92EB" w14:textId="0E3A74AC" w:rsidR="00796524" w:rsidRPr="003C5AB0" w:rsidRDefault="00796524">
      <w:pPr>
        <w:pStyle w:val="FootnoteText"/>
        <w:rPr>
          <w:sz w:val="18"/>
          <w:szCs w:val="18"/>
        </w:rPr>
      </w:pPr>
      <w:r w:rsidRPr="003C5AB0">
        <w:rPr>
          <w:rStyle w:val="FootnoteReference"/>
          <w:sz w:val="18"/>
          <w:szCs w:val="18"/>
        </w:rPr>
        <w:footnoteRef/>
      </w:r>
      <w:r w:rsidRPr="003C5AB0">
        <w:rPr>
          <w:sz w:val="18"/>
          <w:szCs w:val="18"/>
        </w:rPr>
        <w:t xml:space="preserve"> Gadinis</w:t>
      </w:r>
      <w:r w:rsidR="00DB6363" w:rsidRPr="003C5AB0">
        <w:rPr>
          <w:sz w:val="18"/>
          <w:szCs w:val="18"/>
        </w:rPr>
        <w:t xml:space="preserve">, </w:t>
      </w:r>
      <w:r w:rsidR="003507F9" w:rsidRPr="003C5AB0">
        <w:rPr>
          <w:sz w:val="18"/>
          <w:szCs w:val="18"/>
        </w:rPr>
        <w:t xml:space="preserve">supra note </w:t>
      </w:r>
      <w:r w:rsidR="00460FE1" w:rsidRPr="003C5AB0">
        <w:rPr>
          <w:sz w:val="18"/>
          <w:szCs w:val="18"/>
        </w:rPr>
        <w:fldChar w:fldCharType="begin"/>
      </w:r>
      <w:r w:rsidR="00460FE1" w:rsidRPr="003C5AB0">
        <w:rPr>
          <w:sz w:val="18"/>
          <w:szCs w:val="18"/>
        </w:rPr>
        <w:instrText xml:space="preserve"> NOTEREF _Ref191563183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7</w:t>
      </w:r>
      <w:r w:rsidR="00460FE1" w:rsidRPr="003C5AB0">
        <w:rPr>
          <w:sz w:val="18"/>
          <w:szCs w:val="18"/>
        </w:rPr>
        <w:fldChar w:fldCharType="end"/>
      </w:r>
      <w:r w:rsidR="00DB6363" w:rsidRPr="003C5AB0">
        <w:rPr>
          <w:sz w:val="18"/>
          <w:szCs w:val="18"/>
        </w:rPr>
        <w:t>, at</w:t>
      </w:r>
      <w:r w:rsidRPr="003C5AB0">
        <w:rPr>
          <w:sz w:val="18"/>
          <w:szCs w:val="18"/>
        </w:rPr>
        <w:t xml:space="preserve"> 16.</w:t>
      </w:r>
    </w:p>
  </w:footnote>
  <w:footnote w:id="169">
    <w:p w14:paraId="454A8CC4" w14:textId="1B7BE1FE" w:rsidR="0099558A" w:rsidRPr="003C5AB0" w:rsidRDefault="0099558A">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color w:val="000000"/>
          <w:sz w:val="18"/>
          <w:szCs w:val="18"/>
        </w:rPr>
        <w:t>EPA,</w:t>
      </w:r>
      <w:r w:rsidR="00DB6363" w:rsidRPr="003C5AB0">
        <w:rPr>
          <w:sz w:val="18"/>
          <w:szCs w:val="18"/>
        </w:rPr>
        <w:t xml:space="preserve"> </w:t>
      </w:r>
      <w:r w:rsidR="00DB6363" w:rsidRPr="003C5AB0">
        <w:rPr>
          <w:color w:val="000000"/>
          <w:sz w:val="18"/>
          <w:szCs w:val="18"/>
        </w:rPr>
        <w:t xml:space="preserve">Scope 3 Inventory Guidance, </w:t>
      </w:r>
      <w:hyperlink r:id="rId48" w:history="1">
        <w:r w:rsidR="00AC7B07" w:rsidRPr="003C5AB0">
          <w:rPr>
            <w:rStyle w:val="Hyperlink"/>
            <w:sz w:val="18"/>
            <w:szCs w:val="18"/>
          </w:rPr>
          <w:t>https://www.epa.gov/climateleadership/scope-3-inventory-guidance</w:t>
        </w:r>
      </w:hyperlink>
      <w:r w:rsidR="00DB6363" w:rsidRPr="003C5AB0">
        <w:rPr>
          <w:color w:val="000000"/>
          <w:sz w:val="18"/>
          <w:szCs w:val="18"/>
        </w:rPr>
        <w:t>.</w:t>
      </w:r>
      <w:r w:rsidR="00AC7B07" w:rsidRPr="003C5AB0">
        <w:rPr>
          <w:color w:val="000000"/>
          <w:sz w:val="18"/>
          <w:szCs w:val="18"/>
        </w:rPr>
        <w:t xml:space="preserve"> </w:t>
      </w:r>
    </w:p>
  </w:footnote>
  <w:footnote w:id="170">
    <w:p w14:paraId="72AD47A9" w14:textId="739A902C" w:rsidR="0099558A" w:rsidRPr="003C5AB0" w:rsidRDefault="0099558A" w:rsidP="0099558A">
      <w:pPr>
        <w:pStyle w:val="FootnoteText"/>
        <w:rPr>
          <w:sz w:val="18"/>
          <w:szCs w:val="18"/>
        </w:rPr>
      </w:pPr>
      <w:r w:rsidRPr="003C5AB0">
        <w:rPr>
          <w:rStyle w:val="FootnoteReference"/>
          <w:sz w:val="18"/>
          <w:szCs w:val="18"/>
        </w:rPr>
        <w:footnoteRef/>
      </w:r>
      <w:r w:rsidRPr="003C5AB0">
        <w:rPr>
          <w:sz w:val="18"/>
          <w:szCs w:val="18"/>
        </w:rPr>
        <w:t xml:space="preserve"> </w:t>
      </w:r>
      <w:bookmarkStart w:id="117" w:name="OLE_LINK180"/>
      <w:r w:rsidRPr="003C5AB0">
        <w:rPr>
          <w:sz w:val="18"/>
          <w:szCs w:val="18"/>
        </w:rPr>
        <w:t>Gadinis</w:t>
      </w:r>
      <w:r w:rsidR="00DB6363" w:rsidRPr="003C5AB0">
        <w:rPr>
          <w:sz w:val="18"/>
          <w:szCs w:val="18"/>
        </w:rPr>
        <w:t xml:space="preserve">, </w:t>
      </w:r>
      <w:r w:rsidR="003507F9" w:rsidRPr="003C5AB0">
        <w:rPr>
          <w:sz w:val="18"/>
          <w:szCs w:val="18"/>
        </w:rPr>
        <w:t xml:space="preserve">supra note </w:t>
      </w:r>
      <w:r w:rsidR="00460FE1" w:rsidRPr="003C5AB0">
        <w:rPr>
          <w:sz w:val="18"/>
          <w:szCs w:val="18"/>
        </w:rPr>
        <w:fldChar w:fldCharType="begin"/>
      </w:r>
      <w:r w:rsidR="00460FE1" w:rsidRPr="003C5AB0">
        <w:rPr>
          <w:sz w:val="18"/>
          <w:szCs w:val="18"/>
        </w:rPr>
        <w:instrText xml:space="preserve"> NOTEREF _Ref191563183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7</w:t>
      </w:r>
      <w:r w:rsidR="00460FE1" w:rsidRPr="003C5AB0">
        <w:rPr>
          <w:sz w:val="18"/>
          <w:szCs w:val="18"/>
        </w:rPr>
        <w:fldChar w:fldCharType="end"/>
      </w:r>
      <w:r w:rsidR="00DB6363" w:rsidRPr="003C5AB0">
        <w:rPr>
          <w:sz w:val="18"/>
          <w:szCs w:val="18"/>
        </w:rPr>
        <w:t>, at</w:t>
      </w:r>
      <w:r w:rsidRPr="003C5AB0">
        <w:rPr>
          <w:sz w:val="18"/>
          <w:szCs w:val="18"/>
        </w:rPr>
        <w:t xml:space="preserve"> 9</w:t>
      </w:r>
      <w:r w:rsidR="00DB6363" w:rsidRPr="003C5AB0">
        <w:rPr>
          <w:sz w:val="18"/>
          <w:szCs w:val="18"/>
        </w:rPr>
        <w:t>.</w:t>
      </w:r>
      <w:bookmarkEnd w:id="117"/>
    </w:p>
  </w:footnote>
  <w:footnote w:id="171">
    <w:p w14:paraId="7DB2DE3E" w14:textId="12D0B2BD" w:rsidR="00412486" w:rsidRPr="003C5AB0" w:rsidRDefault="00412486">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p>
  </w:footnote>
  <w:footnote w:id="172">
    <w:p w14:paraId="59EF1FFE" w14:textId="6B65ADE3"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bookmarkStart w:id="119" w:name="OLE_LINK181"/>
      <w:r w:rsidR="00DB6363" w:rsidRPr="003C5AB0">
        <w:rPr>
          <w:i/>
          <w:iCs/>
          <w:sz w:val="18"/>
          <w:szCs w:val="18"/>
        </w:rPr>
        <w:t>Id.</w:t>
      </w:r>
      <w:r w:rsidR="00DB6363" w:rsidRPr="003C5AB0">
        <w:rPr>
          <w:sz w:val="18"/>
          <w:szCs w:val="18"/>
        </w:rPr>
        <w:t xml:space="preserve"> at 9-</w:t>
      </w:r>
      <w:r w:rsidRPr="003C5AB0">
        <w:rPr>
          <w:sz w:val="18"/>
          <w:szCs w:val="18"/>
        </w:rPr>
        <w:t>35</w:t>
      </w:r>
      <w:r w:rsidR="00DB6363" w:rsidRPr="003C5AB0">
        <w:rPr>
          <w:sz w:val="18"/>
          <w:szCs w:val="18"/>
        </w:rPr>
        <w:t>.</w:t>
      </w:r>
      <w:bookmarkEnd w:id="119"/>
    </w:p>
  </w:footnote>
  <w:footnote w:id="173">
    <w:p w14:paraId="45AB4936" w14:textId="4F3DF334" w:rsidR="00711BC8" w:rsidRPr="003C5AB0" w:rsidRDefault="00711BC8" w:rsidP="00372B11">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w:t>
      </w:r>
      <w:r w:rsidRPr="003C5AB0">
        <w:rPr>
          <w:sz w:val="18"/>
          <w:szCs w:val="18"/>
        </w:rPr>
        <w:t>14</w:t>
      </w:r>
      <w:r w:rsidR="00DB6363" w:rsidRPr="003C5AB0">
        <w:rPr>
          <w:sz w:val="18"/>
          <w:szCs w:val="18"/>
        </w:rPr>
        <w:t>.</w:t>
      </w:r>
    </w:p>
  </w:footnote>
  <w:footnote w:id="174">
    <w:p w14:paraId="572472B5" w14:textId="16A7E237" w:rsidR="00711BC8" w:rsidRPr="003C5AB0" w:rsidRDefault="00711BC8" w:rsidP="00372B11">
      <w:pPr>
        <w:pStyle w:val="FootnoteText"/>
        <w:rPr>
          <w:sz w:val="18"/>
          <w:szCs w:val="18"/>
        </w:rPr>
      </w:pPr>
      <w:r w:rsidRPr="003C5AB0">
        <w:rPr>
          <w:rStyle w:val="FootnoteReference"/>
          <w:sz w:val="18"/>
          <w:szCs w:val="18"/>
        </w:rPr>
        <w:footnoteRef/>
      </w:r>
      <w:r w:rsidRPr="003C5AB0">
        <w:rPr>
          <w:i/>
          <w:iCs/>
          <w:sz w:val="18"/>
          <w:szCs w:val="18"/>
        </w:rPr>
        <w:t xml:space="preserve"> </w:t>
      </w:r>
      <w:r w:rsidR="00DB6363" w:rsidRPr="003C5AB0">
        <w:rPr>
          <w:i/>
          <w:iCs/>
          <w:sz w:val="18"/>
          <w:szCs w:val="18"/>
        </w:rPr>
        <w:t>Id</w:t>
      </w:r>
      <w:r w:rsidR="00DB6363" w:rsidRPr="003C5AB0">
        <w:rPr>
          <w:sz w:val="18"/>
          <w:szCs w:val="18"/>
        </w:rPr>
        <w:t>. at 35.</w:t>
      </w:r>
    </w:p>
  </w:footnote>
  <w:footnote w:id="175">
    <w:p w14:paraId="3338323B" w14:textId="419E2708" w:rsidR="001E231C" w:rsidRPr="003C5AB0" w:rsidRDefault="001E231C" w:rsidP="00372B11">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8.</w:t>
      </w:r>
    </w:p>
  </w:footnote>
  <w:footnote w:id="176">
    <w:p w14:paraId="42EB9B84" w14:textId="77777777" w:rsidR="007B4C56" w:rsidRPr="003C5AB0" w:rsidRDefault="007B4C56" w:rsidP="007B4C56">
      <w:pPr>
        <w:pStyle w:val="FootnoteText"/>
        <w:rPr>
          <w:sz w:val="18"/>
          <w:szCs w:val="18"/>
        </w:rPr>
      </w:pPr>
      <w:r w:rsidRPr="003C5AB0">
        <w:rPr>
          <w:rStyle w:val="FootnoteReference"/>
          <w:i/>
          <w:iCs/>
          <w:sz w:val="18"/>
          <w:szCs w:val="18"/>
        </w:rPr>
        <w:footnoteRef/>
      </w:r>
      <w:r w:rsidRPr="003C5AB0">
        <w:rPr>
          <w:i/>
          <w:iCs/>
          <w:sz w:val="18"/>
          <w:szCs w:val="18"/>
        </w:rPr>
        <w:t xml:space="preserve"> Id.</w:t>
      </w:r>
      <w:r w:rsidRPr="003C5AB0">
        <w:rPr>
          <w:sz w:val="18"/>
          <w:szCs w:val="18"/>
        </w:rPr>
        <w:t xml:space="preserve"> at 17.</w:t>
      </w:r>
    </w:p>
  </w:footnote>
  <w:footnote w:id="177">
    <w:p w14:paraId="0DEBC7A5" w14:textId="6B4C2995" w:rsidR="001E231C" w:rsidRPr="003C5AB0" w:rsidRDefault="001E231C" w:rsidP="00372B11">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w:t>
      </w:r>
      <w:r w:rsidRPr="003C5AB0">
        <w:rPr>
          <w:sz w:val="18"/>
          <w:szCs w:val="18"/>
        </w:rPr>
        <w:t>16</w:t>
      </w:r>
      <w:r w:rsidR="00DB6363" w:rsidRPr="003C5AB0">
        <w:rPr>
          <w:sz w:val="18"/>
          <w:szCs w:val="18"/>
        </w:rPr>
        <w:t>.</w:t>
      </w:r>
    </w:p>
  </w:footnote>
  <w:footnote w:id="178">
    <w:p w14:paraId="2117D20F" w14:textId="63E42480" w:rsidR="00412486" w:rsidRPr="003C5AB0" w:rsidRDefault="00412486">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w:t>
      </w:r>
      <w:r w:rsidRPr="003C5AB0">
        <w:rPr>
          <w:sz w:val="18"/>
          <w:szCs w:val="18"/>
        </w:rPr>
        <w:t>8</w:t>
      </w:r>
      <w:r w:rsidR="00DB6363" w:rsidRPr="003C5AB0">
        <w:rPr>
          <w:sz w:val="18"/>
          <w:szCs w:val="18"/>
        </w:rPr>
        <w:t>.</w:t>
      </w:r>
    </w:p>
  </w:footnote>
  <w:footnote w:id="179">
    <w:p w14:paraId="2956BFFD" w14:textId="42592794" w:rsidR="001E231C" w:rsidRPr="003C5AB0" w:rsidRDefault="001E231C" w:rsidP="00372B11">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r w:rsidR="00DB6363" w:rsidRPr="003C5AB0">
        <w:rPr>
          <w:sz w:val="18"/>
          <w:szCs w:val="18"/>
        </w:rPr>
        <w:t xml:space="preserve"> at </w:t>
      </w:r>
      <w:r w:rsidRPr="003C5AB0">
        <w:rPr>
          <w:sz w:val="18"/>
          <w:szCs w:val="18"/>
        </w:rPr>
        <w:t>16</w:t>
      </w:r>
      <w:r w:rsidR="00DB6363" w:rsidRPr="003C5AB0">
        <w:rPr>
          <w:sz w:val="18"/>
          <w:szCs w:val="18"/>
        </w:rPr>
        <w:t>.</w:t>
      </w:r>
    </w:p>
  </w:footnote>
  <w:footnote w:id="180">
    <w:p w14:paraId="4B9A8843" w14:textId="4DCF7AEA" w:rsidR="000A259F" w:rsidRPr="003C5AB0" w:rsidRDefault="000A259F" w:rsidP="000A259F">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p>
  </w:footnote>
  <w:footnote w:id="181">
    <w:p w14:paraId="1E5EA931" w14:textId="5E28C741" w:rsidR="00F404C7" w:rsidRPr="003C5AB0" w:rsidRDefault="00F404C7">
      <w:pPr>
        <w:pStyle w:val="FootnoteText"/>
        <w:rPr>
          <w:sz w:val="18"/>
          <w:szCs w:val="18"/>
        </w:rPr>
      </w:pPr>
      <w:r w:rsidRPr="003C5AB0">
        <w:rPr>
          <w:rStyle w:val="FootnoteReference"/>
          <w:sz w:val="18"/>
          <w:szCs w:val="18"/>
        </w:rPr>
        <w:footnoteRef/>
      </w:r>
      <w:r w:rsidRPr="003C5AB0">
        <w:rPr>
          <w:sz w:val="18"/>
          <w:szCs w:val="18"/>
        </w:rPr>
        <w:t xml:space="preserve"> </w:t>
      </w:r>
      <w:r w:rsidR="00DB6363" w:rsidRPr="003C5AB0">
        <w:rPr>
          <w:i/>
          <w:iCs/>
          <w:sz w:val="18"/>
          <w:szCs w:val="18"/>
        </w:rPr>
        <w:t>Id.</w:t>
      </w:r>
    </w:p>
  </w:footnote>
  <w:footnote w:id="182">
    <w:p w14:paraId="0311ADFA" w14:textId="77777777" w:rsidR="006F4B55" w:rsidRPr="00E347AC" w:rsidRDefault="006F4B55" w:rsidP="006F4B55">
      <w:pPr>
        <w:pStyle w:val="FootnoteText"/>
        <w:rPr>
          <w:sz w:val="18"/>
          <w:szCs w:val="18"/>
        </w:rPr>
      </w:pPr>
      <w:r w:rsidRPr="00E347AC">
        <w:rPr>
          <w:rStyle w:val="FootnoteReference"/>
          <w:sz w:val="18"/>
          <w:szCs w:val="18"/>
        </w:rPr>
        <w:footnoteRef/>
      </w:r>
      <w:r w:rsidRPr="00E347AC">
        <w:rPr>
          <w:sz w:val="18"/>
          <w:szCs w:val="18"/>
        </w:rPr>
        <w:t xml:space="preserve"> </w:t>
      </w:r>
      <w:r w:rsidRPr="00E347AC">
        <w:rPr>
          <w:color w:val="000000"/>
          <w:sz w:val="18"/>
          <w:szCs w:val="18"/>
        </w:rPr>
        <w:t xml:space="preserve">Frances </w:t>
      </w:r>
      <w:proofErr w:type="spellStart"/>
      <w:r w:rsidRPr="00E347AC">
        <w:rPr>
          <w:color w:val="000000"/>
          <w:sz w:val="18"/>
          <w:szCs w:val="18"/>
        </w:rPr>
        <w:t>Schwartzkopff</w:t>
      </w:r>
      <w:proofErr w:type="spellEnd"/>
      <w:r w:rsidRPr="00E347AC">
        <w:rPr>
          <w:color w:val="000000"/>
          <w:sz w:val="18"/>
          <w:szCs w:val="18"/>
        </w:rPr>
        <w:t>,</w:t>
      </w:r>
      <w:r w:rsidRPr="00E347AC">
        <w:rPr>
          <w:rStyle w:val="apple-converted-space"/>
          <w:color w:val="000000"/>
          <w:sz w:val="18"/>
          <w:szCs w:val="18"/>
        </w:rPr>
        <w:t> </w:t>
      </w:r>
      <w:r w:rsidRPr="00E347AC">
        <w:rPr>
          <w:color w:val="000000"/>
          <w:sz w:val="18"/>
          <w:szCs w:val="18"/>
        </w:rPr>
        <w:t>EU seeks to streamline ESG regulations amid growing backlash</w:t>
      </w:r>
      <w:r w:rsidRPr="00E347AC">
        <w:rPr>
          <w:rStyle w:val="apple-converted-space"/>
          <w:color w:val="000000"/>
          <w:sz w:val="18"/>
          <w:szCs w:val="18"/>
        </w:rPr>
        <w:t> </w:t>
      </w:r>
      <w:r w:rsidRPr="00E347AC">
        <w:rPr>
          <w:color w:val="000000"/>
          <w:sz w:val="18"/>
          <w:szCs w:val="18"/>
        </w:rPr>
        <w:t>(2024), https://www.bloomberg.com/news/articles/2024-11-25/eu-seeks-to-streamline-esg-regulations-amid-growing-backlash.</w:t>
      </w:r>
      <w:r w:rsidRPr="00E347AC">
        <w:rPr>
          <w:rStyle w:val="apple-converted-space"/>
          <w:color w:val="000000"/>
          <w:sz w:val="18"/>
          <w:szCs w:val="18"/>
        </w:rPr>
        <w:t xml:space="preserve">  </w:t>
      </w:r>
    </w:p>
  </w:footnote>
  <w:footnote w:id="183">
    <w:p w14:paraId="584BF369" w14:textId="77777777" w:rsidR="006F4B55" w:rsidRDefault="006F4B55" w:rsidP="006F4B55">
      <w:pPr>
        <w:pStyle w:val="FootnoteText"/>
      </w:pPr>
      <w:r>
        <w:rPr>
          <w:rStyle w:val="FootnoteReference"/>
        </w:rPr>
        <w:footnoteRef/>
      </w:r>
      <w:r>
        <w:t xml:space="preserve"> </w:t>
      </w:r>
      <w:r w:rsidRPr="00E347AC">
        <w:rPr>
          <w:i/>
          <w:iCs/>
        </w:rPr>
        <w:t>Id.</w:t>
      </w:r>
    </w:p>
  </w:footnote>
  <w:footnote w:id="184">
    <w:p w14:paraId="3024FABB" w14:textId="0B99CFD7" w:rsidR="00021BE0" w:rsidRPr="003C5AB0" w:rsidRDefault="00021BE0" w:rsidP="00021BE0">
      <w:pPr>
        <w:pStyle w:val="FootnoteText"/>
        <w:rPr>
          <w:sz w:val="18"/>
          <w:szCs w:val="18"/>
        </w:rPr>
      </w:pPr>
      <w:r w:rsidRPr="003C5AB0">
        <w:rPr>
          <w:rStyle w:val="FootnoteReference"/>
          <w:sz w:val="18"/>
          <w:szCs w:val="18"/>
        </w:rPr>
        <w:footnoteRef/>
      </w:r>
      <w:r w:rsidRPr="003C5AB0">
        <w:rPr>
          <w:sz w:val="18"/>
          <w:szCs w:val="18"/>
        </w:rPr>
        <w:t xml:space="preserve"> </w:t>
      </w:r>
      <w:r w:rsidRPr="003C5AB0">
        <w:rPr>
          <w:rFonts w:cs="Times New Roman"/>
          <w:color w:val="000000" w:themeColor="text1"/>
          <w:sz w:val="18"/>
          <w:szCs w:val="18"/>
        </w:rPr>
        <w:t xml:space="preserve">Anu Bradford, "The Brussels Effect: How the European Union Rules the World" (2020). </w:t>
      </w:r>
      <w:r w:rsidR="008439E1" w:rsidRPr="003C5AB0">
        <w:rPr>
          <w:rFonts w:cs="Times New Roman"/>
          <w:color w:val="000000" w:themeColor="text1"/>
          <w:sz w:val="18"/>
          <w:szCs w:val="18"/>
        </w:rPr>
        <w:t xml:space="preserve">Columbia </w:t>
      </w:r>
      <w:r w:rsidRPr="003C5AB0">
        <w:rPr>
          <w:rFonts w:cs="Times New Roman"/>
          <w:color w:val="000000" w:themeColor="text1"/>
          <w:sz w:val="18"/>
          <w:szCs w:val="18"/>
        </w:rPr>
        <w:t>Faculty Books</w:t>
      </w:r>
      <w:r w:rsidR="008439E1" w:rsidRPr="003C5AB0">
        <w:rPr>
          <w:rFonts w:cs="Times New Roman"/>
          <w:color w:val="000000" w:themeColor="text1"/>
          <w:sz w:val="18"/>
          <w:szCs w:val="18"/>
        </w:rPr>
        <w:t>, at</w:t>
      </w:r>
      <w:r w:rsidRPr="003C5AB0">
        <w:rPr>
          <w:rFonts w:cs="Times New Roman"/>
          <w:color w:val="000000" w:themeColor="text1"/>
          <w:sz w:val="18"/>
          <w:szCs w:val="18"/>
        </w:rPr>
        <w:t xml:space="preserve"> 232. </w:t>
      </w:r>
      <w:hyperlink r:id="rId49" w:history="1">
        <w:r w:rsidRPr="003C5AB0">
          <w:rPr>
            <w:rStyle w:val="Hyperlink"/>
            <w:rFonts w:cs="Times New Roman"/>
            <w:sz w:val="18"/>
            <w:szCs w:val="18"/>
          </w:rPr>
          <w:t>https://scholarship.law.columbia.edu/books/232</w:t>
        </w:r>
      </w:hyperlink>
      <w:r w:rsidRPr="003C5AB0">
        <w:rPr>
          <w:rFonts w:cs="Times New Roman"/>
          <w:color w:val="000000" w:themeColor="text1"/>
          <w:sz w:val="18"/>
          <w:szCs w:val="18"/>
        </w:rPr>
        <w:t xml:space="preserve"> </w:t>
      </w:r>
    </w:p>
  </w:footnote>
  <w:footnote w:id="185">
    <w:p w14:paraId="15B39A19" w14:textId="570BB2D2" w:rsidR="00021BE0" w:rsidRPr="003C5AB0" w:rsidRDefault="00021BE0" w:rsidP="00021BE0">
      <w:pPr>
        <w:pStyle w:val="FootnoteText"/>
        <w:rPr>
          <w:sz w:val="18"/>
          <w:szCs w:val="18"/>
        </w:rPr>
      </w:pPr>
      <w:r w:rsidRPr="003C5AB0">
        <w:rPr>
          <w:rStyle w:val="FootnoteReference"/>
          <w:sz w:val="18"/>
          <w:szCs w:val="18"/>
        </w:rPr>
        <w:footnoteRef/>
      </w:r>
      <w:r w:rsidRPr="003C5AB0">
        <w:rPr>
          <w:sz w:val="18"/>
          <w:szCs w:val="18"/>
        </w:rPr>
        <w:t xml:space="preserve"> </w:t>
      </w:r>
      <w:r w:rsidR="00C67B48" w:rsidRPr="003C5AB0">
        <w:rPr>
          <w:color w:val="000000"/>
          <w:sz w:val="18"/>
          <w:szCs w:val="18"/>
        </w:rPr>
        <w:t xml:space="preserve">The Brussels effect on Sustainable Finance, Columbia Business School (2022), </w:t>
      </w:r>
      <w:hyperlink r:id="rId50" w:history="1">
        <w:r w:rsidR="00AC7B07" w:rsidRPr="003C5AB0">
          <w:rPr>
            <w:rStyle w:val="Hyperlink"/>
            <w:sz w:val="18"/>
            <w:szCs w:val="18"/>
          </w:rPr>
          <w:t>https://business.columbia.edu/cgi-finance/chazen-global-insights/brussels-effect-sustainable-finance</w:t>
        </w:r>
      </w:hyperlink>
      <w:r w:rsidR="00C67B48" w:rsidRPr="003C5AB0">
        <w:rPr>
          <w:color w:val="000000"/>
          <w:sz w:val="18"/>
          <w:szCs w:val="18"/>
        </w:rPr>
        <w:t>.</w:t>
      </w:r>
      <w:r w:rsidR="00AC7B07" w:rsidRPr="003C5AB0">
        <w:rPr>
          <w:color w:val="000000"/>
          <w:sz w:val="18"/>
          <w:szCs w:val="18"/>
        </w:rPr>
        <w:t xml:space="preserve"> </w:t>
      </w:r>
      <w:r w:rsidR="00C67B48" w:rsidRPr="003C5AB0">
        <w:rPr>
          <w:rStyle w:val="apple-converted-space"/>
          <w:color w:val="000000"/>
          <w:sz w:val="18"/>
          <w:szCs w:val="18"/>
        </w:rPr>
        <w:t xml:space="preserve">  </w:t>
      </w:r>
    </w:p>
  </w:footnote>
  <w:footnote w:id="186">
    <w:p w14:paraId="32E70CB7" w14:textId="3E82DC19" w:rsidR="00107F00" w:rsidRPr="003C5AB0" w:rsidRDefault="00107F00" w:rsidP="00107F00">
      <w:pPr>
        <w:pStyle w:val="FootnoteText"/>
        <w:rPr>
          <w:sz w:val="18"/>
          <w:szCs w:val="18"/>
        </w:rPr>
      </w:pPr>
      <w:r w:rsidRPr="003C5AB0">
        <w:rPr>
          <w:rStyle w:val="FootnoteReference"/>
          <w:sz w:val="18"/>
          <w:szCs w:val="18"/>
        </w:rPr>
        <w:footnoteRef/>
      </w:r>
      <w:r w:rsidR="00C67B48" w:rsidRPr="003C5AB0">
        <w:rPr>
          <w:sz w:val="18"/>
          <w:szCs w:val="18"/>
        </w:rPr>
        <w:t xml:space="preserve"> Clark, supra note </w:t>
      </w:r>
      <w:r w:rsidR="00460FE1" w:rsidRPr="003C5AB0">
        <w:rPr>
          <w:sz w:val="18"/>
          <w:szCs w:val="18"/>
        </w:rPr>
        <w:fldChar w:fldCharType="begin"/>
      </w:r>
      <w:r w:rsidR="00460FE1" w:rsidRPr="003C5AB0">
        <w:rPr>
          <w:sz w:val="18"/>
          <w:szCs w:val="18"/>
        </w:rPr>
        <w:instrText xml:space="preserve"> NOTEREF OLE_LINK80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89</w:t>
      </w:r>
      <w:r w:rsidR="00460FE1" w:rsidRPr="003C5AB0">
        <w:rPr>
          <w:sz w:val="18"/>
          <w:szCs w:val="18"/>
        </w:rPr>
        <w:fldChar w:fldCharType="end"/>
      </w:r>
      <w:r w:rsidR="00C67B48" w:rsidRPr="003C5AB0">
        <w:rPr>
          <w:sz w:val="18"/>
          <w:szCs w:val="18"/>
        </w:rPr>
        <w:t>.</w:t>
      </w:r>
      <w:r w:rsidRPr="003C5AB0">
        <w:rPr>
          <w:sz w:val="18"/>
          <w:szCs w:val="18"/>
        </w:rPr>
        <w:t xml:space="preserve"> </w:t>
      </w:r>
    </w:p>
  </w:footnote>
  <w:footnote w:id="187">
    <w:p w14:paraId="174E8F6E" w14:textId="00062F5F" w:rsidR="000A259F" w:rsidRPr="003C5AB0" w:rsidRDefault="000A259F">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 w:id="188">
    <w:p w14:paraId="1EB62E82" w14:textId="2BD445AA" w:rsidR="009428CF" w:rsidRPr="003C5AB0" w:rsidRDefault="009428CF">
      <w:pPr>
        <w:pStyle w:val="FootnoteText"/>
        <w:rPr>
          <w:sz w:val="18"/>
          <w:szCs w:val="18"/>
        </w:rPr>
      </w:pPr>
      <w:r w:rsidRPr="003C5AB0">
        <w:rPr>
          <w:rStyle w:val="FootnoteReference"/>
          <w:sz w:val="18"/>
          <w:szCs w:val="18"/>
        </w:rPr>
        <w:footnoteRef/>
      </w:r>
      <w:r w:rsidRPr="003C5AB0">
        <w:rPr>
          <w:sz w:val="18"/>
          <w:szCs w:val="18"/>
        </w:rPr>
        <w:t xml:space="preserve"> </w:t>
      </w:r>
      <w:r w:rsidR="00C67B48" w:rsidRPr="003C5AB0">
        <w:rPr>
          <w:color w:val="000000"/>
          <w:sz w:val="18"/>
          <w:szCs w:val="18"/>
        </w:rPr>
        <w:t>David Katz &amp; Laura McIntosh,</w:t>
      </w:r>
      <w:r w:rsidR="00C67B48" w:rsidRPr="003C5AB0">
        <w:rPr>
          <w:rStyle w:val="apple-converted-space"/>
          <w:color w:val="000000"/>
          <w:sz w:val="18"/>
          <w:szCs w:val="18"/>
        </w:rPr>
        <w:t> </w:t>
      </w:r>
      <w:r w:rsidR="00C67B48" w:rsidRPr="003C5AB0">
        <w:rPr>
          <w:color w:val="000000"/>
          <w:sz w:val="18"/>
          <w:szCs w:val="18"/>
        </w:rPr>
        <w:t>Corporate governance update: “materiality” in America and abroad</w:t>
      </w:r>
      <w:r w:rsidR="00C67B48" w:rsidRPr="003C5AB0">
        <w:rPr>
          <w:rStyle w:val="apple-converted-space"/>
          <w:color w:val="000000"/>
          <w:sz w:val="18"/>
          <w:szCs w:val="18"/>
        </w:rPr>
        <w:t> </w:t>
      </w:r>
      <w:r w:rsidR="00C67B48" w:rsidRPr="003C5AB0">
        <w:rPr>
          <w:color w:val="000000"/>
          <w:sz w:val="18"/>
          <w:szCs w:val="18"/>
        </w:rPr>
        <w:t>The Harvard Law School Forum on Corporate Governance</w:t>
      </w:r>
      <w:r w:rsidR="00C67B48" w:rsidRPr="003C5AB0">
        <w:rPr>
          <w:rStyle w:val="apple-converted-space"/>
          <w:color w:val="000000"/>
          <w:sz w:val="18"/>
          <w:szCs w:val="18"/>
        </w:rPr>
        <w:t> </w:t>
      </w:r>
      <w:r w:rsidR="00C67B48" w:rsidRPr="003C5AB0">
        <w:rPr>
          <w:color w:val="000000"/>
          <w:sz w:val="18"/>
          <w:szCs w:val="18"/>
        </w:rPr>
        <w:t xml:space="preserve">(2021), </w:t>
      </w:r>
      <w:hyperlink r:id="rId51" w:history="1">
        <w:r w:rsidR="00AC7B07" w:rsidRPr="003C5AB0">
          <w:rPr>
            <w:rStyle w:val="Hyperlink"/>
            <w:sz w:val="18"/>
            <w:szCs w:val="18"/>
          </w:rPr>
          <w:t>https://corpgov.law.harvard.edu/2021/05/01/corporate-governance-update-materiality-in-america-and-abroad/</w:t>
        </w:r>
      </w:hyperlink>
      <w:r w:rsidR="00C67B48" w:rsidRPr="003C5AB0">
        <w:rPr>
          <w:color w:val="000000"/>
          <w:sz w:val="18"/>
          <w:szCs w:val="18"/>
        </w:rPr>
        <w:t>.</w:t>
      </w:r>
      <w:r w:rsidR="00AC7B07" w:rsidRPr="003C5AB0">
        <w:rPr>
          <w:color w:val="000000"/>
          <w:sz w:val="18"/>
          <w:szCs w:val="18"/>
        </w:rPr>
        <w:t xml:space="preserve"> </w:t>
      </w:r>
    </w:p>
  </w:footnote>
  <w:footnote w:id="189">
    <w:p w14:paraId="40F46DC2" w14:textId="3C35641D" w:rsidR="00207729" w:rsidRPr="003C5AB0" w:rsidRDefault="00C67B48" w:rsidP="00372B11">
      <w:pPr>
        <w:pStyle w:val="FootnoteText"/>
        <w:rPr>
          <w:sz w:val="18"/>
          <w:szCs w:val="18"/>
        </w:rPr>
      </w:pPr>
      <w:bookmarkStart w:id="127" w:name="OLE_LINK21"/>
      <w:r w:rsidRPr="003C5AB0">
        <w:rPr>
          <w:rStyle w:val="FootnoteReference"/>
          <w:sz w:val="18"/>
          <w:szCs w:val="18"/>
        </w:rPr>
        <w:footnoteRef/>
      </w:r>
      <w:r w:rsidRPr="003C5AB0">
        <w:rPr>
          <w:sz w:val="18"/>
          <w:szCs w:val="18"/>
        </w:rPr>
        <w:t xml:space="preserve"> </w:t>
      </w:r>
      <w:r w:rsidRPr="003C5AB0">
        <w:rPr>
          <w:i/>
          <w:sz w:val="18"/>
          <w:szCs w:val="18"/>
        </w:rPr>
        <w:t xml:space="preserve">Id. </w:t>
      </w:r>
      <w:bookmarkEnd w:id="127"/>
    </w:p>
  </w:footnote>
  <w:footnote w:id="190">
    <w:p w14:paraId="3A6B7B0D" w14:textId="3D4272A4" w:rsidR="0046046D" w:rsidRPr="003C5AB0" w:rsidRDefault="0046046D">
      <w:pPr>
        <w:pStyle w:val="FootnoteText"/>
        <w:rPr>
          <w:sz w:val="18"/>
          <w:szCs w:val="18"/>
        </w:rPr>
      </w:pPr>
      <w:r w:rsidRPr="003C5AB0">
        <w:rPr>
          <w:rStyle w:val="FootnoteReference"/>
          <w:sz w:val="18"/>
          <w:szCs w:val="18"/>
        </w:rPr>
        <w:footnoteRef/>
      </w:r>
      <w:r w:rsidRPr="003C5AB0">
        <w:rPr>
          <w:sz w:val="18"/>
          <w:szCs w:val="18"/>
        </w:rPr>
        <w:t xml:space="preserve"> </w:t>
      </w:r>
      <w:r w:rsidR="00C67B48" w:rsidRPr="003C5AB0">
        <w:rPr>
          <w:sz w:val="18"/>
          <w:szCs w:val="18"/>
        </w:rPr>
        <w:t xml:space="preserve">Gordon, </w:t>
      </w:r>
      <w:r w:rsidR="005C76F0" w:rsidRPr="003C5AB0">
        <w:rPr>
          <w:sz w:val="18"/>
          <w:szCs w:val="18"/>
        </w:rPr>
        <w:t xml:space="preserve">supra note </w:t>
      </w:r>
      <w:r w:rsidR="00460FE1" w:rsidRPr="003C5AB0">
        <w:rPr>
          <w:sz w:val="18"/>
          <w:szCs w:val="18"/>
        </w:rPr>
        <w:fldChar w:fldCharType="begin"/>
      </w:r>
      <w:r w:rsidR="00460FE1" w:rsidRPr="003C5AB0">
        <w:rPr>
          <w:sz w:val="18"/>
          <w:szCs w:val="18"/>
        </w:rPr>
        <w:instrText xml:space="preserve"> NOTEREF _Ref191563650 \h </w:instrText>
      </w:r>
      <w:r w:rsidR="008439E1" w:rsidRPr="003C5AB0">
        <w:rPr>
          <w:sz w:val="18"/>
          <w:szCs w:val="18"/>
        </w:rPr>
        <w:instrText xml:space="preserve"> \* MERGEFORMAT </w:instrText>
      </w:r>
      <w:r w:rsidR="00460FE1" w:rsidRPr="003C5AB0">
        <w:rPr>
          <w:sz w:val="18"/>
          <w:szCs w:val="18"/>
        </w:rPr>
      </w:r>
      <w:r w:rsidR="00460FE1" w:rsidRPr="003C5AB0">
        <w:rPr>
          <w:sz w:val="18"/>
          <w:szCs w:val="18"/>
        </w:rPr>
        <w:fldChar w:fldCharType="separate"/>
      </w:r>
      <w:r w:rsidR="003C5AB0">
        <w:rPr>
          <w:sz w:val="18"/>
          <w:szCs w:val="18"/>
        </w:rPr>
        <w:t>8</w:t>
      </w:r>
      <w:r w:rsidR="00460FE1" w:rsidRPr="003C5AB0">
        <w:rPr>
          <w:sz w:val="18"/>
          <w:szCs w:val="18"/>
        </w:rPr>
        <w:fldChar w:fldCharType="end"/>
      </w:r>
      <w:r w:rsidR="00C67B48" w:rsidRPr="003C5AB0">
        <w:rPr>
          <w:sz w:val="18"/>
          <w:szCs w:val="18"/>
        </w:rPr>
        <w:t>, at 12.</w:t>
      </w:r>
    </w:p>
  </w:footnote>
  <w:footnote w:id="191">
    <w:p w14:paraId="42F4F065" w14:textId="6BC82F21" w:rsidR="0046046D" w:rsidRPr="003C5AB0" w:rsidRDefault="0046046D">
      <w:pPr>
        <w:pStyle w:val="FootnoteText"/>
        <w:rPr>
          <w:sz w:val="18"/>
          <w:szCs w:val="18"/>
        </w:rPr>
      </w:pPr>
      <w:r w:rsidRPr="003C5AB0">
        <w:rPr>
          <w:rStyle w:val="FootnoteReference"/>
          <w:sz w:val="18"/>
          <w:szCs w:val="18"/>
        </w:rPr>
        <w:footnoteRef/>
      </w:r>
      <w:r w:rsidRPr="003C5AB0">
        <w:rPr>
          <w:sz w:val="18"/>
          <w:szCs w:val="18"/>
        </w:rPr>
        <w:t xml:space="preserve"> </w:t>
      </w:r>
      <w:r w:rsidRPr="003C5AB0">
        <w:rPr>
          <w:i/>
          <w:iCs/>
          <w:sz w:val="18"/>
          <w:szCs w:val="18"/>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lvl>
    <w:lvl w:ilvl="1" w:tplc="000000CA">
      <w:start w:val="1"/>
      <w:numFmt w:val="bullet"/>
      <w:lvlText w:val="◦"/>
      <w:lvlJc w:val="left"/>
      <w:pPr>
        <w:ind w:left="144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532A4"/>
    <w:multiLevelType w:val="hybridMultilevel"/>
    <w:tmpl w:val="8848A576"/>
    <w:lvl w:ilvl="0" w:tplc="2E14F970">
      <w:start w:val="1"/>
      <w:numFmt w:val="bullet"/>
      <w:pStyle w:val="ListParagraph"/>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8769CD"/>
    <w:multiLevelType w:val="hybridMultilevel"/>
    <w:tmpl w:val="B88AF986"/>
    <w:lvl w:ilvl="0" w:tplc="31062CF4">
      <w:start w:val="1"/>
      <w:numFmt w:val="upperLetter"/>
      <w:pStyle w:val="Heading3"/>
      <w:lvlText w:val="%1."/>
      <w:lvlJc w:val="left"/>
      <w:pPr>
        <w:ind w:left="153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23B34"/>
    <w:multiLevelType w:val="hybridMultilevel"/>
    <w:tmpl w:val="3E86F1C6"/>
    <w:lvl w:ilvl="0" w:tplc="F20655E6">
      <w:start w:val="1"/>
      <w:numFmt w:val="upperRoman"/>
      <w:pStyle w:val="Heading1"/>
      <w:lvlText w:val="%1."/>
      <w:lvlJc w:val="right"/>
      <w:pPr>
        <w:ind w:left="360" w:hanging="360"/>
      </w:pPr>
      <w:rPr>
        <w:rFonts w:hint="default"/>
      </w:rPr>
    </w:lvl>
    <w:lvl w:ilvl="1" w:tplc="8420379C">
      <w:start w:val="1"/>
      <w:numFmt w:val="decimal"/>
      <w:pStyle w:val="Heading2"/>
      <w:lvlText w:val="%2."/>
      <w:lvlJc w:val="left"/>
      <w:pPr>
        <w:ind w:left="360" w:hanging="360"/>
      </w:pPr>
    </w:lvl>
    <w:lvl w:ilvl="2" w:tplc="0409001B">
      <w:start w:val="1"/>
      <w:numFmt w:val="lowerRoman"/>
      <w:lvlText w:val="%3."/>
      <w:lvlJc w:val="right"/>
      <w:pPr>
        <w:ind w:left="1800" w:hanging="180"/>
      </w:pPr>
    </w:lvl>
    <w:lvl w:ilvl="3" w:tplc="C6DC63EE">
      <w:start w:val="1"/>
      <w:numFmt w:val="upperLetter"/>
      <w:lvlText w:val="%4."/>
      <w:lvlJc w:val="left"/>
      <w:pPr>
        <w:ind w:left="2520" w:hanging="360"/>
      </w:pPr>
      <w:rPr>
        <w:rFonts w:hint="default"/>
      </w:rPr>
    </w:lvl>
    <w:lvl w:ilvl="4" w:tplc="6AFA67C6">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7A09CB"/>
    <w:multiLevelType w:val="hybridMultilevel"/>
    <w:tmpl w:val="5C6AD8D2"/>
    <w:lvl w:ilvl="0" w:tplc="83548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95DD3"/>
    <w:multiLevelType w:val="hybridMultilevel"/>
    <w:tmpl w:val="64E874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553563">
    <w:abstractNumId w:val="5"/>
  </w:num>
  <w:num w:numId="2" w16cid:durableId="800920990">
    <w:abstractNumId w:val="3"/>
  </w:num>
  <w:num w:numId="3" w16cid:durableId="2075933760">
    <w:abstractNumId w:val="4"/>
  </w:num>
  <w:num w:numId="4" w16cid:durableId="301471628">
    <w:abstractNumId w:val="4"/>
    <w:lvlOverride w:ilvl="0">
      <w:startOverride w:val="1"/>
    </w:lvlOverride>
  </w:num>
  <w:num w:numId="5" w16cid:durableId="293367217">
    <w:abstractNumId w:val="4"/>
    <w:lvlOverride w:ilvl="0">
      <w:startOverride w:val="1"/>
    </w:lvlOverride>
  </w:num>
  <w:num w:numId="6" w16cid:durableId="1400783937">
    <w:abstractNumId w:val="4"/>
    <w:lvlOverride w:ilvl="0">
      <w:startOverride w:val="1"/>
    </w:lvlOverride>
  </w:num>
  <w:num w:numId="7" w16cid:durableId="1458600000">
    <w:abstractNumId w:val="4"/>
    <w:lvlOverride w:ilvl="0">
      <w:startOverride w:val="1"/>
    </w:lvlOverride>
  </w:num>
  <w:num w:numId="8" w16cid:durableId="746878053">
    <w:abstractNumId w:val="4"/>
    <w:lvlOverride w:ilvl="0">
      <w:startOverride w:val="1"/>
    </w:lvlOverride>
  </w:num>
  <w:num w:numId="9" w16cid:durableId="1193109007">
    <w:abstractNumId w:val="0"/>
  </w:num>
  <w:num w:numId="10" w16cid:durableId="334770233">
    <w:abstractNumId w:val="1"/>
  </w:num>
  <w:num w:numId="11" w16cid:durableId="1048645141">
    <w:abstractNumId w:val="2"/>
  </w:num>
  <w:num w:numId="12" w16cid:durableId="1753818155">
    <w:abstractNumId w:val="7"/>
  </w:num>
  <w:num w:numId="13" w16cid:durableId="76508067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ala, Omar-HLSCLINICS">
    <w15:presenceInfo w15:providerId="AD" w15:userId="S::omotala.jd26@hlsclinics.org::aeb58769-5590-4f17-b3e2-44ee42b49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48"/>
    <w:rsid w:val="00002572"/>
    <w:rsid w:val="0000678A"/>
    <w:rsid w:val="000101ED"/>
    <w:rsid w:val="00011BDC"/>
    <w:rsid w:val="000144A8"/>
    <w:rsid w:val="00014D73"/>
    <w:rsid w:val="000161CD"/>
    <w:rsid w:val="000167A9"/>
    <w:rsid w:val="00016AB5"/>
    <w:rsid w:val="0001775D"/>
    <w:rsid w:val="00017AE6"/>
    <w:rsid w:val="00020ECA"/>
    <w:rsid w:val="00021BE0"/>
    <w:rsid w:val="0002404F"/>
    <w:rsid w:val="00025CED"/>
    <w:rsid w:val="0003052A"/>
    <w:rsid w:val="00031179"/>
    <w:rsid w:val="00033CEC"/>
    <w:rsid w:val="0003506E"/>
    <w:rsid w:val="000355D5"/>
    <w:rsid w:val="00040505"/>
    <w:rsid w:val="0004276A"/>
    <w:rsid w:val="00044ECE"/>
    <w:rsid w:val="00047CF1"/>
    <w:rsid w:val="0005095F"/>
    <w:rsid w:val="00054078"/>
    <w:rsid w:val="000545EB"/>
    <w:rsid w:val="00054826"/>
    <w:rsid w:val="000553BF"/>
    <w:rsid w:val="00055C9F"/>
    <w:rsid w:val="00056967"/>
    <w:rsid w:val="000578C4"/>
    <w:rsid w:val="0005791F"/>
    <w:rsid w:val="00060DBB"/>
    <w:rsid w:val="00061885"/>
    <w:rsid w:val="00063B6D"/>
    <w:rsid w:val="00066893"/>
    <w:rsid w:val="000678AA"/>
    <w:rsid w:val="00070838"/>
    <w:rsid w:val="00071291"/>
    <w:rsid w:val="0007160E"/>
    <w:rsid w:val="00071BD1"/>
    <w:rsid w:val="00071EA4"/>
    <w:rsid w:val="00072307"/>
    <w:rsid w:val="0007369E"/>
    <w:rsid w:val="00073E8F"/>
    <w:rsid w:val="000804B0"/>
    <w:rsid w:val="000805A0"/>
    <w:rsid w:val="00081C75"/>
    <w:rsid w:val="0008337D"/>
    <w:rsid w:val="000835B6"/>
    <w:rsid w:val="00084D3C"/>
    <w:rsid w:val="00084D92"/>
    <w:rsid w:val="00086249"/>
    <w:rsid w:val="0008652F"/>
    <w:rsid w:val="000866C4"/>
    <w:rsid w:val="00086C38"/>
    <w:rsid w:val="000906F0"/>
    <w:rsid w:val="00091ACE"/>
    <w:rsid w:val="00093286"/>
    <w:rsid w:val="00093670"/>
    <w:rsid w:val="00094FDC"/>
    <w:rsid w:val="000951B4"/>
    <w:rsid w:val="000959F1"/>
    <w:rsid w:val="000A06D9"/>
    <w:rsid w:val="000A132F"/>
    <w:rsid w:val="000A259F"/>
    <w:rsid w:val="000B102D"/>
    <w:rsid w:val="000B1BB6"/>
    <w:rsid w:val="000B268E"/>
    <w:rsid w:val="000B3623"/>
    <w:rsid w:val="000B6EBE"/>
    <w:rsid w:val="000C009D"/>
    <w:rsid w:val="000C01AD"/>
    <w:rsid w:val="000C1580"/>
    <w:rsid w:val="000C378F"/>
    <w:rsid w:val="000C3916"/>
    <w:rsid w:val="000C4CF4"/>
    <w:rsid w:val="000C521B"/>
    <w:rsid w:val="000D38A5"/>
    <w:rsid w:val="000E0A99"/>
    <w:rsid w:val="000E76AD"/>
    <w:rsid w:val="000E7994"/>
    <w:rsid w:val="000F0500"/>
    <w:rsid w:val="000F0A63"/>
    <w:rsid w:val="000F0CE3"/>
    <w:rsid w:val="000F25FB"/>
    <w:rsid w:val="000F3D8A"/>
    <w:rsid w:val="000F4AD0"/>
    <w:rsid w:val="000F5412"/>
    <w:rsid w:val="000F5537"/>
    <w:rsid w:val="00100181"/>
    <w:rsid w:val="00101B8B"/>
    <w:rsid w:val="00103899"/>
    <w:rsid w:val="00104F3B"/>
    <w:rsid w:val="0010567D"/>
    <w:rsid w:val="001063A7"/>
    <w:rsid w:val="00106897"/>
    <w:rsid w:val="001076AC"/>
    <w:rsid w:val="00107F00"/>
    <w:rsid w:val="00110C35"/>
    <w:rsid w:val="001110EE"/>
    <w:rsid w:val="00111406"/>
    <w:rsid w:val="001171E6"/>
    <w:rsid w:val="0011795C"/>
    <w:rsid w:val="0012008E"/>
    <w:rsid w:val="00120F42"/>
    <w:rsid w:val="00121651"/>
    <w:rsid w:val="001253F3"/>
    <w:rsid w:val="001260F5"/>
    <w:rsid w:val="00126585"/>
    <w:rsid w:val="00126620"/>
    <w:rsid w:val="00130D56"/>
    <w:rsid w:val="001315B3"/>
    <w:rsid w:val="0013240D"/>
    <w:rsid w:val="00132FC3"/>
    <w:rsid w:val="00137F93"/>
    <w:rsid w:val="0014188E"/>
    <w:rsid w:val="00142CCD"/>
    <w:rsid w:val="00142DB8"/>
    <w:rsid w:val="001454D8"/>
    <w:rsid w:val="001456B2"/>
    <w:rsid w:val="001462AE"/>
    <w:rsid w:val="00152F71"/>
    <w:rsid w:val="001533EB"/>
    <w:rsid w:val="001537AC"/>
    <w:rsid w:val="0015398B"/>
    <w:rsid w:val="00153F88"/>
    <w:rsid w:val="00156048"/>
    <w:rsid w:val="00156661"/>
    <w:rsid w:val="00156908"/>
    <w:rsid w:val="00157F23"/>
    <w:rsid w:val="00161DEA"/>
    <w:rsid w:val="0016249B"/>
    <w:rsid w:val="00162792"/>
    <w:rsid w:val="001627CE"/>
    <w:rsid w:val="00166CCA"/>
    <w:rsid w:val="00167722"/>
    <w:rsid w:val="00170169"/>
    <w:rsid w:val="001745DF"/>
    <w:rsid w:val="001771DF"/>
    <w:rsid w:val="00177BF2"/>
    <w:rsid w:val="00182904"/>
    <w:rsid w:val="00183E11"/>
    <w:rsid w:val="00185375"/>
    <w:rsid w:val="001867CD"/>
    <w:rsid w:val="001911A4"/>
    <w:rsid w:val="001930C2"/>
    <w:rsid w:val="001944D5"/>
    <w:rsid w:val="001947F7"/>
    <w:rsid w:val="00194C79"/>
    <w:rsid w:val="00195C4A"/>
    <w:rsid w:val="00196026"/>
    <w:rsid w:val="00196F93"/>
    <w:rsid w:val="0019743A"/>
    <w:rsid w:val="001A4CBE"/>
    <w:rsid w:val="001A75D6"/>
    <w:rsid w:val="001B57AA"/>
    <w:rsid w:val="001B632C"/>
    <w:rsid w:val="001B77A0"/>
    <w:rsid w:val="001B7B6E"/>
    <w:rsid w:val="001C4AE3"/>
    <w:rsid w:val="001C55FA"/>
    <w:rsid w:val="001C7D63"/>
    <w:rsid w:val="001D55F9"/>
    <w:rsid w:val="001D5B95"/>
    <w:rsid w:val="001E231C"/>
    <w:rsid w:val="001E547F"/>
    <w:rsid w:val="001E5BEA"/>
    <w:rsid w:val="001F2291"/>
    <w:rsid w:val="001F23FC"/>
    <w:rsid w:val="001F47FC"/>
    <w:rsid w:val="001F58B6"/>
    <w:rsid w:val="001F6E98"/>
    <w:rsid w:val="00207729"/>
    <w:rsid w:val="00207DC4"/>
    <w:rsid w:val="00207FEC"/>
    <w:rsid w:val="00210A2A"/>
    <w:rsid w:val="00211059"/>
    <w:rsid w:val="0021188B"/>
    <w:rsid w:val="00214D27"/>
    <w:rsid w:val="00215695"/>
    <w:rsid w:val="00216689"/>
    <w:rsid w:val="00216CA0"/>
    <w:rsid w:val="00221D96"/>
    <w:rsid w:val="00224557"/>
    <w:rsid w:val="00224612"/>
    <w:rsid w:val="00227859"/>
    <w:rsid w:val="002342AE"/>
    <w:rsid w:val="00236C59"/>
    <w:rsid w:val="00237233"/>
    <w:rsid w:val="00237999"/>
    <w:rsid w:val="00243DFA"/>
    <w:rsid w:val="00245D0A"/>
    <w:rsid w:val="00246A82"/>
    <w:rsid w:val="002470DF"/>
    <w:rsid w:val="00252BC7"/>
    <w:rsid w:val="00253556"/>
    <w:rsid w:val="002627D8"/>
    <w:rsid w:val="00262BD4"/>
    <w:rsid w:val="00262D0D"/>
    <w:rsid w:val="00264BE3"/>
    <w:rsid w:val="00265AA1"/>
    <w:rsid w:val="002668D5"/>
    <w:rsid w:val="002673FC"/>
    <w:rsid w:val="002714ED"/>
    <w:rsid w:val="00271AFE"/>
    <w:rsid w:val="0027451E"/>
    <w:rsid w:val="00275D49"/>
    <w:rsid w:val="00276407"/>
    <w:rsid w:val="00281199"/>
    <w:rsid w:val="00282492"/>
    <w:rsid w:val="00285113"/>
    <w:rsid w:val="00285695"/>
    <w:rsid w:val="00287C50"/>
    <w:rsid w:val="00290030"/>
    <w:rsid w:val="00291EDF"/>
    <w:rsid w:val="0029487F"/>
    <w:rsid w:val="002A258A"/>
    <w:rsid w:val="002A59BC"/>
    <w:rsid w:val="002A6D69"/>
    <w:rsid w:val="002B3958"/>
    <w:rsid w:val="002B4383"/>
    <w:rsid w:val="002B5330"/>
    <w:rsid w:val="002B57F7"/>
    <w:rsid w:val="002B5AD7"/>
    <w:rsid w:val="002B77A4"/>
    <w:rsid w:val="002C087B"/>
    <w:rsid w:val="002C0E2B"/>
    <w:rsid w:val="002C11F6"/>
    <w:rsid w:val="002C2C25"/>
    <w:rsid w:val="002C2C98"/>
    <w:rsid w:val="002C3FFF"/>
    <w:rsid w:val="002C474D"/>
    <w:rsid w:val="002C5D97"/>
    <w:rsid w:val="002C6B93"/>
    <w:rsid w:val="002D1021"/>
    <w:rsid w:val="002D6982"/>
    <w:rsid w:val="002D7636"/>
    <w:rsid w:val="002E0769"/>
    <w:rsid w:val="002E0B5D"/>
    <w:rsid w:val="002E3B3E"/>
    <w:rsid w:val="002E3EE6"/>
    <w:rsid w:val="002E72CC"/>
    <w:rsid w:val="002E7F03"/>
    <w:rsid w:val="002F32E7"/>
    <w:rsid w:val="002F5758"/>
    <w:rsid w:val="002F5CB0"/>
    <w:rsid w:val="002F5DB9"/>
    <w:rsid w:val="002F6763"/>
    <w:rsid w:val="002F6947"/>
    <w:rsid w:val="002F6A34"/>
    <w:rsid w:val="002F7855"/>
    <w:rsid w:val="00302048"/>
    <w:rsid w:val="00305017"/>
    <w:rsid w:val="00306FA7"/>
    <w:rsid w:val="00311B40"/>
    <w:rsid w:val="00311F13"/>
    <w:rsid w:val="00313079"/>
    <w:rsid w:val="00314899"/>
    <w:rsid w:val="0031576A"/>
    <w:rsid w:val="0032290F"/>
    <w:rsid w:val="00322BF1"/>
    <w:rsid w:val="00323AF5"/>
    <w:rsid w:val="00324012"/>
    <w:rsid w:val="003244F4"/>
    <w:rsid w:val="003264F8"/>
    <w:rsid w:val="00330EC7"/>
    <w:rsid w:val="00331E72"/>
    <w:rsid w:val="00333504"/>
    <w:rsid w:val="00336B07"/>
    <w:rsid w:val="003402BB"/>
    <w:rsid w:val="00341CA4"/>
    <w:rsid w:val="00343E7E"/>
    <w:rsid w:val="00344DDA"/>
    <w:rsid w:val="003507F9"/>
    <w:rsid w:val="003514FE"/>
    <w:rsid w:val="00351D45"/>
    <w:rsid w:val="00355F6D"/>
    <w:rsid w:val="00357F38"/>
    <w:rsid w:val="00360F93"/>
    <w:rsid w:val="00365300"/>
    <w:rsid w:val="00370B8A"/>
    <w:rsid w:val="00372B11"/>
    <w:rsid w:val="003751E6"/>
    <w:rsid w:val="003754D3"/>
    <w:rsid w:val="00376C11"/>
    <w:rsid w:val="00376FE2"/>
    <w:rsid w:val="003829D1"/>
    <w:rsid w:val="0038302A"/>
    <w:rsid w:val="003838DA"/>
    <w:rsid w:val="003872B4"/>
    <w:rsid w:val="00391DB0"/>
    <w:rsid w:val="00393209"/>
    <w:rsid w:val="003943A9"/>
    <w:rsid w:val="00394896"/>
    <w:rsid w:val="00395064"/>
    <w:rsid w:val="00395458"/>
    <w:rsid w:val="00396642"/>
    <w:rsid w:val="00397836"/>
    <w:rsid w:val="003A165B"/>
    <w:rsid w:val="003A45E6"/>
    <w:rsid w:val="003A4E65"/>
    <w:rsid w:val="003A5718"/>
    <w:rsid w:val="003A6ED2"/>
    <w:rsid w:val="003A78BF"/>
    <w:rsid w:val="003B0AF0"/>
    <w:rsid w:val="003B3C74"/>
    <w:rsid w:val="003B495A"/>
    <w:rsid w:val="003B532B"/>
    <w:rsid w:val="003B5EDD"/>
    <w:rsid w:val="003B5F61"/>
    <w:rsid w:val="003B7EC5"/>
    <w:rsid w:val="003C017B"/>
    <w:rsid w:val="003C5AB0"/>
    <w:rsid w:val="003C7291"/>
    <w:rsid w:val="003C730D"/>
    <w:rsid w:val="003C7433"/>
    <w:rsid w:val="003D014F"/>
    <w:rsid w:val="003D385B"/>
    <w:rsid w:val="003D3FEE"/>
    <w:rsid w:val="003D567B"/>
    <w:rsid w:val="003D5E5E"/>
    <w:rsid w:val="003D66C0"/>
    <w:rsid w:val="003D7785"/>
    <w:rsid w:val="003F3236"/>
    <w:rsid w:val="003F5CD9"/>
    <w:rsid w:val="003F6B1D"/>
    <w:rsid w:val="00400605"/>
    <w:rsid w:val="00404247"/>
    <w:rsid w:val="00412486"/>
    <w:rsid w:val="00413A78"/>
    <w:rsid w:val="0041600C"/>
    <w:rsid w:val="00416BC4"/>
    <w:rsid w:val="00416E53"/>
    <w:rsid w:val="00423193"/>
    <w:rsid w:val="0042441D"/>
    <w:rsid w:val="00425A7F"/>
    <w:rsid w:val="00426E1A"/>
    <w:rsid w:val="00430F7A"/>
    <w:rsid w:val="00432205"/>
    <w:rsid w:val="00436653"/>
    <w:rsid w:val="004372C4"/>
    <w:rsid w:val="0044358F"/>
    <w:rsid w:val="00444035"/>
    <w:rsid w:val="00446D4A"/>
    <w:rsid w:val="00447853"/>
    <w:rsid w:val="00451DCE"/>
    <w:rsid w:val="0046046D"/>
    <w:rsid w:val="00460FE1"/>
    <w:rsid w:val="00461363"/>
    <w:rsid w:val="004620AD"/>
    <w:rsid w:val="00463179"/>
    <w:rsid w:val="00465043"/>
    <w:rsid w:val="0046508D"/>
    <w:rsid w:val="0047149E"/>
    <w:rsid w:val="0047310C"/>
    <w:rsid w:val="00477937"/>
    <w:rsid w:val="00481274"/>
    <w:rsid w:val="00481D48"/>
    <w:rsid w:val="0048539E"/>
    <w:rsid w:val="00486A7B"/>
    <w:rsid w:val="00490C95"/>
    <w:rsid w:val="00491310"/>
    <w:rsid w:val="00491E56"/>
    <w:rsid w:val="00494A9F"/>
    <w:rsid w:val="004A1A46"/>
    <w:rsid w:val="004A40CA"/>
    <w:rsid w:val="004A5716"/>
    <w:rsid w:val="004A5F86"/>
    <w:rsid w:val="004B0914"/>
    <w:rsid w:val="004B3B98"/>
    <w:rsid w:val="004B4BB7"/>
    <w:rsid w:val="004B7362"/>
    <w:rsid w:val="004C039E"/>
    <w:rsid w:val="004C4B52"/>
    <w:rsid w:val="004C51D1"/>
    <w:rsid w:val="004D39FA"/>
    <w:rsid w:val="004D77A0"/>
    <w:rsid w:val="004E0B8F"/>
    <w:rsid w:val="004F3F80"/>
    <w:rsid w:val="004F406A"/>
    <w:rsid w:val="004F4761"/>
    <w:rsid w:val="00501DBE"/>
    <w:rsid w:val="005037C2"/>
    <w:rsid w:val="00503C8A"/>
    <w:rsid w:val="005162A3"/>
    <w:rsid w:val="00516FC2"/>
    <w:rsid w:val="005231B4"/>
    <w:rsid w:val="00523ED6"/>
    <w:rsid w:val="00523EFD"/>
    <w:rsid w:val="00527DD0"/>
    <w:rsid w:val="0053204F"/>
    <w:rsid w:val="00533E89"/>
    <w:rsid w:val="00534B7E"/>
    <w:rsid w:val="00534C47"/>
    <w:rsid w:val="00537365"/>
    <w:rsid w:val="00542932"/>
    <w:rsid w:val="0054478F"/>
    <w:rsid w:val="00546CD9"/>
    <w:rsid w:val="00547B92"/>
    <w:rsid w:val="005500FC"/>
    <w:rsid w:val="005524A4"/>
    <w:rsid w:val="00552F3E"/>
    <w:rsid w:val="005542C5"/>
    <w:rsid w:val="0056086B"/>
    <w:rsid w:val="005624F0"/>
    <w:rsid w:val="00562584"/>
    <w:rsid w:val="00564C4B"/>
    <w:rsid w:val="00566E6D"/>
    <w:rsid w:val="00567E71"/>
    <w:rsid w:val="00572033"/>
    <w:rsid w:val="00572298"/>
    <w:rsid w:val="0057613F"/>
    <w:rsid w:val="005767E7"/>
    <w:rsid w:val="00577600"/>
    <w:rsid w:val="00577C36"/>
    <w:rsid w:val="005803D2"/>
    <w:rsid w:val="005809CC"/>
    <w:rsid w:val="00583C06"/>
    <w:rsid w:val="00584295"/>
    <w:rsid w:val="0058677D"/>
    <w:rsid w:val="00587901"/>
    <w:rsid w:val="00587B08"/>
    <w:rsid w:val="0059052A"/>
    <w:rsid w:val="005906C6"/>
    <w:rsid w:val="005915B3"/>
    <w:rsid w:val="00593E2A"/>
    <w:rsid w:val="00594061"/>
    <w:rsid w:val="005964F8"/>
    <w:rsid w:val="005A3E23"/>
    <w:rsid w:val="005A4622"/>
    <w:rsid w:val="005A4A0F"/>
    <w:rsid w:val="005A7F63"/>
    <w:rsid w:val="005B2933"/>
    <w:rsid w:val="005B2B3E"/>
    <w:rsid w:val="005B3FAF"/>
    <w:rsid w:val="005B653F"/>
    <w:rsid w:val="005C168B"/>
    <w:rsid w:val="005C2191"/>
    <w:rsid w:val="005C2317"/>
    <w:rsid w:val="005C2845"/>
    <w:rsid w:val="005C2DC3"/>
    <w:rsid w:val="005C3680"/>
    <w:rsid w:val="005C7460"/>
    <w:rsid w:val="005C76F0"/>
    <w:rsid w:val="005C791F"/>
    <w:rsid w:val="005D082B"/>
    <w:rsid w:val="005D2A3A"/>
    <w:rsid w:val="005D6DFA"/>
    <w:rsid w:val="005D71AE"/>
    <w:rsid w:val="005E3B1D"/>
    <w:rsid w:val="005E4518"/>
    <w:rsid w:val="005F22B7"/>
    <w:rsid w:val="005F2A8B"/>
    <w:rsid w:val="005F43E8"/>
    <w:rsid w:val="005F7D2A"/>
    <w:rsid w:val="006016F8"/>
    <w:rsid w:val="00602B8E"/>
    <w:rsid w:val="00603562"/>
    <w:rsid w:val="00604FBF"/>
    <w:rsid w:val="0061073C"/>
    <w:rsid w:val="00610E44"/>
    <w:rsid w:val="006117BB"/>
    <w:rsid w:val="00611875"/>
    <w:rsid w:val="00612BA7"/>
    <w:rsid w:val="00614CA2"/>
    <w:rsid w:val="0061569D"/>
    <w:rsid w:val="00620B70"/>
    <w:rsid w:val="00620D2F"/>
    <w:rsid w:val="00622B2B"/>
    <w:rsid w:val="006242FB"/>
    <w:rsid w:val="0062464A"/>
    <w:rsid w:val="00625C1E"/>
    <w:rsid w:val="00626A89"/>
    <w:rsid w:val="0062788D"/>
    <w:rsid w:val="0063606E"/>
    <w:rsid w:val="006366D1"/>
    <w:rsid w:val="00637BF5"/>
    <w:rsid w:val="00640747"/>
    <w:rsid w:val="0064245D"/>
    <w:rsid w:val="006441CA"/>
    <w:rsid w:val="00644329"/>
    <w:rsid w:val="00645DDB"/>
    <w:rsid w:val="00647C7C"/>
    <w:rsid w:val="00651556"/>
    <w:rsid w:val="0065159B"/>
    <w:rsid w:val="00651C39"/>
    <w:rsid w:val="006530C7"/>
    <w:rsid w:val="00655466"/>
    <w:rsid w:val="006567B7"/>
    <w:rsid w:val="00657064"/>
    <w:rsid w:val="00662923"/>
    <w:rsid w:val="00664B5B"/>
    <w:rsid w:val="00666999"/>
    <w:rsid w:val="00667E33"/>
    <w:rsid w:val="00670BDE"/>
    <w:rsid w:val="00672E82"/>
    <w:rsid w:val="006748C7"/>
    <w:rsid w:val="006778D8"/>
    <w:rsid w:val="00680BD4"/>
    <w:rsid w:val="006857B0"/>
    <w:rsid w:val="006869F8"/>
    <w:rsid w:val="00690C48"/>
    <w:rsid w:val="00692EDF"/>
    <w:rsid w:val="00695C35"/>
    <w:rsid w:val="00697C72"/>
    <w:rsid w:val="006A27AF"/>
    <w:rsid w:val="006A2D5C"/>
    <w:rsid w:val="006A4C3B"/>
    <w:rsid w:val="006A5261"/>
    <w:rsid w:val="006B1496"/>
    <w:rsid w:val="006B2DE5"/>
    <w:rsid w:val="006B40EF"/>
    <w:rsid w:val="006B48C3"/>
    <w:rsid w:val="006B4B1A"/>
    <w:rsid w:val="006B62AB"/>
    <w:rsid w:val="006C169D"/>
    <w:rsid w:val="006C16BE"/>
    <w:rsid w:val="006C2CF2"/>
    <w:rsid w:val="006C2EE9"/>
    <w:rsid w:val="006C2F36"/>
    <w:rsid w:val="006D2096"/>
    <w:rsid w:val="006D282B"/>
    <w:rsid w:val="006D348B"/>
    <w:rsid w:val="006D37DF"/>
    <w:rsid w:val="006D3810"/>
    <w:rsid w:val="006D41F6"/>
    <w:rsid w:val="006D510F"/>
    <w:rsid w:val="006E1921"/>
    <w:rsid w:val="006E4D9B"/>
    <w:rsid w:val="006E508B"/>
    <w:rsid w:val="006E74BE"/>
    <w:rsid w:val="006F4274"/>
    <w:rsid w:val="006F4B55"/>
    <w:rsid w:val="006F54D2"/>
    <w:rsid w:val="006F6407"/>
    <w:rsid w:val="006F7970"/>
    <w:rsid w:val="00702222"/>
    <w:rsid w:val="0070285B"/>
    <w:rsid w:val="007039C5"/>
    <w:rsid w:val="0070646E"/>
    <w:rsid w:val="00711BC8"/>
    <w:rsid w:val="00712A51"/>
    <w:rsid w:val="00715091"/>
    <w:rsid w:val="0071569C"/>
    <w:rsid w:val="00717F65"/>
    <w:rsid w:val="00720CCC"/>
    <w:rsid w:val="00722841"/>
    <w:rsid w:val="0072398B"/>
    <w:rsid w:val="007247B9"/>
    <w:rsid w:val="0072584F"/>
    <w:rsid w:val="00726EE1"/>
    <w:rsid w:val="00730C14"/>
    <w:rsid w:val="00733B68"/>
    <w:rsid w:val="00735647"/>
    <w:rsid w:val="00736A8C"/>
    <w:rsid w:val="00736E9F"/>
    <w:rsid w:val="00741642"/>
    <w:rsid w:val="00745169"/>
    <w:rsid w:val="00746B2D"/>
    <w:rsid w:val="007470DD"/>
    <w:rsid w:val="0075047A"/>
    <w:rsid w:val="0075283A"/>
    <w:rsid w:val="00753A8D"/>
    <w:rsid w:val="00754006"/>
    <w:rsid w:val="00764655"/>
    <w:rsid w:val="0076596A"/>
    <w:rsid w:val="00766F3D"/>
    <w:rsid w:val="00767700"/>
    <w:rsid w:val="00767AE2"/>
    <w:rsid w:val="007763CD"/>
    <w:rsid w:val="00777386"/>
    <w:rsid w:val="0078117B"/>
    <w:rsid w:val="00781866"/>
    <w:rsid w:val="00781EFF"/>
    <w:rsid w:val="0078297D"/>
    <w:rsid w:val="00782BAE"/>
    <w:rsid w:val="00790DBE"/>
    <w:rsid w:val="00795A71"/>
    <w:rsid w:val="00796524"/>
    <w:rsid w:val="00796C3C"/>
    <w:rsid w:val="007A1272"/>
    <w:rsid w:val="007A5063"/>
    <w:rsid w:val="007A7BB6"/>
    <w:rsid w:val="007B4890"/>
    <w:rsid w:val="007B4C56"/>
    <w:rsid w:val="007B4CC9"/>
    <w:rsid w:val="007C07B1"/>
    <w:rsid w:val="007C41C7"/>
    <w:rsid w:val="007C4756"/>
    <w:rsid w:val="007C695A"/>
    <w:rsid w:val="007D06D4"/>
    <w:rsid w:val="007D1C12"/>
    <w:rsid w:val="007D2750"/>
    <w:rsid w:val="007D6072"/>
    <w:rsid w:val="007D7162"/>
    <w:rsid w:val="007E24CE"/>
    <w:rsid w:val="007E2A07"/>
    <w:rsid w:val="007E3F44"/>
    <w:rsid w:val="007E4025"/>
    <w:rsid w:val="007E4A2C"/>
    <w:rsid w:val="007E599A"/>
    <w:rsid w:val="007E59A7"/>
    <w:rsid w:val="007E7258"/>
    <w:rsid w:val="007E7B29"/>
    <w:rsid w:val="007F0072"/>
    <w:rsid w:val="007F1940"/>
    <w:rsid w:val="007F40D7"/>
    <w:rsid w:val="00801244"/>
    <w:rsid w:val="008028C6"/>
    <w:rsid w:val="00802D9A"/>
    <w:rsid w:val="00803EFD"/>
    <w:rsid w:val="00807B52"/>
    <w:rsid w:val="00812730"/>
    <w:rsid w:val="00815257"/>
    <w:rsid w:val="008213E5"/>
    <w:rsid w:val="00821FE5"/>
    <w:rsid w:val="0082248D"/>
    <w:rsid w:val="00822A1B"/>
    <w:rsid w:val="0082308B"/>
    <w:rsid w:val="008234E4"/>
    <w:rsid w:val="0082390F"/>
    <w:rsid w:val="0082471A"/>
    <w:rsid w:val="008253E4"/>
    <w:rsid w:val="008266D9"/>
    <w:rsid w:val="00826842"/>
    <w:rsid w:val="0082689D"/>
    <w:rsid w:val="00840E9E"/>
    <w:rsid w:val="00842E95"/>
    <w:rsid w:val="008439E1"/>
    <w:rsid w:val="008443EB"/>
    <w:rsid w:val="00844700"/>
    <w:rsid w:val="00844FB6"/>
    <w:rsid w:val="00845590"/>
    <w:rsid w:val="008469F7"/>
    <w:rsid w:val="00850752"/>
    <w:rsid w:val="00850C4F"/>
    <w:rsid w:val="008524BC"/>
    <w:rsid w:val="00854852"/>
    <w:rsid w:val="0085575E"/>
    <w:rsid w:val="0085765C"/>
    <w:rsid w:val="008601DB"/>
    <w:rsid w:val="0086093F"/>
    <w:rsid w:val="008626BF"/>
    <w:rsid w:val="008631F7"/>
    <w:rsid w:val="00872D5B"/>
    <w:rsid w:val="008741AE"/>
    <w:rsid w:val="00875905"/>
    <w:rsid w:val="00881155"/>
    <w:rsid w:val="0088122C"/>
    <w:rsid w:val="008822F6"/>
    <w:rsid w:val="0088392D"/>
    <w:rsid w:val="00885FF6"/>
    <w:rsid w:val="008916E5"/>
    <w:rsid w:val="0089273A"/>
    <w:rsid w:val="00894D57"/>
    <w:rsid w:val="008956FE"/>
    <w:rsid w:val="008959B6"/>
    <w:rsid w:val="0089775E"/>
    <w:rsid w:val="008A212C"/>
    <w:rsid w:val="008A2A84"/>
    <w:rsid w:val="008A36B3"/>
    <w:rsid w:val="008A3E66"/>
    <w:rsid w:val="008A60F6"/>
    <w:rsid w:val="008A72ED"/>
    <w:rsid w:val="008B0F47"/>
    <w:rsid w:val="008B1886"/>
    <w:rsid w:val="008B2C19"/>
    <w:rsid w:val="008B3290"/>
    <w:rsid w:val="008B6968"/>
    <w:rsid w:val="008C18AC"/>
    <w:rsid w:val="008C1C7D"/>
    <w:rsid w:val="008C235F"/>
    <w:rsid w:val="008C46C9"/>
    <w:rsid w:val="008D0C80"/>
    <w:rsid w:val="008D2EFF"/>
    <w:rsid w:val="008D35D1"/>
    <w:rsid w:val="008D43ED"/>
    <w:rsid w:val="008D4630"/>
    <w:rsid w:val="008D4B7B"/>
    <w:rsid w:val="008D5116"/>
    <w:rsid w:val="008D5773"/>
    <w:rsid w:val="008D6EB0"/>
    <w:rsid w:val="008D7103"/>
    <w:rsid w:val="008D79A5"/>
    <w:rsid w:val="008E0E30"/>
    <w:rsid w:val="008E29EC"/>
    <w:rsid w:val="008E63F2"/>
    <w:rsid w:val="008E6DCE"/>
    <w:rsid w:val="008F0EC7"/>
    <w:rsid w:val="008F15FA"/>
    <w:rsid w:val="008F2C6E"/>
    <w:rsid w:val="008F394D"/>
    <w:rsid w:val="008F39A8"/>
    <w:rsid w:val="008F44C0"/>
    <w:rsid w:val="008F4BD1"/>
    <w:rsid w:val="00902166"/>
    <w:rsid w:val="009035B5"/>
    <w:rsid w:val="009045F6"/>
    <w:rsid w:val="00907243"/>
    <w:rsid w:val="009073C5"/>
    <w:rsid w:val="00910122"/>
    <w:rsid w:val="00910145"/>
    <w:rsid w:val="0091025A"/>
    <w:rsid w:val="00920C85"/>
    <w:rsid w:val="00921A2A"/>
    <w:rsid w:val="0092519F"/>
    <w:rsid w:val="00926372"/>
    <w:rsid w:val="00926A7E"/>
    <w:rsid w:val="0093181D"/>
    <w:rsid w:val="00933FA9"/>
    <w:rsid w:val="009365B4"/>
    <w:rsid w:val="00942415"/>
    <w:rsid w:val="009428CF"/>
    <w:rsid w:val="00942B13"/>
    <w:rsid w:val="009432C1"/>
    <w:rsid w:val="00944917"/>
    <w:rsid w:val="009449BE"/>
    <w:rsid w:val="00945407"/>
    <w:rsid w:val="0094563B"/>
    <w:rsid w:val="009511D1"/>
    <w:rsid w:val="0095195F"/>
    <w:rsid w:val="00954CFF"/>
    <w:rsid w:val="00955AC2"/>
    <w:rsid w:val="00966A11"/>
    <w:rsid w:val="009677C6"/>
    <w:rsid w:val="0097028C"/>
    <w:rsid w:val="00973E19"/>
    <w:rsid w:val="00973E94"/>
    <w:rsid w:val="00975369"/>
    <w:rsid w:val="009758AD"/>
    <w:rsid w:val="0097615B"/>
    <w:rsid w:val="00980195"/>
    <w:rsid w:val="00980846"/>
    <w:rsid w:val="009843D9"/>
    <w:rsid w:val="0098683B"/>
    <w:rsid w:val="00990670"/>
    <w:rsid w:val="00991B71"/>
    <w:rsid w:val="00993FD0"/>
    <w:rsid w:val="009949B2"/>
    <w:rsid w:val="0099558A"/>
    <w:rsid w:val="00997B10"/>
    <w:rsid w:val="009A0F74"/>
    <w:rsid w:val="009A113A"/>
    <w:rsid w:val="009A20B3"/>
    <w:rsid w:val="009A429C"/>
    <w:rsid w:val="009B0433"/>
    <w:rsid w:val="009B1885"/>
    <w:rsid w:val="009B3131"/>
    <w:rsid w:val="009B3D53"/>
    <w:rsid w:val="009B3D69"/>
    <w:rsid w:val="009B7A5F"/>
    <w:rsid w:val="009C45FD"/>
    <w:rsid w:val="009C5A44"/>
    <w:rsid w:val="009C69BE"/>
    <w:rsid w:val="009C6FE5"/>
    <w:rsid w:val="009D2A10"/>
    <w:rsid w:val="009D38C5"/>
    <w:rsid w:val="009D5FA7"/>
    <w:rsid w:val="009E162B"/>
    <w:rsid w:val="009E496A"/>
    <w:rsid w:val="009E4D66"/>
    <w:rsid w:val="009F0792"/>
    <w:rsid w:val="009F1859"/>
    <w:rsid w:val="009F1FF1"/>
    <w:rsid w:val="00A005AE"/>
    <w:rsid w:val="00A01AFD"/>
    <w:rsid w:val="00A025E3"/>
    <w:rsid w:val="00A02C3B"/>
    <w:rsid w:val="00A0694B"/>
    <w:rsid w:val="00A10B95"/>
    <w:rsid w:val="00A1225D"/>
    <w:rsid w:val="00A16BA4"/>
    <w:rsid w:val="00A16FAF"/>
    <w:rsid w:val="00A17191"/>
    <w:rsid w:val="00A21C02"/>
    <w:rsid w:val="00A235CB"/>
    <w:rsid w:val="00A25847"/>
    <w:rsid w:val="00A25AF6"/>
    <w:rsid w:val="00A25F83"/>
    <w:rsid w:val="00A277AD"/>
    <w:rsid w:val="00A27F64"/>
    <w:rsid w:val="00A324BF"/>
    <w:rsid w:val="00A32C27"/>
    <w:rsid w:val="00A35CC6"/>
    <w:rsid w:val="00A368A1"/>
    <w:rsid w:val="00A36E6F"/>
    <w:rsid w:val="00A370A8"/>
    <w:rsid w:val="00A42ABF"/>
    <w:rsid w:val="00A42C28"/>
    <w:rsid w:val="00A42D53"/>
    <w:rsid w:val="00A4750A"/>
    <w:rsid w:val="00A521A6"/>
    <w:rsid w:val="00A53F3F"/>
    <w:rsid w:val="00A54706"/>
    <w:rsid w:val="00A54A7F"/>
    <w:rsid w:val="00A6031F"/>
    <w:rsid w:val="00A61353"/>
    <w:rsid w:val="00A62A37"/>
    <w:rsid w:val="00A65E1A"/>
    <w:rsid w:val="00A664E3"/>
    <w:rsid w:val="00A66956"/>
    <w:rsid w:val="00A6783E"/>
    <w:rsid w:val="00A70C84"/>
    <w:rsid w:val="00A71526"/>
    <w:rsid w:val="00A719F3"/>
    <w:rsid w:val="00A71AF1"/>
    <w:rsid w:val="00A71D68"/>
    <w:rsid w:val="00A72A57"/>
    <w:rsid w:val="00A75835"/>
    <w:rsid w:val="00A773BE"/>
    <w:rsid w:val="00A77D55"/>
    <w:rsid w:val="00A81698"/>
    <w:rsid w:val="00A83A8F"/>
    <w:rsid w:val="00A84D8B"/>
    <w:rsid w:val="00A857F8"/>
    <w:rsid w:val="00A9023A"/>
    <w:rsid w:val="00A90DA9"/>
    <w:rsid w:val="00A94F0D"/>
    <w:rsid w:val="00A95BEA"/>
    <w:rsid w:val="00AA011E"/>
    <w:rsid w:val="00AA1480"/>
    <w:rsid w:val="00AA1DBB"/>
    <w:rsid w:val="00AA4FEA"/>
    <w:rsid w:val="00AA56DF"/>
    <w:rsid w:val="00AA648F"/>
    <w:rsid w:val="00AB1089"/>
    <w:rsid w:val="00AB2963"/>
    <w:rsid w:val="00AB2AED"/>
    <w:rsid w:val="00AB61A9"/>
    <w:rsid w:val="00AB75CB"/>
    <w:rsid w:val="00AC1087"/>
    <w:rsid w:val="00AC10AD"/>
    <w:rsid w:val="00AC4202"/>
    <w:rsid w:val="00AC7642"/>
    <w:rsid w:val="00AC7B07"/>
    <w:rsid w:val="00AD0EA4"/>
    <w:rsid w:val="00AD2892"/>
    <w:rsid w:val="00AD3231"/>
    <w:rsid w:val="00AD3436"/>
    <w:rsid w:val="00AD451E"/>
    <w:rsid w:val="00AD4564"/>
    <w:rsid w:val="00AD4602"/>
    <w:rsid w:val="00AD47DB"/>
    <w:rsid w:val="00AD520A"/>
    <w:rsid w:val="00AD61BD"/>
    <w:rsid w:val="00AD624B"/>
    <w:rsid w:val="00AD66B5"/>
    <w:rsid w:val="00AD76C1"/>
    <w:rsid w:val="00AE1C11"/>
    <w:rsid w:val="00AE1C6A"/>
    <w:rsid w:val="00AE20CF"/>
    <w:rsid w:val="00AE3709"/>
    <w:rsid w:val="00AE6920"/>
    <w:rsid w:val="00AE6E0A"/>
    <w:rsid w:val="00AF05C2"/>
    <w:rsid w:val="00AF2D6F"/>
    <w:rsid w:val="00AF2D8F"/>
    <w:rsid w:val="00AF2F76"/>
    <w:rsid w:val="00AF30C9"/>
    <w:rsid w:val="00AF47C5"/>
    <w:rsid w:val="00AF6BEE"/>
    <w:rsid w:val="00AF76F7"/>
    <w:rsid w:val="00AF788B"/>
    <w:rsid w:val="00AF7E02"/>
    <w:rsid w:val="00B010BC"/>
    <w:rsid w:val="00B0141F"/>
    <w:rsid w:val="00B01DF3"/>
    <w:rsid w:val="00B02C71"/>
    <w:rsid w:val="00B02F40"/>
    <w:rsid w:val="00B0436D"/>
    <w:rsid w:val="00B04F1B"/>
    <w:rsid w:val="00B05803"/>
    <w:rsid w:val="00B05F27"/>
    <w:rsid w:val="00B10AD9"/>
    <w:rsid w:val="00B112E7"/>
    <w:rsid w:val="00B17B07"/>
    <w:rsid w:val="00B2374F"/>
    <w:rsid w:val="00B2403C"/>
    <w:rsid w:val="00B264DE"/>
    <w:rsid w:val="00B26C41"/>
    <w:rsid w:val="00B3085C"/>
    <w:rsid w:val="00B30B01"/>
    <w:rsid w:val="00B30D33"/>
    <w:rsid w:val="00B37ACE"/>
    <w:rsid w:val="00B37B0F"/>
    <w:rsid w:val="00B42CAD"/>
    <w:rsid w:val="00B43735"/>
    <w:rsid w:val="00B44F4A"/>
    <w:rsid w:val="00B464A1"/>
    <w:rsid w:val="00B52AB3"/>
    <w:rsid w:val="00B55324"/>
    <w:rsid w:val="00B5540E"/>
    <w:rsid w:val="00B57AB7"/>
    <w:rsid w:val="00B63593"/>
    <w:rsid w:val="00B65356"/>
    <w:rsid w:val="00B654D2"/>
    <w:rsid w:val="00B71A8C"/>
    <w:rsid w:val="00B72070"/>
    <w:rsid w:val="00B733E9"/>
    <w:rsid w:val="00B82697"/>
    <w:rsid w:val="00B865F0"/>
    <w:rsid w:val="00B903C4"/>
    <w:rsid w:val="00B9120D"/>
    <w:rsid w:val="00B95296"/>
    <w:rsid w:val="00B97D92"/>
    <w:rsid w:val="00BA0400"/>
    <w:rsid w:val="00BA251E"/>
    <w:rsid w:val="00BA3757"/>
    <w:rsid w:val="00BA5FE5"/>
    <w:rsid w:val="00BA63EC"/>
    <w:rsid w:val="00BA73C0"/>
    <w:rsid w:val="00BB057A"/>
    <w:rsid w:val="00BB0689"/>
    <w:rsid w:val="00BB53E3"/>
    <w:rsid w:val="00BB66E1"/>
    <w:rsid w:val="00BB7566"/>
    <w:rsid w:val="00BC1ACA"/>
    <w:rsid w:val="00BC2A08"/>
    <w:rsid w:val="00BC4EFE"/>
    <w:rsid w:val="00BC6187"/>
    <w:rsid w:val="00BD13BC"/>
    <w:rsid w:val="00BD280D"/>
    <w:rsid w:val="00BD3EDB"/>
    <w:rsid w:val="00BD4410"/>
    <w:rsid w:val="00BD5201"/>
    <w:rsid w:val="00BD6CFB"/>
    <w:rsid w:val="00BE6915"/>
    <w:rsid w:val="00BE6D73"/>
    <w:rsid w:val="00BF4292"/>
    <w:rsid w:val="00BF44F4"/>
    <w:rsid w:val="00BF465E"/>
    <w:rsid w:val="00BF5542"/>
    <w:rsid w:val="00BF6E8F"/>
    <w:rsid w:val="00C01414"/>
    <w:rsid w:val="00C02546"/>
    <w:rsid w:val="00C056D2"/>
    <w:rsid w:val="00C10B75"/>
    <w:rsid w:val="00C1125B"/>
    <w:rsid w:val="00C118CD"/>
    <w:rsid w:val="00C11C77"/>
    <w:rsid w:val="00C12987"/>
    <w:rsid w:val="00C2226B"/>
    <w:rsid w:val="00C24A07"/>
    <w:rsid w:val="00C258EC"/>
    <w:rsid w:val="00C270FB"/>
    <w:rsid w:val="00C316F8"/>
    <w:rsid w:val="00C32E4E"/>
    <w:rsid w:val="00C34370"/>
    <w:rsid w:val="00C35312"/>
    <w:rsid w:val="00C3759B"/>
    <w:rsid w:val="00C37BD3"/>
    <w:rsid w:val="00C42455"/>
    <w:rsid w:val="00C47444"/>
    <w:rsid w:val="00C47591"/>
    <w:rsid w:val="00C56AA9"/>
    <w:rsid w:val="00C62E1E"/>
    <w:rsid w:val="00C64CED"/>
    <w:rsid w:val="00C67B48"/>
    <w:rsid w:val="00C71710"/>
    <w:rsid w:val="00C71BE8"/>
    <w:rsid w:val="00C72B75"/>
    <w:rsid w:val="00C75F1C"/>
    <w:rsid w:val="00C762C4"/>
    <w:rsid w:val="00C807C8"/>
    <w:rsid w:val="00C82824"/>
    <w:rsid w:val="00C8559E"/>
    <w:rsid w:val="00C90431"/>
    <w:rsid w:val="00C93132"/>
    <w:rsid w:val="00C933B6"/>
    <w:rsid w:val="00C97E78"/>
    <w:rsid w:val="00CA2A33"/>
    <w:rsid w:val="00CA61F4"/>
    <w:rsid w:val="00CA6C85"/>
    <w:rsid w:val="00CA7B70"/>
    <w:rsid w:val="00CB0F36"/>
    <w:rsid w:val="00CB22C0"/>
    <w:rsid w:val="00CB737E"/>
    <w:rsid w:val="00CC1CFE"/>
    <w:rsid w:val="00CC2407"/>
    <w:rsid w:val="00CC5643"/>
    <w:rsid w:val="00CC5FD8"/>
    <w:rsid w:val="00CC770B"/>
    <w:rsid w:val="00CD2F4B"/>
    <w:rsid w:val="00CD3646"/>
    <w:rsid w:val="00CD3AD8"/>
    <w:rsid w:val="00CD3FE7"/>
    <w:rsid w:val="00CD416F"/>
    <w:rsid w:val="00CD5C69"/>
    <w:rsid w:val="00CD671D"/>
    <w:rsid w:val="00CE07D4"/>
    <w:rsid w:val="00CE1D32"/>
    <w:rsid w:val="00CE4E3E"/>
    <w:rsid w:val="00CE4F3E"/>
    <w:rsid w:val="00CE7C27"/>
    <w:rsid w:val="00CF0180"/>
    <w:rsid w:val="00CF1A1D"/>
    <w:rsid w:val="00CF2091"/>
    <w:rsid w:val="00CF33E2"/>
    <w:rsid w:val="00CF63D8"/>
    <w:rsid w:val="00CF71E7"/>
    <w:rsid w:val="00D0056E"/>
    <w:rsid w:val="00D01C1A"/>
    <w:rsid w:val="00D024FA"/>
    <w:rsid w:val="00D033CE"/>
    <w:rsid w:val="00D0394B"/>
    <w:rsid w:val="00D04CF3"/>
    <w:rsid w:val="00D04ECA"/>
    <w:rsid w:val="00D06CE6"/>
    <w:rsid w:val="00D11668"/>
    <w:rsid w:val="00D1184D"/>
    <w:rsid w:val="00D13C52"/>
    <w:rsid w:val="00D14012"/>
    <w:rsid w:val="00D14A58"/>
    <w:rsid w:val="00D17D1F"/>
    <w:rsid w:val="00D2092C"/>
    <w:rsid w:val="00D23E10"/>
    <w:rsid w:val="00D24161"/>
    <w:rsid w:val="00D3248C"/>
    <w:rsid w:val="00D330AB"/>
    <w:rsid w:val="00D3493A"/>
    <w:rsid w:val="00D373EF"/>
    <w:rsid w:val="00D37867"/>
    <w:rsid w:val="00D40524"/>
    <w:rsid w:val="00D4084E"/>
    <w:rsid w:val="00D41346"/>
    <w:rsid w:val="00D459CA"/>
    <w:rsid w:val="00D46FCB"/>
    <w:rsid w:val="00D52B89"/>
    <w:rsid w:val="00D52BE9"/>
    <w:rsid w:val="00D52CD1"/>
    <w:rsid w:val="00D53717"/>
    <w:rsid w:val="00D5407E"/>
    <w:rsid w:val="00D5722F"/>
    <w:rsid w:val="00D5736A"/>
    <w:rsid w:val="00D61659"/>
    <w:rsid w:val="00D67D31"/>
    <w:rsid w:val="00D72A60"/>
    <w:rsid w:val="00D73DF3"/>
    <w:rsid w:val="00D74D14"/>
    <w:rsid w:val="00D75580"/>
    <w:rsid w:val="00D76AB5"/>
    <w:rsid w:val="00D8041F"/>
    <w:rsid w:val="00D8078F"/>
    <w:rsid w:val="00D80824"/>
    <w:rsid w:val="00D81688"/>
    <w:rsid w:val="00D85BA5"/>
    <w:rsid w:val="00D865C5"/>
    <w:rsid w:val="00D91E6A"/>
    <w:rsid w:val="00D9331D"/>
    <w:rsid w:val="00D950AA"/>
    <w:rsid w:val="00DA0A00"/>
    <w:rsid w:val="00DA6838"/>
    <w:rsid w:val="00DA70E8"/>
    <w:rsid w:val="00DA750F"/>
    <w:rsid w:val="00DB072A"/>
    <w:rsid w:val="00DB218F"/>
    <w:rsid w:val="00DB31E4"/>
    <w:rsid w:val="00DB6363"/>
    <w:rsid w:val="00DC2FDE"/>
    <w:rsid w:val="00DC4107"/>
    <w:rsid w:val="00DC6443"/>
    <w:rsid w:val="00DC6470"/>
    <w:rsid w:val="00DD07C2"/>
    <w:rsid w:val="00DD0E37"/>
    <w:rsid w:val="00DD5450"/>
    <w:rsid w:val="00DD6C61"/>
    <w:rsid w:val="00DE02FA"/>
    <w:rsid w:val="00DE1FD0"/>
    <w:rsid w:val="00DE3E53"/>
    <w:rsid w:val="00DE6A88"/>
    <w:rsid w:val="00DE6BD6"/>
    <w:rsid w:val="00DF0C50"/>
    <w:rsid w:val="00DF4703"/>
    <w:rsid w:val="00DF61E0"/>
    <w:rsid w:val="00E01D8C"/>
    <w:rsid w:val="00E06AAF"/>
    <w:rsid w:val="00E135D0"/>
    <w:rsid w:val="00E13685"/>
    <w:rsid w:val="00E13BCC"/>
    <w:rsid w:val="00E2338D"/>
    <w:rsid w:val="00E2607F"/>
    <w:rsid w:val="00E27CE7"/>
    <w:rsid w:val="00E320FA"/>
    <w:rsid w:val="00E33732"/>
    <w:rsid w:val="00E3568F"/>
    <w:rsid w:val="00E35EF9"/>
    <w:rsid w:val="00E368B6"/>
    <w:rsid w:val="00E4279F"/>
    <w:rsid w:val="00E4397A"/>
    <w:rsid w:val="00E439A9"/>
    <w:rsid w:val="00E44C3E"/>
    <w:rsid w:val="00E46F45"/>
    <w:rsid w:val="00E50015"/>
    <w:rsid w:val="00E54993"/>
    <w:rsid w:val="00E5508B"/>
    <w:rsid w:val="00E608A7"/>
    <w:rsid w:val="00E61B71"/>
    <w:rsid w:val="00E62376"/>
    <w:rsid w:val="00E64121"/>
    <w:rsid w:val="00E6587D"/>
    <w:rsid w:val="00E665DE"/>
    <w:rsid w:val="00E72778"/>
    <w:rsid w:val="00E774DB"/>
    <w:rsid w:val="00E77AA7"/>
    <w:rsid w:val="00E82BD4"/>
    <w:rsid w:val="00E84740"/>
    <w:rsid w:val="00E84E3C"/>
    <w:rsid w:val="00E85A72"/>
    <w:rsid w:val="00E85A94"/>
    <w:rsid w:val="00E86231"/>
    <w:rsid w:val="00E86AC7"/>
    <w:rsid w:val="00E87A81"/>
    <w:rsid w:val="00E9001A"/>
    <w:rsid w:val="00E90182"/>
    <w:rsid w:val="00E90E24"/>
    <w:rsid w:val="00E92C2A"/>
    <w:rsid w:val="00E93ABC"/>
    <w:rsid w:val="00E93C02"/>
    <w:rsid w:val="00E95E8A"/>
    <w:rsid w:val="00EA1BD2"/>
    <w:rsid w:val="00EA316A"/>
    <w:rsid w:val="00EA4E8C"/>
    <w:rsid w:val="00EA5497"/>
    <w:rsid w:val="00EA6122"/>
    <w:rsid w:val="00EB07C6"/>
    <w:rsid w:val="00EB4CB1"/>
    <w:rsid w:val="00EB50DA"/>
    <w:rsid w:val="00EB5D37"/>
    <w:rsid w:val="00EB6946"/>
    <w:rsid w:val="00EC02A7"/>
    <w:rsid w:val="00EC3188"/>
    <w:rsid w:val="00EC400B"/>
    <w:rsid w:val="00EC74D9"/>
    <w:rsid w:val="00EC7D1A"/>
    <w:rsid w:val="00ED040E"/>
    <w:rsid w:val="00ED16A1"/>
    <w:rsid w:val="00ED3950"/>
    <w:rsid w:val="00ED4B35"/>
    <w:rsid w:val="00EE0D60"/>
    <w:rsid w:val="00EE355E"/>
    <w:rsid w:val="00EE42B8"/>
    <w:rsid w:val="00EE5E1C"/>
    <w:rsid w:val="00EF10B9"/>
    <w:rsid w:val="00EF116F"/>
    <w:rsid w:val="00EF2F8D"/>
    <w:rsid w:val="00EF4198"/>
    <w:rsid w:val="00F068F0"/>
    <w:rsid w:val="00F06DAE"/>
    <w:rsid w:val="00F072FC"/>
    <w:rsid w:val="00F10450"/>
    <w:rsid w:val="00F10C90"/>
    <w:rsid w:val="00F11873"/>
    <w:rsid w:val="00F12316"/>
    <w:rsid w:val="00F1456B"/>
    <w:rsid w:val="00F154E4"/>
    <w:rsid w:val="00F167D5"/>
    <w:rsid w:val="00F17058"/>
    <w:rsid w:val="00F17368"/>
    <w:rsid w:val="00F17A43"/>
    <w:rsid w:val="00F27F86"/>
    <w:rsid w:val="00F334F7"/>
    <w:rsid w:val="00F37553"/>
    <w:rsid w:val="00F376A5"/>
    <w:rsid w:val="00F37C19"/>
    <w:rsid w:val="00F404C7"/>
    <w:rsid w:val="00F43BE9"/>
    <w:rsid w:val="00F43EF6"/>
    <w:rsid w:val="00F45FC3"/>
    <w:rsid w:val="00F46643"/>
    <w:rsid w:val="00F46AAC"/>
    <w:rsid w:val="00F47800"/>
    <w:rsid w:val="00F50725"/>
    <w:rsid w:val="00F52FB6"/>
    <w:rsid w:val="00F54376"/>
    <w:rsid w:val="00F54ACB"/>
    <w:rsid w:val="00F57758"/>
    <w:rsid w:val="00F60942"/>
    <w:rsid w:val="00F6109C"/>
    <w:rsid w:val="00F613E9"/>
    <w:rsid w:val="00F64522"/>
    <w:rsid w:val="00F67186"/>
    <w:rsid w:val="00F70C03"/>
    <w:rsid w:val="00F73D6E"/>
    <w:rsid w:val="00F74081"/>
    <w:rsid w:val="00F7641B"/>
    <w:rsid w:val="00F836B0"/>
    <w:rsid w:val="00F84FEE"/>
    <w:rsid w:val="00F85206"/>
    <w:rsid w:val="00F86F95"/>
    <w:rsid w:val="00F86FD3"/>
    <w:rsid w:val="00F91588"/>
    <w:rsid w:val="00F91E54"/>
    <w:rsid w:val="00F93461"/>
    <w:rsid w:val="00F95BF7"/>
    <w:rsid w:val="00F96EEE"/>
    <w:rsid w:val="00F97EA1"/>
    <w:rsid w:val="00FA4AA7"/>
    <w:rsid w:val="00FA6812"/>
    <w:rsid w:val="00FA6DFB"/>
    <w:rsid w:val="00FB2536"/>
    <w:rsid w:val="00FB3322"/>
    <w:rsid w:val="00FB716D"/>
    <w:rsid w:val="00FB7BC4"/>
    <w:rsid w:val="00FC0230"/>
    <w:rsid w:val="00FC5C22"/>
    <w:rsid w:val="00FC650C"/>
    <w:rsid w:val="00FC7714"/>
    <w:rsid w:val="00FD3277"/>
    <w:rsid w:val="00FD3F38"/>
    <w:rsid w:val="00FD71D5"/>
    <w:rsid w:val="00FD77DF"/>
    <w:rsid w:val="00FE07E7"/>
    <w:rsid w:val="00FE51E6"/>
    <w:rsid w:val="00FE525F"/>
    <w:rsid w:val="00FE572F"/>
    <w:rsid w:val="00FE7370"/>
    <w:rsid w:val="00FF1575"/>
    <w:rsid w:val="00FF6177"/>
    <w:rsid w:val="00FF6F93"/>
    <w:rsid w:val="00FF7016"/>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ACA9"/>
  <w14:defaultImageDpi w14:val="32767"/>
  <w15:chartTrackingRefBased/>
  <w15:docId w15:val="{2082F382-42B1-7C45-A795-548F7627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color w:val="000000"/>
        <w:sz w:val="24"/>
        <w:szCs w:val="24"/>
        <w:u w:color="000000"/>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1A8C"/>
    <w:pPr>
      <w:ind w:left="-360" w:firstLine="0"/>
    </w:pPr>
    <w:rPr>
      <w:rFonts w:eastAsia="Arial Unicode MS" w:cs="Cambria"/>
      <w:color w:val="auto"/>
    </w:rPr>
  </w:style>
  <w:style w:type="paragraph" w:styleId="Heading1">
    <w:name w:val="heading 1"/>
    <w:basedOn w:val="ListParagraph"/>
    <w:next w:val="Header"/>
    <w:link w:val="Heading1Char"/>
    <w:autoRedefine/>
    <w:qFormat/>
    <w:rsid w:val="00DE6BD6"/>
    <w:pPr>
      <w:numPr>
        <w:numId w:val="1"/>
      </w:numPr>
      <w:spacing w:after="60"/>
      <w:outlineLvl w:val="0"/>
    </w:pPr>
    <w:rPr>
      <w:rFonts w:ascii="Times New Roman" w:hAnsi="Times New Roman" w:cs="Times New Roman"/>
      <w:b/>
      <w:bCs w:val="0"/>
      <w:sz w:val="28"/>
      <w:u w:val="single"/>
    </w:rPr>
  </w:style>
  <w:style w:type="paragraph" w:styleId="Heading2">
    <w:name w:val="heading 2"/>
    <w:basedOn w:val="ListParagraph"/>
    <w:link w:val="Heading2Char"/>
    <w:autoRedefine/>
    <w:qFormat/>
    <w:rsid w:val="001110EE"/>
    <w:pPr>
      <w:numPr>
        <w:ilvl w:val="1"/>
        <w:numId w:val="1"/>
      </w:numPr>
      <w:outlineLvl w:val="1"/>
    </w:pPr>
    <w:rPr>
      <w:rFonts w:ascii="Times New Roman" w:hAnsi="Times New Roman" w:cs="Times New Roman"/>
      <w:b/>
      <w:bCs w:val="0"/>
      <w:sz w:val="28"/>
      <w:u w:val="single"/>
    </w:rPr>
  </w:style>
  <w:style w:type="paragraph" w:styleId="Heading3">
    <w:name w:val="heading 3"/>
    <w:basedOn w:val="Normal"/>
    <w:link w:val="Heading3Char"/>
    <w:autoRedefine/>
    <w:uiPriority w:val="9"/>
    <w:unhideWhenUsed/>
    <w:qFormat/>
    <w:rsid w:val="00945407"/>
    <w:pPr>
      <w:widowControl w:val="0"/>
      <w:numPr>
        <w:numId w:val="3"/>
      </w:numPr>
      <w:autoSpaceDE w:val="0"/>
      <w:autoSpaceDN w:val="0"/>
      <w:spacing w:before="120" w:line="480" w:lineRule="auto"/>
      <w:outlineLvl w:val="2"/>
    </w:pPr>
    <w:rPr>
      <w:rFonts w:eastAsia="Garamond" w:cs="Times New Roman"/>
      <w:b/>
      <w:bCs/>
      <w:color w:val="000000" w:themeColor="text1"/>
      <w:szCs w:val="22"/>
    </w:rPr>
  </w:style>
  <w:style w:type="paragraph" w:styleId="Heading4">
    <w:name w:val="heading 4"/>
    <w:basedOn w:val="Normal"/>
    <w:next w:val="Normal"/>
    <w:link w:val="Heading4Char"/>
    <w:autoRedefine/>
    <w:uiPriority w:val="9"/>
    <w:unhideWhenUsed/>
    <w:qFormat/>
    <w:rsid w:val="008D7103"/>
    <w:pPr>
      <w:outlineLvl w:val="3"/>
    </w:pPr>
    <w:rPr>
      <w:rFonts w:cs="Arial Unicode MS"/>
      <w:b/>
      <w:color w:val="000000"/>
      <w:u w:val="single"/>
    </w:rPr>
  </w:style>
  <w:style w:type="paragraph" w:styleId="Heading5">
    <w:name w:val="heading 5"/>
    <w:basedOn w:val="Normal"/>
    <w:next w:val="Normal"/>
    <w:link w:val="Heading5Char"/>
    <w:uiPriority w:val="9"/>
    <w:semiHidden/>
    <w:unhideWhenUsed/>
    <w:qFormat/>
    <w:rsid w:val="001560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60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60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60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60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4"/>
    <w:autoRedefine/>
    <w:rsid w:val="00AF2D8F"/>
    <w:pPr>
      <w:keepNext/>
      <w:keepLines/>
      <w:tabs>
        <w:tab w:val="center" w:pos="4819"/>
        <w:tab w:val="right" w:pos="9638"/>
      </w:tabs>
      <w:spacing w:before="40"/>
    </w:pPr>
    <w:rPr>
      <w:rFonts w:ascii="Verdana" w:eastAsiaTheme="majorEastAsia" w:hAnsi="Verdana" w:cstheme="majorBidi"/>
      <w:iCs/>
      <w:color w:val="323232"/>
      <w:sz w:val="28"/>
      <w:u w:val="none"/>
    </w:rPr>
  </w:style>
  <w:style w:type="paragraph" w:styleId="ListParagraph">
    <w:name w:val="List Paragraph"/>
    <w:basedOn w:val="Normal"/>
    <w:uiPriority w:val="34"/>
    <w:qFormat/>
    <w:rsid w:val="00B95296"/>
    <w:pPr>
      <w:numPr>
        <w:numId w:val="2"/>
      </w:numPr>
      <w:spacing w:line="480" w:lineRule="auto"/>
      <w:contextualSpacing/>
    </w:pPr>
    <w:rPr>
      <w:rFonts w:asciiTheme="majorHAnsi" w:hAnsiTheme="majorHAnsi" w:cstheme="majorHAnsi"/>
      <w:bCs/>
      <w:color w:val="000000" w:themeColor="text1"/>
      <w:szCs w:val="28"/>
    </w:rPr>
  </w:style>
  <w:style w:type="character" w:customStyle="1" w:styleId="Heading3Char">
    <w:name w:val="Heading 3 Char"/>
    <w:basedOn w:val="DefaultParagraphFont"/>
    <w:link w:val="Heading3"/>
    <w:uiPriority w:val="9"/>
    <w:rsid w:val="00945407"/>
    <w:rPr>
      <w:rFonts w:eastAsia="Garamond" w:cs="Times New Roman"/>
      <w:b/>
      <w:bCs/>
      <w:color w:val="000000" w:themeColor="text1"/>
      <w:szCs w:val="22"/>
    </w:rPr>
  </w:style>
  <w:style w:type="character" w:customStyle="1" w:styleId="Heading1Char">
    <w:name w:val="Heading 1 Char"/>
    <w:basedOn w:val="DefaultParagraphFont"/>
    <w:link w:val="Heading1"/>
    <w:rsid w:val="00DE6BD6"/>
    <w:rPr>
      <w:rFonts w:eastAsia="Arial Unicode MS" w:cs="Times New Roman"/>
      <w:b/>
      <w:color w:val="000000" w:themeColor="text1"/>
      <w:sz w:val="28"/>
      <w:szCs w:val="28"/>
      <w:u w:val="single"/>
    </w:rPr>
  </w:style>
  <w:style w:type="character" w:customStyle="1" w:styleId="Heading2Char">
    <w:name w:val="Heading 2 Char"/>
    <w:basedOn w:val="DefaultParagraphFont"/>
    <w:link w:val="Heading2"/>
    <w:rsid w:val="001110EE"/>
    <w:rPr>
      <w:rFonts w:eastAsia="Arial Unicode MS" w:cs="Times New Roman"/>
      <w:b/>
      <w:color w:val="000000" w:themeColor="text1"/>
      <w:sz w:val="28"/>
      <w:szCs w:val="28"/>
      <w:u w:val="single"/>
    </w:rPr>
  </w:style>
  <w:style w:type="paragraph" w:styleId="Header">
    <w:name w:val="header"/>
    <w:basedOn w:val="Normal"/>
    <w:link w:val="HeaderChar"/>
    <w:uiPriority w:val="99"/>
    <w:unhideWhenUsed/>
    <w:rsid w:val="00695C35"/>
    <w:pPr>
      <w:tabs>
        <w:tab w:val="center" w:pos="4680"/>
        <w:tab w:val="right" w:pos="9360"/>
      </w:tabs>
    </w:pPr>
  </w:style>
  <w:style w:type="character" w:customStyle="1" w:styleId="HeaderChar">
    <w:name w:val="Header Char"/>
    <w:basedOn w:val="DefaultParagraphFont"/>
    <w:link w:val="Header"/>
    <w:uiPriority w:val="99"/>
    <w:rsid w:val="00695C35"/>
    <w:rPr>
      <w:sz w:val="22"/>
    </w:rPr>
  </w:style>
  <w:style w:type="character" w:customStyle="1" w:styleId="Heading4Char">
    <w:name w:val="Heading 4 Char"/>
    <w:basedOn w:val="DefaultParagraphFont"/>
    <w:link w:val="Heading4"/>
    <w:uiPriority w:val="9"/>
    <w:rsid w:val="008D7103"/>
    <w:rPr>
      <w:b/>
      <w:sz w:val="22"/>
      <w:u w:val="single"/>
    </w:rPr>
  </w:style>
  <w:style w:type="character" w:customStyle="1" w:styleId="Heading5Char">
    <w:name w:val="Heading 5 Char"/>
    <w:basedOn w:val="DefaultParagraphFont"/>
    <w:link w:val="Heading5"/>
    <w:uiPriority w:val="9"/>
    <w:semiHidden/>
    <w:rsid w:val="00156048"/>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156048"/>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56048"/>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56048"/>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56048"/>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1560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4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56048"/>
    <w:pPr>
      <w:numPr>
        <w:ilvl w:val="1"/>
      </w:numPr>
      <w:spacing w:after="160"/>
      <w:ind w:left="720" w:hanging="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60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048"/>
    <w:rPr>
      <w:rFonts w:ascii="Verdana" w:eastAsia="Arial Unicode MS" w:hAnsi="Verdana" w:cs="Cambria"/>
      <w:i/>
      <w:iCs/>
      <w:color w:val="404040" w:themeColor="text1" w:themeTint="BF"/>
      <w:sz w:val="22"/>
    </w:rPr>
  </w:style>
  <w:style w:type="character" w:styleId="IntenseEmphasis">
    <w:name w:val="Intense Emphasis"/>
    <w:basedOn w:val="DefaultParagraphFont"/>
    <w:uiPriority w:val="21"/>
    <w:qFormat/>
    <w:rsid w:val="00156048"/>
    <w:rPr>
      <w:i/>
      <w:iCs/>
      <w:color w:val="2F5496" w:themeColor="accent1" w:themeShade="BF"/>
    </w:rPr>
  </w:style>
  <w:style w:type="paragraph" w:styleId="IntenseQuote">
    <w:name w:val="Intense Quote"/>
    <w:basedOn w:val="Normal"/>
    <w:next w:val="Normal"/>
    <w:link w:val="IntenseQuoteChar"/>
    <w:uiPriority w:val="30"/>
    <w:qFormat/>
    <w:rsid w:val="00156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6048"/>
    <w:rPr>
      <w:rFonts w:ascii="Verdana" w:eastAsia="Arial Unicode MS" w:hAnsi="Verdana" w:cs="Cambria"/>
      <w:i/>
      <w:iCs/>
      <w:color w:val="2F5496" w:themeColor="accent1" w:themeShade="BF"/>
      <w:sz w:val="22"/>
    </w:rPr>
  </w:style>
  <w:style w:type="character" w:styleId="IntenseReference">
    <w:name w:val="Intense Reference"/>
    <w:basedOn w:val="DefaultParagraphFont"/>
    <w:uiPriority w:val="32"/>
    <w:qFormat/>
    <w:rsid w:val="00156048"/>
    <w:rPr>
      <w:b/>
      <w:bCs/>
      <w:smallCaps/>
      <w:color w:val="2F5496" w:themeColor="accent1" w:themeShade="BF"/>
      <w:spacing w:val="5"/>
    </w:rPr>
  </w:style>
  <w:style w:type="paragraph" w:styleId="FootnoteText">
    <w:name w:val="footnote text"/>
    <w:basedOn w:val="Normal"/>
    <w:link w:val="FootnoteTextChar"/>
    <w:uiPriority w:val="99"/>
    <w:unhideWhenUsed/>
    <w:rsid w:val="00E86AC7"/>
    <w:rPr>
      <w:sz w:val="20"/>
      <w:szCs w:val="20"/>
    </w:rPr>
  </w:style>
  <w:style w:type="character" w:customStyle="1" w:styleId="FootnoteTextChar">
    <w:name w:val="Footnote Text Char"/>
    <w:basedOn w:val="DefaultParagraphFont"/>
    <w:link w:val="FootnoteText"/>
    <w:uiPriority w:val="99"/>
    <w:rsid w:val="00E86AC7"/>
    <w:rPr>
      <w:rFonts w:eastAsia="Arial Unicode MS" w:cs="Cambria"/>
      <w:color w:val="auto"/>
      <w:sz w:val="20"/>
      <w:szCs w:val="20"/>
    </w:rPr>
  </w:style>
  <w:style w:type="character" w:styleId="FootnoteReference">
    <w:name w:val="footnote reference"/>
    <w:basedOn w:val="DefaultParagraphFont"/>
    <w:uiPriority w:val="99"/>
    <w:unhideWhenUsed/>
    <w:rsid w:val="00E86AC7"/>
    <w:rPr>
      <w:vertAlign w:val="superscript"/>
    </w:rPr>
  </w:style>
  <w:style w:type="character" w:styleId="Hyperlink">
    <w:name w:val="Hyperlink"/>
    <w:basedOn w:val="DefaultParagraphFont"/>
    <w:uiPriority w:val="99"/>
    <w:unhideWhenUsed/>
    <w:rsid w:val="00137F93"/>
    <w:rPr>
      <w:color w:val="0563C1" w:themeColor="hyperlink"/>
      <w:u w:val="single"/>
    </w:rPr>
  </w:style>
  <w:style w:type="character" w:styleId="UnresolvedMention">
    <w:name w:val="Unresolved Mention"/>
    <w:basedOn w:val="DefaultParagraphFont"/>
    <w:uiPriority w:val="99"/>
    <w:rsid w:val="00137F93"/>
    <w:rPr>
      <w:color w:val="605E5C"/>
      <w:shd w:val="clear" w:color="auto" w:fill="E1DFDD"/>
    </w:rPr>
  </w:style>
  <w:style w:type="character" w:styleId="FollowedHyperlink">
    <w:name w:val="FollowedHyperlink"/>
    <w:basedOn w:val="DefaultParagraphFont"/>
    <w:uiPriority w:val="99"/>
    <w:semiHidden/>
    <w:unhideWhenUsed/>
    <w:rsid w:val="002A258A"/>
    <w:rPr>
      <w:color w:val="954F72" w:themeColor="followedHyperlink"/>
      <w:u w:val="single"/>
    </w:rPr>
  </w:style>
  <w:style w:type="paragraph" w:styleId="NormalWeb">
    <w:name w:val="Normal (Web)"/>
    <w:basedOn w:val="Normal"/>
    <w:uiPriority w:val="99"/>
    <w:semiHidden/>
    <w:unhideWhenUsed/>
    <w:rsid w:val="00EE0D60"/>
    <w:rPr>
      <w:rFonts w:cs="Times New Roman"/>
    </w:rPr>
  </w:style>
  <w:style w:type="character" w:customStyle="1" w:styleId="ng-star-inserted1">
    <w:name w:val="ng-star-inserted1"/>
    <w:basedOn w:val="DefaultParagraphFont"/>
    <w:rsid w:val="00EB5D37"/>
  </w:style>
  <w:style w:type="table" w:styleId="TableGrid">
    <w:name w:val="Table Grid"/>
    <w:basedOn w:val="TableNormal"/>
    <w:uiPriority w:val="39"/>
    <w:rsid w:val="00056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60F6"/>
  </w:style>
  <w:style w:type="paragraph" w:customStyle="1" w:styleId="ng-star-inserted">
    <w:name w:val="ng-star-inserted"/>
    <w:basedOn w:val="Normal"/>
    <w:rsid w:val="008A60F6"/>
    <w:pPr>
      <w:spacing w:before="100" w:beforeAutospacing="1" w:after="100" w:afterAutospacing="1"/>
      <w:ind w:left="0"/>
    </w:pPr>
    <w:rPr>
      <w:rFonts w:eastAsia="Times New Roman" w:cs="Times New Roman"/>
    </w:rPr>
  </w:style>
  <w:style w:type="character" w:styleId="Emphasis">
    <w:name w:val="Emphasis"/>
    <w:basedOn w:val="DefaultParagraphFont"/>
    <w:uiPriority w:val="20"/>
    <w:qFormat/>
    <w:rsid w:val="00826842"/>
    <w:rPr>
      <w:i/>
      <w:iCs/>
    </w:rPr>
  </w:style>
  <w:style w:type="character" w:styleId="CommentReference">
    <w:name w:val="annotation reference"/>
    <w:basedOn w:val="DefaultParagraphFont"/>
    <w:uiPriority w:val="99"/>
    <w:semiHidden/>
    <w:unhideWhenUsed/>
    <w:rsid w:val="007D6072"/>
    <w:rPr>
      <w:sz w:val="16"/>
      <w:szCs w:val="16"/>
    </w:rPr>
  </w:style>
  <w:style w:type="paragraph" w:styleId="CommentText">
    <w:name w:val="annotation text"/>
    <w:basedOn w:val="Normal"/>
    <w:link w:val="CommentTextChar"/>
    <w:uiPriority w:val="99"/>
    <w:semiHidden/>
    <w:unhideWhenUsed/>
    <w:rsid w:val="007D6072"/>
    <w:rPr>
      <w:sz w:val="20"/>
      <w:szCs w:val="20"/>
    </w:rPr>
  </w:style>
  <w:style w:type="character" w:customStyle="1" w:styleId="CommentTextChar">
    <w:name w:val="Comment Text Char"/>
    <w:basedOn w:val="DefaultParagraphFont"/>
    <w:link w:val="CommentText"/>
    <w:uiPriority w:val="99"/>
    <w:semiHidden/>
    <w:rsid w:val="007D6072"/>
    <w:rPr>
      <w:rFonts w:eastAsia="Arial Unicode MS" w:cs="Cambria"/>
      <w:color w:val="auto"/>
      <w:sz w:val="20"/>
      <w:szCs w:val="20"/>
    </w:rPr>
  </w:style>
  <w:style w:type="paragraph" w:styleId="CommentSubject">
    <w:name w:val="annotation subject"/>
    <w:basedOn w:val="CommentText"/>
    <w:next w:val="CommentText"/>
    <w:link w:val="CommentSubjectChar"/>
    <w:uiPriority w:val="99"/>
    <w:semiHidden/>
    <w:unhideWhenUsed/>
    <w:rsid w:val="007D6072"/>
    <w:rPr>
      <w:b/>
      <w:bCs/>
    </w:rPr>
  </w:style>
  <w:style w:type="character" w:customStyle="1" w:styleId="CommentSubjectChar">
    <w:name w:val="Comment Subject Char"/>
    <w:basedOn w:val="CommentTextChar"/>
    <w:link w:val="CommentSubject"/>
    <w:uiPriority w:val="99"/>
    <w:semiHidden/>
    <w:rsid w:val="007D6072"/>
    <w:rPr>
      <w:rFonts w:eastAsia="Arial Unicode MS" w:cs="Cambria"/>
      <w:b/>
      <w:bCs/>
      <w:color w:val="auto"/>
      <w:sz w:val="20"/>
      <w:szCs w:val="20"/>
    </w:rPr>
  </w:style>
  <w:style w:type="paragraph" w:styleId="Revision">
    <w:name w:val="Revision"/>
    <w:hidden/>
    <w:uiPriority w:val="99"/>
    <w:semiHidden/>
    <w:rsid w:val="007D6072"/>
    <w:pPr>
      <w:ind w:left="0" w:firstLine="0"/>
    </w:pPr>
    <w:rPr>
      <w:rFonts w:eastAsia="Arial Unicode MS" w:cs="Cambria"/>
      <w:color w:val="auto"/>
    </w:rPr>
  </w:style>
  <w:style w:type="paragraph" w:styleId="Footer">
    <w:name w:val="footer"/>
    <w:basedOn w:val="Normal"/>
    <w:link w:val="FooterChar"/>
    <w:uiPriority w:val="99"/>
    <w:unhideWhenUsed/>
    <w:rsid w:val="00CC1CFE"/>
    <w:pPr>
      <w:tabs>
        <w:tab w:val="center" w:pos="4680"/>
        <w:tab w:val="right" w:pos="9360"/>
      </w:tabs>
    </w:pPr>
  </w:style>
  <w:style w:type="character" w:customStyle="1" w:styleId="FooterChar">
    <w:name w:val="Footer Char"/>
    <w:basedOn w:val="DefaultParagraphFont"/>
    <w:link w:val="Footer"/>
    <w:uiPriority w:val="99"/>
    <w:rsid w:val="00CC1CFE"/>
    <w:rPr>
      <w:rFonts w:eastAsia="Arial Unicode MS" w:cs="Cambr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92">
      <w:bodyDiv w:val="1"/>
      <w:marLeft w:val="0"/>
      <w:marRight w:val="0"/>
      <w:marTop w:val="0"/>
      <w:marBottom w:val="0"/>
      <w:divBdr>
        <w:top w:val="none" w:sz="0" w:space="0" w:color="auto"/>
        <w:left w:val="none" w:sz="0" w:space="0" w:color="auto"/>
        <w:bottom w:val="none" w:sz="0" w:space="0" w:color="auto"/>
        <w:right w:val="none" w:sz="0" w:space="0" w:color="auto"/>
      </w:divBdr>
    </w:div>
    <w:div w:id="8409267">
      <w:bodyDiv w:val="1"/>
      <w:marLeft w:val="0"/>
      <w:marRight w:val="0"/>
      <w:marTop w:val="0"/>
      <w:marBottom w:val="0"/>
      <w:divBdr>
        <w:top w:val="none" w:sz="0" w:space="0" w:color="auto"/>
        <w:left w:val="none" w:sz="0" w:space="0" w:color="auto"/>
        <w:bottom w:val="none" w:sz="0" w:space="0" w:color="auto"/>
        <w:right w:val="none" w:sz="0" w:space="0" w:color="auto"/>
      </w:divBdr>
    </w:div>
    <w:div w:id="9993913">
      <w:bodyDiv w:val="1"/>
      <w:marLeft w:val="0"/>
      <w:marRight w:val="0"/>
      <w:marTop w:val="0"/>
      <w:marBottom w:val="0"/>
      <w:divBdr>
        <w:top w:val="none" w:sz="0" w:space="0" w:color="auto"/>
        <w:left w:val="none" w:sz="0" w:space="0" w:color="auto"/>
        <w:bottom w:val="none" w:sz="0" w:space="0" w:color="auto"/>
        <w:right w:val="none" w:sz="0" w:space="0" w:color="auto"/>
      </w:divBdr>
    </w:div>
    <w:div w:id="17975865">
      <w:bodyDiv w:val="1"/>
      <w:marLeft w:val="0"/>
      <w:marRight w:val="0"/>
      <w:marTop w:val="0"/>
      <w:marBottom w:val="0"/>
      <w:divBdr>
        <w:top w:val="none" w:sz="0" w:space="0" w:color="auto"/>
        <w:left w:val="none" w:sz="0" w:space="0" w:color="auto"/>
        <w:bottom w:val="none" w:sz="0" w:space="0" w:color="auto"/>
        <w:right w:val="none" w:sz="0" w:space="0" w:color="auto"/>
      </w:divBdr>
    </w:div>
    <w:div w:id="28378167">
      <w:bodyDiv w:val="1"/>
      <w:marLeft w:val="0"/>
      <w:marRight w:val="0"/>
      <w:marTop w:val="0"/>
      <w:marBottom w:val="0"/>
      <w:divBdr>
        <w:top w:val="none" w:sz="0" w:space="0" w:color="auto"/>
        <w:left w:val="none" w:sz="0" w:space="0" w:color="auto"/>
        <w:bottom w:val="none" w:sz="0" w:space="0" w:color="auto"/>
        <w:right w:val="none" w:sz="0" w:space="0" w:color="auto"/>
      </w:divBdr>
    </w:div>
    <w:div w:id="33116785">
      <w:bodyDiv w:val="1"/>
      <w:marLeft w:val="0"/>
      <w:marRight w:val="0"/>
      <w:marTop w:val="0"/>
      <w:marBottom w:val="0"/>
      <w:divBdr>
        <w:top w:val="none" w:sz="0" w:space="0" w:color="auto"/>
        <w:left w:val="none" w:sz="0" w:space="0" w:color="auto"/>
        <w:bottom w:val="none" w:sz="0" w:space="0" w:color="auto"/>
        <w:right w:val="none" w:sz="0" w:space="0" w:color="auto"/>
      </w:divBdr>
    </w:div>
    <w:div w:id="36779102">
      <w:bodyDiv w:val="1"/>
      <w:marLeft w:val="0"/>
      <w:marRight w:val="0"/>
      <w:marTop w:val="0"/>
      <w:marBottom w:val="0"/>
      <w:divBdr>
        <w:top w:val="none" w:sz="0" w:space="0" w:color="auto"/>
        <w:left w:val="none" w:sz="0" w:space="0" w:color="auto"/>
        <w:bottom w:val="none" w:sz="0" w:space="0" w:color="auto"/>
        <w:right w:val="none" w:sz="0" w:space="0" w:color="auto"/>
      </w:divBdr>
    </w:div>
    <w:div w:id="42408618">
      <w:bodyDiv w:val="1"/>
      <w:marLeft w:val="0"/>
      <w:marRight w:val="0"/>
      <w:marTop w:val="0"/>
      <w:marBottom w:val="0"/>
      <w:divBdr>
        <w:top w:val="none" w:sz="0" w:space="0" w:color="auto"/>
        <w:left w:val="none" w:sz="0" w:space="0" w:color="auto"/>
        <w:bottom w:val="none" w:sz="0" w:space="0" w:color="auto"/>
        <w:right w:val="none" w:sz="0" w:space="0" w:color="auto"/>
      </w:divBdr>
    </w:div>
    <w:div w:id="42945644">
      <w:bodyDiv w:val="1"/>
      <w:marLeft w:val="0"/>
      <w:marRight w:val="0"/>
      <w:marTop w:val="0"/>
      <w:marBottom w:val="0"/>
      <w:divBdr>
        <w:top w:val="none" w:sz="0" w:space="0" w:color="auto"/>
        <w:left w:val="none" w:sz="0" w:space="0" w:color="auto"/>
        <w:bottom w:val="none" w:sz="0" w:space="0" w:color="auto"/>
        <w:right w:val="none" w:sz="0" w:space="0" w:color="auto"/>
      </w:divBdr>
    </w:div>
    <w:div w:id="55865307">
      <w:bodyDiv w:val="1"/>
      <w:marLeft w:val="0"/>
      <w:marRight w:val="0"/>
      <w:marTop w:val="0"/>
      <w:marBottom w:val="0"/>
      <w:divBdr>
        <w:top w:val="none" w:sz="0" w:space="0" w:color="auto"/>
        <w:left w:val="none" w:sz="0" w:space="0" w:color="auto"/>
        <w:bottom w:val="none" w:sz="0" w:space="0" w:color="auto"/>
        <w:right w:val="none" w:sz="0" w:space="0" w:color="auto"/>
      </w:divBdr>
    </w:div>
    <w:div w:id="60563077">
      <w:bodyDiv w:val="1"/>
      <w:marLeft w:val="0"/>
      <w:marRight w:val="0"/>
      <w:marTop w:val="0"/>
      <w:marBottom w:val="0"/>
      <w:divBdr>
        <w:top w:val="none" w:sz="0" w:space="0" w:color="auto"/>
        <w:left w:val="none" w:sz="0" w:space="0" w:color="auto"/>
        <w:bottom w:val="none" w:sz="0" w:space="0" w:color="auto"/>
        <w:right w:val="none" w:sz="0" w:space="0" w:color="auto"/>
      </w:divBdr>
    </w:div>
    <w:div w:id="63384293">
      <w:bodyDiv w:val="1"/>
      <w:marLeft w:val="0"/>
      <w:marRight w:val="0"/>
      <w:marTop w:val="0"/>
      <w:marBottom w:val="0"/>
      <w:divBdr>
        <w:top w:val="none" w:sz="0" w:space="0" w:color="auto"/>
        <w:left w:val="none" w:sz="0" w:space="0" w:color="auto"/>
        <w:bottom w:val="none" w:sz="0" w:space="0" w:color="auto"/>
        <w:right w:val="none" w:sz="0" w:space="0" w:color="auto"/>
      </w:divBdr>
    </w:div>
    <w:div w:id="77556672">
      <w:bodyDiv w:val="1"/>
      <w:marLeft w:val="0"/>
      <w:marRight w:val="0"/>
      <w:marTop w:val="0"/>
      <w:marBottom w:val="0"/>
      <w:divBdr>
        <w:top w:val="none" w:sz="0" w:space="0" w:color="auto"/>
        <w:left w:val="none" w:sz="0" w:space="0" w:color="auto"/>
        <w:bottom w:val="none" w:sz="0" w:space="0" w:color="auto"/>
        <w:right w:val="none" w:sz="0" w:space="0" w:color="auto"/>
      </w:divBdr>
    </w:div>
    <w:div w:id="87241680">
      <w:bodyDiv w:val="1"/>
      <w:marLeft w:val="0"/>
      <w:marRight w:val="0"/>
      <w:marTop w:val="0"/>
      <w:marBottom w:val="0"/>
      <w:divBdr>
        <w:top w:val="none" w:sz="0" w:space="0" w:color="auto"/>
        <w:left w:val="none" w:sz="0" w:space="0" w:color="auto"/>
        <w:bottom w:val="none" w:sz="0" w:space="0" w:color="auto"/>
        <w:right w:val="none" w:sz="0" w:space="0" w:color="auto"/>
      </w:divBdr>
    </w:div>
    <w:div w:id="94058515">
      <w:bodyDiv w:val="1"/>
      <w:marLeft w:val="0"/>
      <w:marRight w:val="0"/>
      <w:marTop w:val="0"/>
      <w:marBottom w:val="0"/>
      <w:divBdr>
        <w:top w:val="none" w:sz="0" w:space="0" w:color="auto"/>
        <w:left w:val="none" w:sz="0" w:space="0" w:color="auto"/>
        <w:bottom w:val="none" w:sz="0" w:space="0" w:color="auto"/>
        <w:right w:val="none" w:sz="0" w:space="0" w:color="auto"/>
      </w:divBdr>
    </w:div>
    <w:div w:id="112333757">
      <w:bodyDiv w:val="1"/>
      <w:marLeft w:val="0"/>
      <w:marRight w:val="0"/>
      <w:marTop w:val="0"/>
      <w:marBottom w:val="0"/>
      <w:divBdr>
        <w:top w:val="none" w:sz="0" w:space="0" w:color="auto"/>
        <w:left w:val="none" w:sz="0" w:space="0" w:color="auto"/>
        <w:bottom w:val="none" w:sz="0" w:space="0" w:color="auto"/>
        <w:right w:val="none" w:sz="0" w:space="0" w:color="auto"/>
      </w:divBdr>
    </w:div>
    <w:div w:id="130291643">
      <w:bodyDiv w:val="1"/>
      <w:marLeft w:val="0"/>
      <w:marRight w:val="0"/>
      <w:marTop w:val="0"/>
      <w:marBottom w:val="0"/>
      <w:divBdr>
        <w:top w:val="none" w:sz="0" w:space="0" w:color="auto"/>
        <w:left w:val="none" w:sz="0" w:space="0" w:color="auto"/>
        <w:bottom w:val="none" w:sz="0" w:space="0" w:color="auto"/>
        <w:right w:val="none" w:sz="0" w:space="0" w:color="auto"/>
      </w:divBdr>
    </w:div>
    <w:div w:id="141122365">
      <w:bodyDiv w:val="1"/>
      <w:marLeft w:val="0"/>
      <w:marRight w:val="0"/>
      <w:marTop w:val="0"/>
      <w:marBottom w:val="0"/>
      <w:divBdr>
        <w:top w:val="none" w:sz="0" w:space="0" w:color="auto"/>
        <w:left w:val="none" w:sz="0" w:space="0" w:color="auto"/>
        <w:bottom w:val="none" w:sz="0" w:space="0" w:color="auto"/>
        <w:right w:val="none" w:sz="0" w:space="0" w:color="auto"/>
      </w:divBdr>
    </w:div>
    <w:div w:id="191841731">
      <w:bodyDiv w:val="1"/>
      <w:marLeft w:val="0"/>
      <w:marRight w:val="0"/>
      <w:marTop w:val="0"/>
      <w:marBottom w:val="0"/>
      <w:divBdr>
        <w:top w:val="none" w:sz="0" w:space="0" w:color="auto"/>
        <w:left w:val="none" w:sz="0" w:space="0" w:color="auto"/>
        <w:bottom w:val="none" w:sz="0" w:space="0" w:color="auto"/>
        <w:right w:val="none" w:sz="0" w:space="0" w:color="auto"/>
      </w:divBdr>
    </w:div>
    <w:div w:id="197856372">
      <w:bodyDiv w:val="1"/>
      <w:marLeft w:val="0"/>
      <w:marRight w:val="0"/>
      <w:marTop w:val="0"/>
      <w:marBottom w:val="0"/>
      <w:divBdr>
        <w:top w:val="none" w:sz="0" w:space="0" w:color="auto"/>
        <w:left w:val="none" w:sz="0" w:space="0" w:color="auto"/>
        <w:bottom w:val="none" w:sz="0" w:space="0" w:color="auto"/>
        <w:right w:val="none" w:sz="0" w:space="0" w:color="auto"/>
      </w:divBdr>
    </w:div>
    <w:div w:id="208805168">
      <w:bodyDiv w:val="1"/>
      <w:marLeft w:val="0"/>
      <w:marRight w:val="0"/>
      <w:marTop w:val="0"/>
      <w:marBottom w:val="0"/>
      <w:divBdr>
        <w:top w:val="none" w:sz="0" w:space="0" w:color="auto"/>
        <w:left w:val="none" w:sz="0" w:space="0" w:color="auto"/>
        <w:bottom w:val="none" w:sz="0" w:space="0" w:color="auto"/>
        <w:right w:val="none" w:sz="0" w:space="0" w:color="auto"/>
      </w:divBdr>
    </w:div>
    <w:div w:id="209810062">
      <w:bodyDiv w:val="1"/>
      <w:marLeft w:val="0"/>
      <w:marRight w:val="0"/>
      <w:marTop w:val="0"/>
      <w:marBottom w:val="0"/>
      <w:divBdr>
        <w:top w:val="none" w:sz="0" w:space="0" w:color="auto"/>
        <w:left w:val="none" w:sz="0" w:space="0" w:color="auto"/>
        <w:bottom w:val="none" w:sz="0" w:space="0" w:color="auto"/>
        <w:right w:val="none" w:sz="0" w:space="0" w:color="auto"/>
      </w:divBdr>
    </w:div>
    <w:div w:id="222377537">
      <w:bodyDiv w:val="1"/>
      <w:marLeft w:val="0"/>
      <w:marRight w:val="0"/>
      <w:marTop w:val="0"/>
      <w:marBottom w:val="0"/>
      <w:divBdr>
        <w:top w:val="none" w:sz="0" w:space="0" w:color="auto"/>
        <w:left w:val="none" w:sz="0" w:space="0" w:color="auto"/>
        <w:bottom w:val="none" w:sz="0" w:space="0" w:color="auto"/>
        <w:right w:val="none" w:sz="0" w:space="0" w:color="auto"/>
      </w:divBdr>
    </w:div>
    <w:div w:id="245192907">
      <w:bodyDiv w:val="1"/>
      <w:marLeft w:val="0"/>
      <w:marRight w:val="0"/>
      <w:marTop w:val="0"/>
      <w:marBottom w:val="0"/>
      <w:divBdr>
        <w:top w:val="none" w:sz="0" w:space="0" w:color="auto"/>
        <w:left w:val="none" w:sz="0" w:space="0" w:color="auto"/>
        <w:bottom w:val="none" w:sz="0" w:space="0" w:color="auto"/>
        <w:right w:val="none" w:sz="0" w:space="0" w:color="auto"/>
      </w:divBdr>
    </w:div>
    <w:div w:id="255941331">
      <w:bodyDiv w:val="1"/>
      <w:marLeft w:val="0"/>
      <w:marRight w:val="0"/>
      <w:marTop w:val="0"/>
      <w:marBottom w:val="0"/>
      <w:divBdr>
        <w:top w:val="none" w:sz="0" w:space="0" w:color="auto"/>
        <w:left w:val="none" w:sz="0" w:space="0" w:color="auto"/>
        <w:bottom w:val="none" w:sz="0" w:space="0" w:color="auto"/>
        <w:right w:val="none" w:sz="0" w:space="0" w:color="auto"/>
      </w:divBdr>
    </w:div>
    <w:div w:id="276721928">
      <w:bodyDiv w:val="1"/>
      <w:marLeft w:val="0"/>
      <w:marRight w:val="0"/>
      <w:marTop w:val="0"/>
      <w:marBottom w:val="0"/>
      <w:divBdr>
        <w:top w:val="none" w:sz="0" w:space="0" w:color="auto"/>
        <w:left w:val="none" w:sz="0" w:space="0" w:color="auto"/>
        <w:bottom w:val="none" w:sz="0" w:space="0" w:color="auto"/>
        <w:right w:val="none" w:sz="0" w:space="0" w:color="auto"/>
      </w:divBdr>
    </w:div>
    <w:div w:id="283192658">
      <w:bodyDiv w:val="1"/>
      <w:marLeft w:val="0"/>
      <w:marRight w:val="0"/>
      <w:marTop w:val="0"/>
      <w:marBottom w:val="0"/>
      <w:divBdr>
        <w:top w:val="none" w:sz="0" w:space="0" w:color="auto"/>
        <w:left w:val="none" w:sz="0" w:space="0" w:color="auto"/>
        <w:bottom w:val="none" w:sz="0" w:space="0" w:color="auto"/>
        <w:right w:val="none" w:sz="0" w:space="0" w:color="auto"/>
      </w:divBdr>
    </w:div>
    <w:div w:id="298342628">
      <w:bodyDiv w:val="1"/>
      <w:marLeft w:val="0"/>
      <w:marRight w:val="0"/>
      <w:marTop w:val="0"/>
      <w:marBottom w:val="0"/>
      <w:divBdr>
        <w:top w:val="none" w:sz="0" w:space="0" w:color="auto"/>
        <w:left w:val="none" w:sz="0" w:space="0" w:color="auto"/>
        <w:bottom w:val="none" w:sz="0" w:space="0" w:color="auto"/>
        <w:right w:val="none" w:sz="0" w:space="0" w:color="auto"/>
      </w:divBdr>
    </w:div>
    <w:div w:id="316961100">
      <w:bodyDiv w:val="1"/>
      <w:marLeft w:val="0"/>
      <w:marRight w:val="0"/>
      <w:marTop w:val="0"/>
      <w:marBottom w:val="0"/>
      <w:divBdr>
        <w:top w:val="none" w:sz="0" w:space="0" w:color="auto"/>
        <w:left w:val="none" w:sz="0" w:space="0" w:color="auto"/>
        <w:bottom w:val="none" w:sz="0" w:space="0" w:color="auto"/>
        <w:right w:val="none" w:sz="0" w:space="0" w:color="auto"/>
      </w:divBdr>
    </w:div>
    <w:div w:id="349572469">
      <w:bodyDiv w:val="1"/>
      <w:marLeft w:val="0"/>
      <w:marRight w:val="0"/>
      <w:marTop w:val="0"/>
      <w:marBottom w:val="0"/>
      <w:divBdr>
        <w:top w:val="none" w:sz="0" w:space="0" w:color="auto"/>
        <w:left w:val="none" w:sz="0" w:space="0" w:color="auto"/>
        <w:bottom w:val="none" w:sz="0" w:space="0" w:color="auto"/>
        <w:right w:val="none" w:sz="0" w:space="0" w:color="auto"/>
      </w:divBdr>
    </w:div>
    <w:div w:id="355352317">
      <w:bodyDiv w:val="1"/>
      <w:marLeft w:val="0"/>
      <w:marRight w:val="0"/>
      <w:marTop w:val="0"/>
      <w:marBottom w:val="0"/>
      <w:divBdr>
        <w:top w:val="none" w:sz="0" w:space="0" w:color="auto"/>
        <w:left w:val="none" w:sz="0" w:space="0" w:color="auto"/>
        <w:bottom w:val="none" w:sz="0" w:space="0" w:color="auto"/>
        <w:right w:val="none" w:sz="0" w:space="0" w:color="auto"/>
      </w:divBdr>
    </w:div>
    <w:div w:id="382605053">
      <w:bodyDiv w:val="1"/>
      <w:marLeft w:val="0"/>
      <w:marRight w:val="0"/>
      <w:marTop w:val="0"/>
      <w:marBottom w:val="0"/>
      <w:divBdr>
        <w:top w:val="none" w:sz="0" w:space="0" w:color="auto"/>
        <w:left w:val="none" w:sz="0" w:space="0" w:color="auto"/>
        <w:bottom w:val="none" w:sz="0" w:space="0" w:color="auto"/>
        <w:right w:val="none" w:sz="0" w:space="0" w:color="auto"/>
      </w:divBdr>
    </w:div>
    <w:div w:id="411004866">
      <w:bodyDiv w:val="1"/>
      <w:marLeft w:val="0"/>
      <w:marRight w:val="0"/>
      <w:marTop w:val="0"/>
      <w:marBottom w:val="0"/>
      <w:divBdr>
        <w:top w:val="none" w:sz="0" w:space="0" w:color="auto"/>
        <w:left w:val="none" w:sz="0" w:space="0" w:color="auto"/>
        <w:bottom w:val="none" w:sz="0" w:space="0" w:color="auto"/>
        <w:right w:val="none" w:sz="0" w:space="0" w:color="auto"/>
      </w:divBdr>
    </w:div>
    <w:div w:id="421531891">
      <w:bodyDiv w:val="1"/>
      <w:marLeft w:val="0"/>
      <w:marRight w:val="0"/>
      <w:marTop w:val="0"/>
      <w:marBottom w:val="0"/>
      <w:divBdr>
        <w:top w:val="none" w:sz="0" w:space="0" w:color="auto"/>
        <w:left w:val="none" w:sz="0" w:space="0" w:color="auto"/>
        <w:bottom w:val="none" w:sz="0" w:space="0" w:color="auto"/>
        <w:right w:val="none" w:sz="0" w:space="0" w:color="auto"/>
      </w:divBdr>
      <w:divsChild>
        <w:div w:id="2044674531">
          <w:marLeft w:val="0"/>
          <w:marRight w:val="0"/>
          <w:marTop w:val="600"/>
          <w:marBottom w:val="600"/>
          <w:divBdr>
            <w:top w:val="none" w:sz="0" w:space="0" w:color="auto"/>
            <w:left w:val="none" w:sz="0" w:space="0" w:color="auto"/>
            <w:bottom w:val="none" w:sz="0" w:space="0" w:color="auto"/>
            <w:right w:val="none" w:sz="0" w:space="0" w:color="auto"/>
          </w:divBdr>
        </w:div>
        <w:div w:id="1195655493">
          <w:marLeft w:val="0"/>
          <w:marRight w:val="0"/>
          <w:marTop w:val="600"/>
          <w:marBottom w:val="600"/>
          <w:divBdr>
            <w:top w:val="none" w:sz="0" w:space="0" w:color="auto"/>
            <w:left w:val="none" w:sz="0" w:space="0" w:color="auto"/>
            <w:bottom w:val="none" w:sz="0" w:space="0" w:color="auto"/>
            <w:right w:val="none" w:sz="0" w:space="0" w:color="auto"/>
          </w:divBdr>
        </w:div>
      </w:divsChild>
    </w:div>
    <w:div w:id="435445757">
      <w:bodyDiv w:val="1"/>
      <w:marLeft w:val="0"/>
      <w:marRight w:val="0"/>
      <w:marTop w:val="0"/>
      <w:marBottom w:val="0"/>
      <w:divBdr>
        <w:top w:val="none" w:sz="0" w:space="0" w:color="auto"/>
        <w:left w:val="none" w:sz="0" w:space="0" w:color="auto"/>
        <w:bottom w:val="none" w:sz="0" w:space="0" w:color="auto"/>
        <w:right w:val="none" w:sz="0" w:space="0" w:color="auto"/>
      </w:divBdr>
    </w:div>
    <w:div w:id="445740230">
      <w:bodyDiv w:val="1"/>
      <w:marLeft w:val="0"/>
      <w:marRight w:val="0"/>
      <w:marTop w:val="0"/>
      <w:marBottom w:val="0"/>
      <w:divBdr>
        <w:top w:val="none" w:sz="0" w:space="0" w:color="auto"/>
        <w:left w:val="none" w:sz="0" w:space="0" w:color="auto"/>
        <w:bottom w:val="none" w:sz="0" w:space="0" w:color="auto"/>
        <w:right w:val="none" w:sz="0" w:space="0" w:color="auto"/>
      </w:divBdr>
    </w:div>
    <w:div w:id="449935630">
      <w:bodyDiv w:val="1"/>
      <w:marLeft w:val="0"/>
      <w:marRight w:val="0"/>
      <w:marTop w:val="0"/>
      <w:marBottom w:val="0"/>
      <w:divBdr>
        <w:top w:val="none" w:sz="0" w:space="0" w:color="auto"/>
        <w:left w:val="none" w:sz="0" w:space="0" w:color="auto"/>
        <w:bottom w:val="none" w:sz="0" w:space="0" w:color="auto"/>
        <w:right w:val="none" w:sz="0" w:space="0" w:color="auto"/>
      </w:divBdr>
    </w:div>
    <w:div w:id="452407247">
      <w:bodyDiv w:val="1"/>
      <w:marLeft w:val="0"/>
      <w:marRight w:val="0"/>
      <w:marTop w:val="0"/>
      <w:marBottom w:val="0"/>
      <w:divBdr>
        <w:top w:val="none" w:sz="0" w:space="0" w:color="auto"/>
        <w:left w:val="none" w:sz="0" w:space="0" w:color="auto"/>
        <w:bottom w:val="none" w:sz="0" w:space="0" w:color="auto"/>
        <w:right w:val="none" w:sz="0" w:space="0" w:color="auto"/>
      </w:divBdr>
      <w:divsChild>
        <w:div w:id="2130973034">
          <w:marLeft w:val="0"/>
          <w:marRight w:val="0"/>
          <w:marTop w:val="0"/>
          <w:marBottom w:val="0"/>
          <w:divBdr>
            <w:top w:val="none" w:sz="0" w:space="0" w:color="auto"/>
            <w:left w:val="none" w:sz="0" w:space="0" w:color="auto"/>
            <w:bottom w:val="none" w:sz="0" w:space="0" w:color="auto"/>
            <w:right w:val="none" w:sz="0" w:space="0" w:color="auto"/>
          </w:divBdr>
          <w:divsChild>
            <w:div w:id="1886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7688">
      <w:bodyDiv w:val="1"/>
      <w:marLeft w:val="0"/>
      <w:marRight w:val="0"/>
      <w:marTop w:val="0"/>
      <w:marBottom w:val="0"/>
      <w:divBdr>
        <w:top w:val="none" w:sz="0" w:space="0" w:color="auto"/>
        <w:left w:val="none" w:sz="0" w:space="0" w:color="auto"/>
        <w:bottom w:val="none" w:sz="0" w:space="0" w:color="auto"/>
        <w:right w:val="none" w:sz="0" w:space="0" w:color="auto"/>
      </w:divBdr>
    </w:div>
    <w:div w:id="473957484">
      <w:bodyDiv w:val="1"/>
      <w:marLeft w:val="0"/>
      <w:marRight w:val="0"/>
      <w:marTop w:val="0"/>
      <w:marBottom w:val="0"/>
      <w:divBdr>
        <w:top w:val="none" w:sz="0" w:space="0" w:color="auto"/>
        <w:left w:val="none" w:sz="0" w:space="0" w:color="auto"/>
        <w:bottom w:val="none" w:sz="0" w:space="0" w:color="auto"/>
        <w:right w:val="none" w:sz="0" w:space="0" w:color="auto"/>
      </w:divBdr>
    </w:div>
    <w:div w:id="524830614">
      <w:bodyDiv w:val="1"/>
      <w:marLeft w:val="0"/>
      <w:marRight w:val="0"/>
      <w:marTop w:val="0"/>
      <w:marBottom w:val="0"/>
      <w:divBdr>
        <w:top w:val="none" w:sz="0" w:space="0" w:color="auto"/>
        <w:left w:val="none" w:sz="0" w:space="0" w:color="auto"/>
        <w:bottom w:val="none" w:sz="0" w:space="0" w:color="auto"/>
        <w:right w:val="none" w:sz="0" w:space="0" w:color="auto"/>
      </w:divBdr>
      <w:divsChild>
        <w:div w:id="16934643">
          <w:marLeft w:val="0"/>
          <w:marRight w:val="0"/>
          <w:marTop w:val="0"/>
          <w:marBottom w:val="0"/>
          <w:divBdr>
            <w:top w:val="none" w:sz="0" w:space="0" w:color="auto"/>
            <w:left w:val="none" w:sz="0" w:space="0" w:color="auto"/>
            <w:bottom w:val="none" w:sz="0" w:space="0" w:color="auto"/>
            <w:right w:val="none" w:sz="0" w:space="0" w:color="auto"/>
          </w:divBdr>
          <w:divsChild>
            <w:div w:id="1326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5088">
      <w:bodyDiv w:val="1"/>
      <w:marLeft w:val="0"/>
      <w:marRight w:val="0"/>
      <w:marTop w:val="0"/>
      <w:marBottom w:val="0"/>
      <w:divBdr>
        <w:top w:val="none" w:sz="0" w:space="0" w:color="auto"/>
        <w:left w:val="none" w:sz="0" w:space="0" w:color="auto"/>
        <w:bottom w:val="none" w:sz="0" w:space="0" w:color="auto"/>
        <w:right w:val="none" w:sz="0" w:space="0" w:color="auto"/>
      </w:divBdr>
    </w:div>
    <w:div w:id="544177385">
      <w:bodyDiv w:val="1"/>
      <w:marLeft w:val="0"/>
      <w:marRight w:val="0"/>
      <w:marTop w:val="0"/>
      <w:marBottom w:val="0"/>
      <w:divBdr>
        <w:top w:val="none" w:sz="0" w:space="0" w:color="auto"/>
        <w:left w:val="none" w:sz="0" w:space="0" w:color="auto"/>
        <w:bottom w:val="none" w:sz="0" w:space="0" w:color="auto"/>
        <w:right w:val="none" w:sz="0" w:space="0" w:color="auto"/>
      </w:divBdr>
    </w:div>
    <w:div w:id="547689903">
      <w:bodyDiv w:val="1"/>
      <w:marLeft w:val="0"/>
      <w:marRight w:val="0"/>
      <w:marTop w:val="0"/>
      <w:marBottom w:val="0"/>
      <w:divBdr>
        <w:top w:val="none" w:sz="0" w:space="0" w:color="auto"/>
        <w:left w:val="none" w:sz="0" w:space="0" w:color="auto"/>
        <w:bottom w:val="none" w:sz="0" w:space="0" w:color="auto"/>
        <w:right w:val="none" w:sz="0" w:space="0" w:color="auto"/>
      </w:divBdr>
    </w:div>
    <w:div w:id="556404608">
      <w:bodyDiv w:val="1"/>
      <w:marLeft w:val="0"/>
      <w:marRight w:val="0"/>
      <w:marTop w:val="0"/>
      <w:marBottom w:val="0"/>
      <w:divBdr>
        <w:top w:val="none" w:sz="0" w:space="0" w:color="auto"/>
        <w:left w:val="none" w:sz="0" w:space="0" w:color="auto"/>
        <w:bottom w:val="none" w:sz="0" w:space="0" w:color="auto"/>
        <w:right w:val="none" w:sz="0" w:space="0" w:color="auto"/>
      </w:divBdr>
    </w:div>
    <w:div w:id="590310261">
      <w:bodyDiv w:val="1"/>
      <w:marLeft w:val="0"/>
      <w:marRight w:val="0"/>
      <w:marTop w:val="0"/>
      <w:marBottom w:val="0"/>
      <w:divBdr>
        <w:top w:val="none" w:sz="0" w:space="0" w:color="auto"/>
        <w:left w:val="none" w:sz="0" w:space="0" w:color="auto"/>
        <w:bottom w:val="none" w:sz="0" w:space="0" w:color="auto"/>
        <w:right w:val="none" w:sz="0" w:space="0" w:color="auto"/>
      </w:divBdr>
    </w:div>
    <w:div w:id="594899051">
      <w:bodyDiv w:val="1"/>
      <w:marLeft w:val="0"/>
      <w:marRight w:val="0"/>
      <w:marTop w:val="0"/>
      <w:marBottom w:val="0"/>
      <w:divBdr>
        <w:top w:val="none" w:sz="0" w:space="0" w:color="auto"/>
        <w:left w:val="none" w:sz="0" w:space="0" w:color="auto"/>
        <w:bottom w:val="none" w:sz="0" w:space="0" w:color="auto"/>
        <w:right w:val="none" w:sz="0" w:space="0" w:color="auto"/>
      </w:divBdr>
    </w:div>
    <w:div w:id="598366650">
      <w:bodyDiv w:val="1"/>
      <w:marLeft w:val="0"/>
      <w:marRight w:val="0"/>
      <w:marTop w:val="0"/>
      <w:marBottom w:val="0"/>
      <w:divBdr>
        <w:top w:val="none" w:sz="0" w:space="0" w:color="auto"/>
        <w:left w:val="none" w:sz="0" w:space="0" w:color="auto"/>
        <w:bottom w:val="none" w:sz="0" w:space="0" w:color="auto"/>
        <w:right w:val="none" w:sz="0" w:space="0" w:color="auto"/>
      </w:divBdr>
    </w:div>
    <w:div w:id="625238467">
      <w:bodyDiv w:val="1"/>
      <w:marLeft w:val="0"/>
      <w:marRight w:val="0"/>
      <w:marTop w:val="0"/>
      <w:marBottom w:val="0"/>
      <w:divBdr>
        <w:top w:val="none" w:sz="0" w:space="0" w:color="auto"/>
        <w:left w:val="none" w:sz="0" w:space="0" w:color="auto"/>
        <w:bottom w:val="none" w:sz="0" w:space="0" w:color="auto"/>
        <w:right w:val="none" w:sz="0" w:space="0" w:color="auto"/>
      </w:divBdr>
    </w:div>
    <w:div w:id="654258188">
      <w:bodyDiv w:val="1"/>
      <w:marLeft w:val="0"/>
      <w:marRight w:val="0"/>
      <w:marTop w:val="0"/>
      <w:marBottom w:val="0"/>
      <w:divBdr>
        <w:top w:val="none" w:sz="0" w:space="0" w:color="auto"/>
        <w:left w:val="none" w:sz="0" w:space="0" w:color="auto"/>
        <w:bottom w:val="none" w:sz="0" w:space="0" w:color="auto"/>
        <w:right w:val="none" w:sz="0" w:space="0" w:color="auto"/>
      </w:divBdr>
    </w:div>
    <w:div w:id="668023629">
      <w:bodyDiv w:val="1"/>
      <w:marLeft w:val="0"/>
      <w:marRight w:val="0"/>
      <w:marTop w:val="0"/>
      <w:marBottom w:val="0"/>
      <w:divBdr>
        <w:top w:val="none" w:sz="0" w:space="0" w:color="auto"/>
        <w:left w:val="none" w:sz="0" w:space="0" w:color="auto"/>
        <w:bottom w:val="none" w:sz="0" w:space="0" w:color="auto"/>
        <w:right w:val="none" w:sz="0" w:space="0" w:color="auto"/>
      </w:divBdr>
    </w:div>
    <w:div w:id="685601593">
      <w:bodyDiv w:val="1"/>
      <w:marLeft w:val="0"/>
      <w:marRight w:val="0"/>
      <w:marTop w:val="0"/>
      <w:marBottom w:val="0"/>
      <w:divBdr>
        <w:top w:val="none" w:sz="0" w:space="0" w:color="auto"/>
        <w:left w:val="none" w:sz="0" w:space="0" w:color="auto"/>
        <w:bottom w:val="none" w:sz="0" w:space="0" w:color="auto"/>
        <w:right w:val="none" w:sz="0" w:space="0" w:color="auto"/>
      </w:divBdr>
    </w:div>
    <w:div w:id="729114253">
      <w:bodyDiv w:val="1"/>
      <w:marLeft w:val="0"/>
      <w:marRight w:val="0"/>
      <w:marTop w:val="0"/>
      <w:marBottom w:val="0"/>
      <w:divBdr>
        <w:top w:val="none" w:sz="0" w:space="0" w:color="auto"/>
        <w:left w:val="none" w:sz="0" w:space="0" w:color="auto"/>
        <w:bottom w:val="none" w:sz="0" w:space="0" w:color="auto"/>
        <w:right w:val="none" w:sz="0" w:space="0" w:color="auto"/>
      </w:divBdr>
    </w:div>
    <w:div w:id="743383093">
      <w:bodyDiv w:val="1"/>
      <w:marLeft w:val="0"/>
      <w:marRight w:val="0"/>
      <w:marTop w:val="0"/>
      <w:marBottom w:val="0"/>
      <w:divBdr>
        <w:top w:val="none" w:sz="0" w:space="0" w:color="auto"/>
        <w:left w:val="none" w:sz="0" w:space="0" w:color="auto"/>
        <w:bottom w:val="none" w:sz="0" w:space="0" w:color="auto"/>
        <w:right w:val="none" w:sz="0" w:space="0" w:color="auto"/>
      </w:divBdr>
    </w:div>
    <w:div w:id="750812513">
      <w:bodyDiv w:val="1"/>
      <w:marLeft w:val="0"/>
      <w:marRight w:val="0"/>
      <w:marTop w:val="0"/>
      <w:marBottom w:val="0"/>
      <w:divBdr>
        <w:top w:val="none" w:sz="0" w:space="0" w:color="auto"/>
        <w:left w:val="none" w:sz="0" w:space="0" w:color="auto"/>
        <w:bottom w:val="none" w:sz="0" w:space="0" w:color="auto"/>
        <w:right w:val="none" w:sz="0" w:space="0" w:color="auto"/>
      </w:divBdr>
    </w:div>
    <w:div w:id="751001332">
      <w:bodyDiv w:val="1"/>
      <w:marLeft w:val="0"/>
      <w:marRight w:val="0"/>
      <w:marTop w:val="0"/>
      <w:marBottom w:val="0"/>
      <w:divBdr>
        <w:top w:val="none" w:sz="0" w:space="0" w:color="auto"/>
        <w:left w:val="none" w:sz="0" w:space="0" w:color="auto"/>
        <w:bottom w:val="none" w:sz="0" w:space="0" w:color="auto"/>
        <w:right w:val="none" w:sz="0" w:space="0" w:color="auto"/>
      </w:divBdr>
    </w:div>
    <w:div w:id="753163640">
      <w:bodyDiv w:val="1"/>
      <w:marLeft w:val="0"/>
      <w:marRight w:val="0"/>
      <w:marTop w:val="0"/>
      <w:marBottom w:val="0"/>
      <w:divBdr>
        <w:top w:val="none" w:sz="0" w:space="0" w:color="auto"/>
        <w:left w:val="none" w:sz="0" w:space="0" w:color="auto"/>
        <w:bottom w:val="none" w:sz="0" w:space="0" w:color="auto"/>
        <w:right w:val="none" w:sz="0" w:space="0" w:color="auto"/>
      </w:divBdr>
    </w:div>
    <w:div w:id="783040046">
      <w:bodyDiv w:val="1"/>
      <w:marLeft w:val="0"/>
      <w:marRight w:val="0"/>
      <w:marTop w:val="0"/>
      <w:marBottom w:val="0"/>
      <w:divBdr>
        <w:top w:val="none" w:sz="0" w:space="0" w:color="auto"/>
        <w:left w:val="none" w:sz="0" w:space="0" w:color="auto"/>
        <w:bottom w:val="none" w:sz="0" w:space="0" w:color="auto"/>
        <w:right w:val="none" w:sz="0" w:space="0" w:color="auto"/>
      </w:divBdr>
    </w:div>
    <w:div w:id="799539534">
      <w:bodyDiv w:val="1"/>
      <w:marLeft w:val="0"/>
      <w:marRight w:val="0"/>
      <w:marTop w:val="0"/>
      <w:marBottom w:val="0"/>
      <w:divBdr>
        <w:top w:val="none" w:sz="0" w:space="0" w:color="auto"/>
        <w:left w:val="none" w:sz="0" w:space="0" w:color="auto"/>
        <w:bottom w:val="none" w:sz="0" w:space="0" w:color="auto"/>
        <w:right w:val="none" w:sz="0" w:space="0" w:color="auto"/>
      </w:divBdr>
    </w:div>
    <w:div w:id="808202968">
      <w:bodyDiv w:val="1"/>
      <w:marLeft w:val="0"/>
      <w:marRight w:val="0"/>
      <w:marTop w:val="0"/>
      <w:marBottom w:val="0"/>
      <w:divBdr>
        <w:top w:val="none" w:sz="0" w:space="0" w:color="auto"/>
        <w:left w:val="none" w:sz="0" w:space="0" w:color="auto"/>
        <w:bottom w:val="none" w:sz="0" w:space="0" w:color="auto"/>
        <w:right w:val="none" w:sz="0" w:space="0" w:color="auto"/>
      </w:divBdr>
    </w:div>
    <w:div w:id="844902024">
      <w:bodyDiv w:val="1"/>
      <w:marLeft w:val="0"/>
      <w:marRight w:val="0"/>
      <w:marTop w:val="0"/>
      <w:marBottom w:val="0"/>
      <w:divBdr>
        <w:top w:val="none" w:sz="0" w:space="0" w:color="auto"/>
        <w:left w:val="none" w:sz="0" w:space="0" w:color="auto"/>
        <w:bottom w:val="none" w:sz="0" w:space="0" w:color="auto"/>
        <w:right w:val="none" w:sz="0" w:space="0" w:color="auto"/>
      </w:divBdr>
    </w:div>
    <w:div w:id="849829723">
      <w:bodyDiv w:val="1"/>
      <w:marLeft w:val="0"/>
      <w:marRight w:val="0"/>
      <w:marTop w:val="0"/>
      <w:marBottom w:val="0"/>
      <w:divBdr>
        <w:top w:val="none" w:sz="0" w:space="0" w:color="auto"/>
        <w:left w:val="none" w:sz="0" w:space="0" w:color="auto"/>
        <w:bottom w:val="none" w:sz="0" w:space="0" w:color="auto"/>
        <w:right w:val="none" w:sz="0" w:space="0" w:color="auto"/>
      </w:divBdr>
    </w:div>
    <w:div w:id="908072959">
      <w:bodyDiv w:val="1"/>
      <w:marLeft w:val="0"/>
      <w:marRight w:val="0"/>
      <w:marTop w:val="0"/>
      <w:marBottom w:val="0"/>
      <w:divBdr>
        <w:top w:val="none" w:sz="0" w:space="0" w:color="auto"/>
        <w:left w:val="none" w:sz="0" w:space="0" w:color="auto"/>
        <w:bottom w:val="none" w:sz="0" w:space="0" w:color="auto"/>
        <w:right w:val="none" w:sz="0" w:space="0" w:color="auto"/>
      </w:divBdr>
    </w:div>
    <w:div w:id="926381862">
      <w:bodyDiv w:val="1"/>
      <w:marLeft w:val="0"/>
      <w:marRight w:val="0"/>
      <w:marTop w:val="0"/>
      <w:marBottom w:val="0"/>
      <w:divBdr>
        <w:top w:val="none" w:sz="0" w:space="0" w:color="auto"/>
        <w:left w:val="none" w:sz="0" w:space="0" w:color="auto"/>
        <w:bottom w:val="none" w:sz="0" w:space="0" w:color="auto"/>
        <w:right w:val="none" w:sz="0" w:space="0" w:color="auto"/>
      </w:divBdr>
    </w:div>
    <w:div w:id="969362622">
      <w:bodyDiv w:val="1"/>
      <w:marLeft w:val="0"/>
      <w:marRight w:val="0"/>
      <w:marTop w:val="0"/>
      <w:marBottom w:val="0"/>
      <w:divBdr>
        <w:top w:val="none" w:sz="0" w:space="0" w:color="auto"/>
        <w:left w:val="none" w:sz="0" w:space="0" w:color="auto"/>
        <w:bottom w:val="none" w:sz="0" w:space="0" w:color="auto"/>
        <w:right w:val="none" w:sz="0" w:space="0" w:color="auto"/>
      </w:divBdr>
    </w:div>
    <w:div w:id="978462182">
      <w:bodyDiv w:val="1"/>
      <w:marLeft w:val="0"/>
      <w:marRight w:val="0"/>
      <w:marTop w:val="0"/>
      <w:marBottom w:val="0"/>
      <w:divBdr>
        <w:top w:val="none" w:sz="0" w:space="0" w:color="auto"/>
        <w:left w:val="none" w:sz="0" w:space="0" w:color="auto"/>
        <w:bottom w:val="none" w:sz="0" w:space="0" w:color="auto"/>
        <w:right w:val="none" w:sz="0" w:space="0" w:color="auto"/>
      </w:divBdr>
    </w:div>
    <w:div w:id="999691941">
      <w:bodyDiv w:val="1"/>
      <w:marLeft w:val="0"/>
      <w:marRight w:val="0"/>
      <w:marTop w:val="0"/>
      <w:marBottom w:val="0"/>
      <w:divBdr>
        <w:top w:val="none" w:sz="0" w:space="0" w:color="auto"/>
        <w:left w:val="none" w:sz="0" w:space="0" w:color="auto"/>
        <w:bottom w:val="none" w:sz="0" w:space="0" w:color="auto"/>
        <w:right w:val="none" w:sz="0" w:space="0" w:color="auto"/>
      </w:divBdr>
    </w:div>
    <w:div w:id="1020349865">
      <w:bodyDiv w:val="1"/>
      <w:marLeft w:val="0"/>
      <w:marRight w:val="0"/>
      <w:marTop w:val="0"/>
      <w:marBottom w:val="0"/>
      <w:divBdr>
        <w:top w:val="none" w:sz="0" w:space="0" w:color="auto"/>
        <w:left w:val="none" w:sz="0" w:space="0" w:color="auto"/>
        <w:bottom w:val="none" w:sz="0" w:space="0" w:color="auto"/>
        <w:right w:val="none" w:sz="0" w:space="0" w:color="auto"/>
      </w:divBdr>
    </w:div>
    <w:div w:id="1037857728">
      <w:bodyDiv w:val="1"/>
      <w:marLeft w:val="0"/>
      <w:marRight w:val="0"/>
      <w:marTop w:val="0"/>
      <w:marBottom w:val="0"/>
      <w:divBdr>
        <w:top w:val="none" w:sz="0" w:space="0" w:color="auto"/>
        <w:left w:val="none" w:sz="0" w:space="0" w:color="auto"/>
        <w:bottom w:val="none" w:sz="0" w:space="0" w:color="auto"/>
        <w:right w:val="none" w:sz="0" w:space="0" w:color="auto"/>
      </w:divBdr>
    </w:div>
    <w:div w:id="1050152653">
      <w:bodyDiv w:val="1"/>
      <w:marLeft w:val="0"/>
      <w:marRight w:val="0"/>
      <w:marTop w:val="0"/>
      <w:marBottom w:val="0"/>
      <w:divBdr>
        <w:top w:val="none" w:sz="0" w:space="0" w:color="auto"/>
        <w:left w:val="none" w:sz="0" w:space="0" w:color="auto"/>
        <w:bottom w:val="none" w:sz="0" w:space="0" w:color="auto"/>
        <w:right w:val="none" w:sz="0" w:space="0" w:color="auto"/>
      </w:divBdr>
    </w:div>
    <w:div w:id="1051806679">
      <w:bodyDiv w:val="1"/>
      <w:marLeft w:val="0"/>
      <w:marRight w:val="0"/>
      <w:marTop w:val="0"/>
      <w:marBottom w:val="0"/>
      <w:divBdr>
        <w:top w:val="none" w:sz="0" w:space="0" w:color="auto"/>
        <w:left w:val="none" w:sz="0" w:space="0" w:color="auto"/>
        <w:bottom w:val="none" w:sz="0" w:space="0" w:color="auto"/>
        <w:right w:val="none" w:sz="0" w:space="0" w:color="auto"/>
      </w:divBdr>
    </w:div>
    <w:div w:id="1058360467">
      <w:bodyDiv w:val="1"/>
      <w:marLeft w:val="0"/>
      <w:marRight w:val="0"/>
      <w:marTop w:val="0"/>
      <w:marBottom w:val="0"/>
      <w:divBdr>
        <w:top w:val="none" w:sz="0" w:space="0" w:color="auto"/>
        <w:left w:val="none" w:sz="0" w:space="0" w:color="auto"/>
        <w:bottom w:val="none" w:sz="0" w:space="0" w:color="auto"/>
        <w:right w:val="none" w:sz="0" w:space="0" w:color="auto"/>
      </w:divBdr>
    </w:div>
    <w:div w:id="1063406037">
      <w:bodyDiv w:val="1"/>
      <w:marLeft w:val="0"/>
      <w:marRight w:val="0"/>
      <w:marTop w:val="0"/>
      <w:marBottom w:val="0"/>
      <w:divBdr>
        <w:top w:val="none" w:sz="0" w:space="0" w:color="auto"/>
        <w:left w:val="none" w:sz="0" w:space="0" w:color="auto"/>
        <w:bottom w:val="none" w:sz="0" w:space="0" w:color="auto"/>
        <w:right w:val="none" w:sz="0" w:space="0" w:color="auto"/>
      </w:divBdr>
    </w:div>
    <w:div w:id="1067074190">
      <w:bodyDiv w:val="1"/>
      <w:marLeft w:val="0"/>
      <w:marRight w:val="0"/>
      <w:marTop w:val="0"/>
      <w:marBottom w:val="0"/>
      <w:divBdr>
        <w:top w:val="none" w:sz="0" w:space="0" w:color="auto"/>
        <w:left w:val="none" w:sz="0" w:space="0" w:color="auto"/>
        <w:bottom w:val="none" w:sz="0" w:space="0" w:color="auto"/>
        <w:right w:val="none" w:sz="0" w:space="0" w:color="auto"/>
      </w:divBdr>
    </w:div>
    <w:div w:id="1087731434">
      <w:bodyDiv w:val="1"/>
      <w:marLeft w:val="0"/>
      <w:marRight w:val="0"/>
      <w:marTop w:val="0"/>
      <w:marBottom w:val="0"/>
      <w:divBdr>
        <w:top w:val="none" w:sz="0" w:space="0" w:color="auto"/>
        <w:left w:val="none" w:sz="0" w:space="0" w:color="auto"/>
        <w:bottom w:val="none" w:sz="0" w:space="0" w:color="auto"/>
        <w:right w:val="none" w:sz="0" w:space="0" w:color="auto"/>
      </w:divBdr>
    </w:div>
    <w:div w:id="1088380340">
      <w:bodyDiv w:val="1"/>
      <w:marLeft w:val="0"/>
      <w:marRight w:val="0"/>
      <w:marTop w:val="0"/>
      <w:marBottom w:val="0"/>
      <w:divBdr>
        <w:top w:val="none" w:sz="0" w:space="0" w:color="auto"/>
        <w:left w:val="none" w:sz="0" w:space="0" w:color="auto"/>
        <w:bottom w:val="none" w:sz="0" w:space="0" w:color="auto"/>
        <w:right w:val="none" w:sz="0" w:space="0" w:color="auto"/>
      </w:divBdr>
    </w:div>
    <w:div w:id="1095369337">
      <w:bodyDiv w:val="1"/>
      <w:marLeft w:val="0"/>
      <w:marRight w:val="0"/>
      <w:marTop w:val="0"/>
      <w:marBottom w:val="0"/>
      <w:divBdr>
        <w:top w:val="none" w:sz="0" w:space="0" w:color="auto"/>
        <w:left w:val="none" w:sz="0" w:space="0" w:color="auto"/>
        <w:bottom w:val="none" w:sz="0" w:space="0" w:color="auto"/>
        <w:right w:val="none" w:sz="0" w:space="0" w:color="auto"/>
      </w:divBdr>
      <w:divsChild>
        <w:div w:id="291908663">
          <w:marLeft w:val="0"/>
          <w:marRight w:val="0"/>
          <w:marTop w:val="0"/>
          <w:marBottom w:val="0"/>
          <w:divBdr>
            <w:top w:val="none" w:sz="0" w:space="0" w:color="auto"/>
            <w:left w:val="none" w:sz="0" w:space="0" w:color="auto"/>
            <w:bottom w:val="none" w:sz="0" w:space="0" w:color="auto"/>
            <w:right w:val="none" w:sz="0" w:space="0" w:color="auto"/>
          </w:divBdr>
          <w:divsChild>
            <w:div w:id="12672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69640">
      <w:bodyDiv w:val="1"/>
      <w:marLeft w:val="0"/>
      <w:marRight w:val="0"/>
      <w:marTop w:val="0"/>
      <w:marBottom w:val="0"/>
      <w:divBdr>
        <w:top w:val="none" w:sz="0" w:space="0" w:color="auto"/>
        <w:left w:val="none" w:sz="0" w:space="0" w:color="auto"/>
        <w:bottom w:val="none" w:sz="0" w:space="0" w:color="auto"/>
        <w:right w:val="none" w:sz="0" w:space="0" w:color="auto"/>
      </w:divBdr>
    </w:div>
    <w:div w:id="1111167408">
      <w:bodyDiv w:val="1"/>
      <w:marLeft w:val="0"/>
      <w:marRight w:val="0"/>
      <w:marTop w:val="0"/>
      <w:marBottom w:val="0"/>
      <w:divBdr>
        <w:top w:val="none" w:sz="0" w:space="0" w:color="auto"/>
        <w:left w:val="none" w:sz="0" w:space="0" w:color="auto"/>
        <w:bottom w:val="none" w:sz="0" w:space="0" w:color="auto"/>
        <w:right w:val="none" w:sz="0" w:space="0" w:color="auto"/>
      </w:divBdr>
    </w:div>
    <w:div w:id="1162309675">
      <w:bodyDiv w:val="1"/>
      <w:marLeft w:val="0"/>
      <w:marRight w:val="0"/>
      <w:marTop w:val="0"/>
      <w:marBottom w:val="0"/>
      <w:divBdr>
        <w:top w:val="none" w:sz="0" w:space="0" w:color="auto"/>
        <w:left w:val="none" w:sz="0" w:space="0" w:color="auto"/>
        <w:bottom w:val="none" w:sz="0" w:space="0" w:color="auto"/>
        <w:right w:val="none" w:sz="0" w:space="0" w:color="auto"/>
      </w:divBdr>
    </w:div>
    <w:div w:id="1190021525">
      <w:bodyDiv w:val="1"/>
      <w:marLeft w:val="0"/>
      <w:marRight w:val="0"/>
      <w:marTop w:val="0"/>
      <w:marBottom w:val="0"/>
      <w:divBdr>
        <w:top w:val="none" w:sz="0" w:space="0" w:color="auto"/>
        <w:left w:val="none" w:sz="0" w:space="0" w:color="auto"/>
        <w:bottom w:val="none" w:sz="0" w:space="0" w:color="auto"/>
        <w:right w:val="none" w:sz="0" w:space="0" w:color="auto"/>
      </w:divBdr>
    </w:div>
    <w:div w:id="1191651615">
      <w:bodyDiv w:val="1"/>
      <w:marLeft w:val="0"/>
      <w:marRight w:val="0"/>
      <w:marTop w:val="0"/>
      <w:marBottom w:val="0"/>
      <w:divBdr>
        <w:top w:val="none" w:sz="0" w:space="0" w:color="auto"/>
        <w:left w:val="none" w:sz="0" w:space="0" w:color="auto"/>
        <w:bottom w:val="none" w:sz="0" w:space="0" w:color="auto"/>
        <w:right w:val="none" w:sz="0" w:space="0" w:color="auto"/>
      </w:divBdr>
    </w:div>
    <w:div w:id="1237931321">
      <w:bodyDiv w:val="1"/>
      <w:marLeft w:val="0"/>
      <w:marRight w:val="0"/>
      <w:marTop w:val="0"/>
      <w:marBottom w:val="0"/>
      <w:divBdr>
        <w:top w:val="none" w:sz="0" w:space="0" w:color="auto"/>
        <w:left w:val="none" w:sz="0" w:space="0" w:color="auto"/>
        <w:bottom w:val="none" w:sz="0" w:space="0" w:color="auto"/>
        <w:right w:val="none" w:sz="0" w:space="0" w:color="auto"/>
      </w:divBdr>
    </w:div>
    <w:div w:id="1239243233">
      <w:bodyDiv w:val="1"/>
      <w:marLeft w:val="0"/>
      <w:marRight w:val="0"/>
      <w:marTop w:val="0"/>
      <w:marBottom w:val="0"/>
      <w:divBdr>
        <w:top w:val="none" w:sz="0" w:space="0" w:color="auto"/>
        <w:left w:val="none" w:sz="0" w:space="0" w:color="auto"/>
        <w:bottom w:val="none" w:sz="0" w:space="0" w:color="auto"/>
        <w:right w:val="none" w:sz="0" w:space="0" w:color="auto"/>
      </w:divBdr>
    </w:div>
    <w:div w:id="1291087613">
      <w:bodyDiv w:val="1"/>
      <w:marLeft w:val="0"/>
      <w:marRight w:val="0"/>
      <w:marTop w:val="0"/>
      <w:marBottom w:val="0"/>
      <w:divBdr>
        <w:top w:val="none" w:sz="0" w:space="0" w:color="auto"/>
        <w:left w:val="none" w:sz="0" w:space="0" w:color="auto"/>
        <w:bottom w:val="none" w:sz="0" w:space="0" w:color="auto"/>
        <w:right w:val="none" w:sz="0" w:space="0" w:color="auto"/>
      </w:divBdr>
    </w:div>
    <w:div w:id="1298293457">
      <w:bodyDiv w:val="1"/>
      <w:marLeft w:val="0"/>
      <w:marRight w:val="0"/>
      <w:marTop w:val="0"/>
      <w:marBottom w:val="0"/>
      <w:divBdr>
        <w:top w:val="none" w:sz="0" w:space="0" w:color="auto"/>
        <w:left w:val="none" w:sz="0" w:space="0" w:color="auto"/>
        <w:bottom w:val="none" w:sz="0" w:space="0" w:color="auto"/>
        <w:right w:val="none" w:sz="0" w:space="0" w:color="auto"/>
      </w:divBdr>
    </w:div>
    <w:div w:id="1329092046">
      <w:bodyDiv w:val="1"/>
      <w:marLeft w:val="0"/>
      <w:marRight w:val="0"/>
      <w:marTop w:val="0"/>
      <w:marBottom w:val="0"/>
      <w:divBdr>
        <w:top w:val="none" w:sz="0" w:space="0" w:color="auto"/>
        <w:left w:val="none" w:sz="0" w:space="0" w:color="auto"/>
        <w:bottom w:val="none" w:sz="0" w:space="0" w:color="auto"/>
        <w:right w:val="none" w:sz="0" w:space="0" w:color="auto"/>
      </w:divBdr>
    </w:div>
    <w:div w:id="1358889174">
      <w:bodyDiv w:val="1"/>
      <w:marLeft w:val="0"/>
      <w:marRight w:val="0"/>
      <w:marTop w:val="0"/>
      <w:marBottom w:val="0"/>
      <w:divBdr>
        <w:top w:val="none" w:sz="0" w:space="0" w:color="auto"/>
        <w:left w:val="none" w:sz="0" w:space="0" w:color="auto"/>
        <w:bottom w:val="none" w:sz="0" w:space="0" w:color="auto"/>
        <w:right w:val="none" w:sz="0" w:space="0" w:color="auto"/>
      </w:divBdr>
    </w:div>
    <w:div w:id="1396968597">
      <w:bodyDiv w:val="1"/>
      <w:marLeft w:val="0"/>
      <w:marRight w:val="0"/>
      <w:marTop w:val="0"/>
      <w:marBottom w:val="0"/>
      <w:divBdr>
        <w:top w:val="none" w:sz="0" w:space="0" w:color="auto"/>
        <w:left w:val="none" w:sz="0" w:space="0" w:color="auto"/>
        <w:bottom w:val="none" w:sz="0" w:space="0" w:color="auto"/>
        <w:right w:val="none" w:sz="0" w:space="0" w:color="auto"/>
      </w:divBdr>
    </w:div>
    <w:div w:id="1417629061">
      <w:bodyDiv w:val="1"/>
      <w:marLeft w:val="0"/>
      <w:marRight w:val="0"/>
      <w:marTop w:val="0"/>
      <w:marBottom w:val="0"/>
      <w:divBdr>
        <w:top w:val="none" w:sz="0" w:space="0" w:color="auto"/>
        <w:left w:val="none" w:sz="0" w:space="0" w:color="auto"/>
        <w:bottom w:val="none" w:sz="0" w:space="0" w:color="auto"/>
        <w:right w:val="none" w:sz="0" w:space="0" w:color="auto"/>
      </w:divBdr>
    </w:div>
    <w:div w:id="1423143797">
      <w:bodyDiv w:val="1"/>
      <w:marLeft w:val="0"/>
      <w:marRight w:val="0"/>
      <w:marTop w:val="0"/>
      <w:marBottom w:val="0"/>
      <w:divBdr>
        <w:top w:val="none" w:sz="0" w:space="0" w:color="auto"/>
        <w:left w:val="none" w:sz="0" w:space="0" w:color="auto"/>
        <w:bottom w:val="none" w:sz="0" w:space="0" w:color="auto"/>
        <w:right w:val="none" w:sz="0" w:space="0" w:color="auto"/>
      </w:divBdr>
    </w:div>
    <w:div w:id="1423453660">
      <w:bodyDiv w:val="1"/>
      <w:marLeft w:val="0"/>
      <w:marRight w:val="0"/>
      <w:marTop w:val="0"/>
      <w:marBottom w:val="0"/>
      <w:divBdr>
        <w:top w:val="none" w:sz="0" w:space="0" w:color="auto"/>
        <w:left w:val="none" w:sz="0" w:space="0" w:color="auto"/>
        <w:bottom w:val="none" w:sz="0" w:space="0" w:color="auto"/>
        <w:right w:val="none" w:sz="0" w:space="0" w:color="auto"/>
      </w:divBdr>
    </w:div>
    <w:div w:id="1463766892">
      <w:bodyDiv w:val="1"/>
      <w:marLeft w:val="0"/>
      <w:marRight w:val="0"/>
      <w:marTop w:val="0"/>
      <w:marBottom w:val="0"/>
      <w:divBdr>
        <w:top w:val="none" w:sz="0" w:space="0" w:color="auto"/>
        <w:left w:val="none" w:sz="0" w:space="0" w:color="auto"/>
        <w:bottom w:val="none" w:sz="0" w:space="0" w:color="auto"/>
        <w:right w:val="none" w:sz="0" w:space="0" w:color="auto"/>
      </w:divBdr>
    </w:div>
    <w:div w:id="1505975976">
      <w:bodyDiv w:val="1"/>
      <w:marLeft w:val="0"/>
      <w:marRight w:val="0"/>
      <w:marTop w:val="0"/>
      <w:marBottom w:val="0"/>
      <w:divBdr>
        <w:top w:val="none" w:sz="0" w:space="0" w:color="auto"/>
        <w:left w:val="none" w:sz="0" w:space="0" w:color="auto"/>
        <w:bottom w:val="none" w:sz="0" w:space="0" w:color="auto"/>
        <w:right w:val="none" w:sz="0" w:space="0" w:color="auto"/>
      </w:divBdr>
    </w:div>
    <w:div w:id="1506822165">
      <w:bodyDiv w:val="1"/>
      <w:marLeft w:val="0"/>
      <w:marRight w:val="0"/>
      <w:marTop w:val="0"/>
      <w:marBottom w:val="0"/>
      <w:divBdr>
        <w:top w:val="none" w:sz="0" w:space="0" w:color="auto"/>
        <w:left w:val="none" w:sz="0" w:space="0" w:color="auto"/>
        <w:bottom w:val="none" w:sz="0" w:space="0" w:color="auto"/>
        <w:right w:val="none" w:sz="0" w:space="0" w:color="auto"/>
      </w:divBdr>
    </w:div>
    <w:div w:id="1521161223">
      <w:bodyDiv w:val="1"/>
      <w:marLeft w:val="0"/>
      <w:marRight w:val="0"/>
      <w:marTop w:val="0"/>
      <w:marBottom w:val="0"/>
      <w:divBdr>
        <w:top w:val="none" w:sz="0" w:space="0" w:color="auto"/>
        <w:left w:val="none" w:sz="0" w:space="0" w:color="auto"/>
        <w:bottom w:val="none" w:sz="0" w:space="0" w:color="auto"/>
        <w:right w:val="none" w:sz="0" w:space="0" w:color="auto"/>
      </w:divBdr>
    </w:div>
    <w:div w:id="1554732989">
      <w:bodyDiv w:val="1"/>
      <w:marLeft w:val="0"/>
      <w:marRight w:val="0"/>
      <w:marTop w:val="0"/>
      <w:marBottom w:val="0"/>
      <w:divBdr>
        <w:top w:val="none" w:sz="0" w:space="0" w:color="auto"/>
        <w:left w:val="none" w:sz="0" w:space="0" w:color="auto"/>
        <w:bottom w:val="none" w:sz="0" w:space="0" w:color="auto"/>
        <w:right w:val="none" w:sz="0" w:space="0" w:color="auto"/>
      </w:divBdr>
      <w:divsChild>
        <w:div w:id="1104881697">
          <w:marLeft w:val="0"/>
          <w:marRight w:val="0"/>
          <w:marTop w:val="0"/>
          <w:marBottom w:val="0"/>
          <w:divBdr>
            <w:top w:val="single" w:sz="6" w:space="0" w:color="auto"/>
            <w:left w:val="none" w:sz="0" w:space="0" w:color="auto"/>
            <w:bottom w:val="none" w:sz="0" w:space="0" w:color="auto"/>
            <w:right w:val="none" w:sz="0" w:space="0" w:color="auto"/>
          </w:divBdr>
          <w:divsChild>
            <w:div w:id="679162128">
              <w:marLeft w:val="0"/>
              <w:marRight w:val="0"/>
              <w:marTop w:val="0"/>
              <w:marBottom w:val="0"/>
              <w:divBdr>
                <w:top w:val="none" w:sz="0" w:space="0" w:color="auto"/>
                <w:left w:val="none" w:sz="0" w:space="0" w:color="auto"/>
                <w:bottom w:val="none" w:sz="0" w:space="0" w:color="auto"/>
                <w:right w:val="none" w:sz="0" w:space="0" w:color="auto"/>
              </w:divBdr>
              <w:divsChild>
                <w:div w:id="6305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5417">
          <w:marLeft w:val="0"/>
          <w:marRight w:val="0"/>
          <w:marTop w:val="0"/>
          <w:marBottom w:val="0"/>
          <w:divBdr>
            <w:top w:val="none" w:sz="0" w:space="0" w:color="auto"/>
            <w:left w:val="none" w:sz="0" w:space="0" w:color="auto"/>
            <w:bottom w:val="none" w:sz="0" w:space="0" w:color="auto"/>
            <w:right w:val="none" w:sz="0" w:space="0" w:color="auto"/>
          </w:divBdr>
          <w:divsChild>
            <w:div w:id="481240263">
              <w:marLeft w:val="0"/>
              <w:marRight w:val="0"/>
              <w:marTop w:val="150"/>
              <w:marBottom w:val="150"/>
              <w:divBdr>
                <w:top w:val="none" w:sz="0" w:space="0" w:color="auto"/>
                <w:left w:val="none" w:sz="0" w:space="0" w:color="auto"/>
                <w:bottom w:val="none" w:sz="0" w:space="0" w:color="auto"/>
                <w:right w:val="none" w:sz="0" w:space="0" w:color="auto"/>
              </w:divBdr>
            </w:div>
            <w:div w:id="476530138">
              <w:marLeft w:val="0"/>
              <w:marRight w:val="0"/>
              <w:marTop w:val="150"/>
              <w:marBottom w:val="0"/>
              <w:divBdr>
                <w:top w:val="single" w:sz="6" w:space="8" w:color="DDDDDD"/>
                <w:left w:val="single" w:sz="6" w:space="8" w:color="DDDDDD"/>
                <w:bottom w:val="single" w:sz="6" w:space="8" w:color="DDDDDD"/>
                <w:right w:val="single" w:sz="6" w:space="8" w:color="DDDDDD"/>
              </w:divBdr>
              <w:divsChild>
                <w:div w:id="1066875328">
                  <w:marLeft w:val="0"/>
                  <w:marRight w:val="0"/>
                  <w:marTop w:val="60"/>
                  <w:marBottom w:val="0"/>
                  <w:divBdr>
                    <w:top w:val="none" w:sz="0" w:space="0" w:color="auto"/>
                    <w:left w:val="none" w:sz="0" w:space="0" w:color="auto"/>
                    <w:bottom w:val="none" w:sz="0" w:space="0" w:color="auto"/>
                    <w:right w:val="none" w:sz="0" w:space="0" w:color="auto"/>
                  </w:divBdr>
                </w:div>
              </w:divsChild>
            </w:div>
            <w:div w:id="1617325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1504404">
      <w:bodyDiv w:val="1"/>
      <w:marLeft w:val="0"/>
      <w:marRight w:val="0"/>
      <w:marTop w:val="0"/>
      <w:marBottom w:val="0"/>
      <w:divBdr>
        <w:top w:val="none" w:sz="0" w:space="0" w:color="auto"/>
        <w:left w:val="none" w:sz="0" w:space="0" w:color="auto"/>
        <w:bottom w:val="none" w:sz="0" w:space="0" w:color="auto"/>
        <w:right w:val="none" w:sz="0" w:space="0" w:color="auto"/>
      </w:divBdr>
    </w:div>
    <w:div w:id="1572621760">
      <w:bodyDiv w:val="1"/>
      <w:marLeft w:val="0"/>
      <w:marRight w:val="0"/>
      <w:marTop w:val="0"/>
      <w:marBottom w:val="0"/>
      <w:divBdr>
        <w:top w:val="none" w:sz="0" w:space="0" w:color="auto"/>
        <w:left w:val="none" w:sz="0" w:space="0" w:color="auto"/>
        <w:bottom w:val="none" w:sz="0" w:space="0" w:color="auto"/>
        <w:right w:val="none" w:sz="0" w:space="0" w:color="auto"/>
      </w:divBdr>
    </w:div>
    <w:div w:id="1591084295">
      <w:bodyDiv w:val="1"/>
      <w:marLeft w:val="0"/>
      <w:marRight w:val="0"/>
      <w:marTop w:val="0"/>
      <w:marBottom w:val="0"/>
      <w:divBdr>
        <w:top w:val="none" w:sz="0" w:space="0" w:color="auto"/>
        <w:left w:val="none" w:sz="0" w:space="0" w:color="auto"/>
        <w:bottom w:val="none" w:sz="0" w:space="0" w:color="auto"/>
        <w:right w:val="none" w:sz="0" w:space="0" w:color="auto"/>
      </w:divBdr>
    </w:div>
    <w:div w:id="1629242408">
      <w:bodyDiv w:val="1"/>
      <w:marLeft w:val="0"/>
      <w:marRight w:val="0"/>
      <w:marTop w:val="0"/>
      <w:marBottom w:val="0"/>
      <w:divBdr>
        <w:top w:val="none" w:sz="0" w:space="0" w:color="auto"/>
        <w:left w:val="none" w:sz="0" w:space="0" w:color="auto"/>
        <w:bottom w:val="none" w:sz="0" w:space="0" w:color="auto"/>
        <w:right w:val="none" w:sz="0" w:space="0" w:color="auto"/>
      </w:divBdr>
    </w:div>
    <w:div w:id="1638485808">
      <w:bodyDiv w:val="1"/>
      <w:marLeft w:val="0"/>
      <w:marRight w:val="0"/>
      <w:marTop w:val="0"/>
      <w:marBottom w:val="0"/>
      <w:divBdr>
        <w:top w:val="none" w:sz="0" w:space="0" w:color="auto"/>
        <w:left w:val="none" w:sz="0" w:space="0" w:color="auto"/>
        <w:bottom w:val="none" w:sz="0" w:space="0" w:color="auto"/>
        <w:right w:val="none" w:sz="0" w:space="0" w:color="auto"/>
      </w:divBdr>
    </w:div>
    <w:div w:id="1640266062">
      <w:bodyDiv w:val="1"/>
      <w:marLeft w:val="0"/>
      <w:marRight w:val="0"/>
      <w:marTop w:val="0"/>
      <w:marBottom w:val="0"/>
      <w:divBdr>
        <w:top w:val="none" w:sz="0" w:space="0" w:color="auto"/>
        <w:left w:val="none" w:sz="0" w:space="0" w:color="auto"/>
        <w:bottom w:val="none" w:sz="0" w:space="0" w:color="auto"/>
        <w:right w:val="none" w:sz="0" w:space="0" w:color="auto"/>
      </w:divBdr>
    </w:div>
    <w:div w:id="1651982293">
      <w:bodyDiv w:val="1"/>
      <w:marLeft w:val="0"/>
      <w:marRight w:val="0"/>
      <w:marTop w:val="0"/>
      <w:marBottom w:val="0"/>
      <w:divBdr>
        <w:top w:val="none" w:sz="0" w:space="0" w:color="auto"/>
        <w:left w:val="none" w:sz="0" w:space="0" w:color="auto"/>
        <w:bottom w:val="none" w:sz="0" w:space="0" w:color="auto"/>
        <w:right w:val="none" w:sz="0" w:space="0" w:color="auto"/>
      </w:divBdr>
    </w:div>
    <w:div w:id="1715039622">
      <w:bodyDiv w:val="1"/>
      <w:marLeft w:val="0"/>
      <w:marRight w:val="0"/>
      <w:marTop w:val="0"/>
      <w:marBottom w:val="0"/>
      <w:divBdr>
        <w:top w:val="none" w:sz="0" w:space="0" w:color="auto"/>
        <w:left w:val="none" w:sz="0" w:space="0" w:color="auto"/>
        <w:bottom w:val="none" w:sz="0" w:space="0" w:color="auto"/>
        <w:right w:val="none" w:sz="0" w:space="0" w:color="auto"/>
      </w:divBdr>
    </w:div>
    <w:div w:id="1731687404">
      <w:bodyDiv w:val="1"/>
      <w:marLeft w:val="0"/>
      <w:marRight w:val="0"/>
      <w:marTop w:val="0"/>
      <w:marBottom w:val="0"/>
      <w:divBdr>
        <w:top w:val="none" w:sz="0" w:space="0" w:color="auto"/>
        <w:left w:val="none" w:sz="0" w:space="0" w:color="auto"/>
        <w:bottom w:val="none" w:sz="0" w:space="0" w:color="auto"/>
        <w:right w:val="none" w:sz="0" w:space="0" w:color="auto"/>
      </w:divBdr>
    </w:div>
    <w:div w:id="1744718528">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64448404">
      <w:bodyDiv w:val="1"/>
      <w:marLeft w:val="0"/>
      <w:marRight w:val="0"/>
      <w:marTop w:val="0"/>
      <w:marBottom w:val="0"/>
      <w:divBdr>
        <w:top w:val="none" w:sz="0" w:space="0" w:color="auto"/>
        <w:left w:val="none" w:sz="0" w:space="0" w:color="auto"/>
        <w:bottom w:val="none" w:sz="0" w:space="0" w:color="auto"/>
        <w:right w:val="none" w:sz="0" w:space="0" w:color="auto"/>
      </w:divBdr>
    </w:div>
    <w:div w:id="1786654043">
      <w:bodyDiv w:val="1"/>
      <w:marLeft w:val="0"/>
      <w:marRight w:val="0"/>
      <w:marTop w:val="0"/>
      <w:marBottom w:val="0"/>
      <w:divBdr>
        <w:top w:val="none" w:sz="0" w:space="0" w:color="auto"/>
        <w:left w:val="none" w:sz="0" w:space="0" w:color="auto"/>
        <w:bottom w:val="none" w:sz="0" w:space="0" w:color="auto"/>
        <w:right w:val="none" w:sz="0" w:space="0" w:color="auto"/>
      </w:divBdr>
    </w:div>
    <w:div w:id="1802531137">
      <w:bodyDiv w:val="1"/>
      <w:marLeft w:val="0"/>
      <w:marRight w:val="0"/>
      <w:marTop w:val="0"/>
      <w:marBottom w:val="0"/>
      <w:divBdr>
        <w:top w:val="none" w:sz="0" w:space="0" w:color="auto"/>
        <w:left w:val="none" w:sz="0" w:space="0" w:color="auto"/>
        <w:bottom w:val="none" w:sz="0" w:space="0" w:color="auto"/>
        <w:right w:val="none" w:sz="0" w:space="0" w:color="auto"/>
      </w:divBdr>
    </w:div>
    <w:div w:id="1808010344">
      <w:bodyDiv w:val="1"/>
      <w:marLeft w:val="0"/>
      <w:marRight w:val="0"/>
      <w:marTop w:val="0"/>
      <w:marBottom w:val="0"/>
      <w:divBdr>
        <w:top w:val="none" w:sz="0" w:space="0" w:color="auto"/>
        <w:left w:val="none" w:sz="0" w:space="0" w:color="auto"/>
        <w:bottom w:val="none" w:sz="0" w:space="0" w:color="auto"/>
        <w:right w:val="none" w:sz="0" w:space="0" w:color="auto"/>
      </w:divBdr>
    </w:div>
    <w:div w:id="1849757207">
      <w:bodyDiv w:val="1"/>
      <w:marLeft w:val="0"/>
      <w:marRight w:val="0"/>
      <w:marTop w:val="0"/>
      <w:marBottom w:val="0"/>
      <w:divBdr>
        <w:top w:val="none" w:sz="0" w:space="0" w:color="auto"/>
        <w:left w:val="none" w:sz="0" w:space="0" w:color="auto"/>
        <w:bottom w:val="none" w:sz="0" w:space="0" w:color="auto"/>
        <w:right w:val="none" w:sz="0" w:space="0" w:color="auto"/>
      </w:divBdr>
    </w:div>
    <w:div w:id="1850027547">
      <w:bodyDiv w:val="1"/>
      <w:marLeft w:val="0"/>
      <w:marRight w:val="0"/>
      <w:marTop w:val="0"/>
      <w:marBottom w:val="0"/>
      <w:divBdr>
        <w:top w:val="none" w:sz="0" w:space="0" w:color="auto"/>
        <w:left w:val="none" w:sz="0" w:space="0" w:color="auto"/>
        <w:bottom w:val="none" w:sz="0" w:space="0" w:color="auto"/>
        <w:right w:val="none" w:sz="0" w:space="0" w:color="auto"/>
      </w:divBdr>
    </w:div>
    <w:div w:id="1863082879">
      <w:bodyDiv w:val="1"/>
      <w:marLeft w:val="0"/>
      <w:marRight w:val="0"/>
      <w:marTop w:val="0"/>
      <w:marBottom w:val="0"/>
      <w:divBdr>
        <w:top w:val="none" w:sz="0" w:space="0" w:color="auto"/>
        <w:left w:val="none" w:sz="0" w:space="0" w:color="auto"/>
        <w:bottom w:val="none" w:sz="0" w:space="0" w:color="auto"/>
        <w:right w:val="none" w:sz="0" w:space="0" w:color="auto"/>
      </w:divBdr>
    </w:div>
    <w:div w:id="1866092841">
      <w:bodyDiv w:val="1"/>
      <w:marLeft w:val="0"/>
      <w:marRight w:val="0"/>
      <w:marTop w:val="0"/>
      <w:marBottom w:val="0"/>
      <w:divBdr>
        <w:top w:val="none" w:sz="0" w:space="0" w:color="auto"/>
        <w:left w:val="none" w:sz="0" w:space="0" w:color="auto"/>
        <w:bottom w:val="none" w:sz="0" w:space="0" w:color="auto"/>
        <w:right w:val="none" w:sz="0" w:space="0" w:color="auto"/>
      </w:divBdr>
      <w:divsChild>
        <w:div w:id="1785150371">
          <w:marLeft w:val="0"/>
          <w:marRight w:val="0"/>
          <w:marTop w:val="600"/>
          <w:marBottom w:val="600"/>
          <w:divBdr>
            <w:top w:val="none" w:sz="0" w:space="0" w:color="auto"/>
            <w:left w:val="none" w:sz="0" w:space="0" w:color="auto"/>
            <w:bottom w:val="none" w:sz="0" w:space="0" w:color="auto"/>
            <w:right w:val="none" w:sz="0" w:space="0" w:color="auto"/>
          </w:divBdr>
        </w:div>
        <w:div w:id="2013950797">
          <w:marLeft w:val="0"/>
          <w:marRight w:val="0"/>
          <w:marTop w:val="600"/>
          <w:marBottom w:val="600"/>
          <w:divBdr>
            <w:top w:val="none" w:sz="0" w:space="0" w:color="auto"/>
            <w:left w:val="none" w:sz="0" w:space="0" w:color="auto"/>
            <w:bottom w:val="none" w:sz="0" w:space="0" w:color="auto"/>
            <w:right w:val="none" w:sz="0" w:space="0" w:color="auto"/>
          </w:divBdr>
        </w:div>
      </w:divsChild>
    </w:div>
    <w:div w:id="1893342466">
      <w:bodyDiv w:val="1"/>
      <w:marLeft w:val="0"/>
      <w:marRight w:val="0"/>
      <w:marTop w:val="0"/>
      <w:marBottom w:val="0"/>
      <w:divBdr>
        <w:top w:val="none" w:sz="0" w:space="0" w:color="auto"/>
        <w:left w:val="none" w:sz="0" w:space="0" w:color="auto"/>
        <w:bottom w:val="none" w:sz="0" w:space="0" w:color="auto"/>
        <w:right w:val="none" w:sz="0" w:space="0" w:color="auto"/>
      </w:divBdr>
    </w:div>
    <w:div w:id="1920209446">
      <w:bodyDiv w:val="1"/>
      <w:marLeft w:val="0"/>
      <w:marRight w:val="0"/>
      <w:marTop w:val="0"/>
      <w:marBottom w:val="0"/>
      <w:divBdr>
        <w:top w:val="none" w:sz="0" w:space="0" w:color="auto"/>
        <w:left w:val="none" w:sz="0" w:space="0" w:color="auto"/>
        <w:bottom w:val="none" w:sz="0" w:space="0" w:color="auto"/>
        <w:right w:val="none" w:sz="0" w:space="0" w:color="auto"/>
      </w:divBdr>
    </w:div>
    <w:div w:id="1926110923">
      <w:bodyDiv w:val="1"/>
      <w:marLeft w:val="0"/>
      <w:marRight w:val="0"/>
      <w:marTop w:val="0"/>
      <w:marBottom w:val="0"/>
      <w:divBdr>
        <w:top w:val="none" w:sz="0" w:space="0" w:color="auto"/>
        <w:left w:val="none" w:sz="0" w:space="0" w:color="auto"/>
        <w:bottom w:val="none" w:sz="0" w:space="0" w:color="auto"/>
        <w:right w:val="none" w:sz="0" w:space="0" w:color="auto"/>
      </w:divBdr>
    </w:div>
    <w:div w:id="1963337949">
      <w:bodyDiv w:val="1"/>
      <w:marLeft w:val="0"/>
      <w:marRight w:val="0"/>
      <w:marTop w:val="0"/>
      <w:marBottom w:val="0"/>
      <w:divBdr>
        <w:top w:val="none" w:sz="0" w:space="0" w:color="auto"/>
        <w:left w:val="none" w:sz="0" w:space="0" w:color="auto"/>
        <w:bottom w:val="none" w:sz="0" w:space="0" w:color="auto"/>
        <w:right w:val="none" w:sz="0" w:space="0" w:color="auto"/>
      </w:divBdr>
    </w:div>
    <w:div w:id="1997218279">
      <w:bodyDiv w:val="1"/>
      <w:marLeft w:val="0"/>
      <w:marRight w:val="0"/>
      <w:marTop w:val="0"/>
      <w:marBottom w:val="0"/>
      <w:divBdr>
        <w:top w:val="none" w:sz="0" w:space="0" w:color="auto"/>
        <w:left w:val="none" w:sz="0" w:space="0" w:color="auto"/>
        <w:bottom w:val="none" w:sz="0" w:space="0" w:color="auto"/>
        <w:right w:val="none" w:sz="0" w:space="0" w:color="auto"/>
      </w:divBdr>
    </w:div>
    <w:div w:id="2010405229">
      <w:bodyDiv w:val="1"/>
      <w:marLeft w:val="0"/>
      <w:marRight w:val="0"/>
      <w:marTop w:val="0"/>
      <w:marBottom w:val="0"/>
      <w:divBdr>
        <w:top w:val="none" w:sz="0" w:space="0" w:color="auto"/>
        <w:left w:val="none" w:sz="0" w:space="0" w:color="auto"/>
        <w:bottom w:val="none" w:sz="0" w:space="0" w:color="auto"/>
        <w:right w:val="none" w:sz="0" w:space="0" w:color="auto"/>
      </w:divBdr>
    </w:div>
    <w:div w:id="2039961475">
      <w:bodyDiv w:val="1"/>
      <w:marLeft w:val="0"/>
      <w:marRight w:val="0"/>
      <w:marTop w:val="0"/>
      <w:marBottom w:val="0"/>
      <w:divBdr>
        <w:top w:val="none" w:sz="0" w:space="0" w:color="auto"/>
        <w:left w:val="none" w:sz="0" w:space="0" w:color="auto"/>
        <w:bottom w:val="none" w:sz="0" w:space="0" w:color="auto"/>
        <w:right w:val="none" w:sz="0" w:space="0" w:color="auto"/>
      </w:divBdr>
    </w:div>
    <w:div w:id="2050378914">
      <w:bodyDiv w:val="1"/>
      <w:marLeft w:val="0"/>
      <w:marRight w:val="0"/>
      <w:marTop w:val="0"/>
      <w:marBottom w:val="0"/>
      <w:divBdr>
        <w:top w:val="none" w:sz="0" w:space="0" w:color="auto"/>
        <w:left w:val="none" w:sz="0" w:space="0" w:color="auto"/>
        <w:bottom w:val="none" w:sz="0" w:space="0" w:color="auto"/>
        <w:right w:val="none" w:sz="0" w:space="0" w:color="auto"/>
      </w:divBdr>
    </w:div>
    <w:div w:id="2054883841">
      <w:bodyDiv w:val="1"/>
      <w:marLeft w:val="0"/>
      <w:marRight w:val="0"/>
      <w:marTop w:val="0"/>
      <w:marBottom w:val="0"/>
      <w:divBdr>
        <w:top w:val="none" w:sz="0" w:space="0" w:color="auto"/>
        <w:left w:val="none" w:sz="0" w:space="0" w:color="auto"/>
        <w:bottom w:val="none" w:sz="0" w:space="0" w:color="auto"/>
        <w:right w:val="none" w:sz="0" w:space="0" w:color="auto"/>
      </w:divBdr>
    </w:div>
    <w:div w:id="2059163891">
      <w:bodyDiv w:val="1"/>
      <w:marLeft w:val="0"/>
      <w:marRight w:val="0"/>
      <w:marTop w:val="0"/>
      <w:marBottom w:val="0"/>
      <w:divBdr>
        <w:top w:val="none" w:sz="0" w:space="0" w:color="auto"/>
        <w:left w:val="none" w:sz="0" w:space="0" w:color="auto"/>
        <w:bottom w:val="none" w:sz="0" w:space="0" w:color="auto"/>
        <w:right w:val="none" w:sz="0" w:space="0" w:color="auto"/>
      </w:divBdr>
    </w:div>
    <w:div w:id="2107581238">
      <w:bodyDiv w:val="1"/>
      <w:marLeft w:val="0"/>
      <w:marRight w:val="0"/>
      <w:marTop w:val="0"/>
      <w:marBottom w:val="0"/>
      <w:divBdr>
        <w:top w:val="none" w:sz="0" w:space="0" w:color="auto"/>
        <w:left w:val="none" w:sz="0" w:space="0" w:color="auto"/>
        <w:bottom w:val="none" w:sz="0" w:space="0" w:color="auto"/>
        <w:right w:val="none" w:sz="0" w:space="0" w:color="auto"/>
      </w:divBdr>
    </w:div>
    <w:div w:id="2111974573">
      <w:bodyDiv w:val="1"/>
      <w:marLeft w:val="0"/>
      <w:marRight w:val="0"/>
      <w:marTop w:val="0"/>
      <w:marBottom w:val="0"/>
      <w:divBdr>
        <w:top w:val="none" w:sz="0" w:space="0" w:color="auto"/>
        <w:left w:val="none" w:sz="0" w:space="0" w:color="auto"/>
        <w:bottom w:val="none" w:sz="0" w:space="0" w:color="auto"/>
        <w:right w:val="none" w:sz="0" w:space="0" w:color="auto"/>
      </w:divBdr>
    </w:div>
    <w:div w:id="2127696206">
      <w:bodyDiv w:val="1"/>
      <w:marLeft w:val="0"/>
      <w:marRight w:val="0"/>
      <w:marTop w:val="0"/>
      <w:marBottom w:val="0"/>
      <w:divBdr>
        <w:top w:val="none" w:sz="0" w:space="0" w:color="auto"/>
        <w:left w:val="none" w:sz="0" w:space="0" w:color="auto"/>
        <w:bottom w:val="none" w:sz="0" w:space="0" w:color="auto"/>
        <w:right w:val="none" w:sz="0" w:space="0" w:color="auto"/>
      </w:divBdr>
    </w:div>
    <w:div w:id="2134789735">
      <w:bodyDiv w:val="1"/>
      <w:marLeft w:val="0"/>
      <w:marRight w:val="0"/>
      <w:marTop w:val="0"/>
      <w:marBottom w:val="0"/>
      <w:divBdr>
        <w:top w:val="none" w:sz="0" w:space="0" w:color="auto"/>
        <w:left w:val="none" w:sz="0" w:space="0" w:color="auto"/>
        <w:bottom w:val="none" w:sz="0" w:space="0" w:color="auto"/>
        <w:right w:val="none" w:sz="0" w:space="0" w:color="auto"/>
      </w:divBdr>
    </w:div>
    <w:div w:id="21348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www.brookings.edu/articles/the-coming-of-age-of-sustainability-disclosure-how-do-rules-differ-between-the-us-and-the-eu/" TargetMode="External"/><Relationship Id="rId18" Type="http://schemas.openxmlformats.org/officeDocument/2006/relationships/hyperlink" Target="https://www.politico.com/live-updates/2024/12/09/congress/paul-atkins-sec-climate-00193254" TargetMode="External"/><Relationship Id="rId26" Type="http://schemas.openxmlformats.org/officeDocument/2006/relationships/hyperlink" Target="https://www.energyindependenceca.com/californias-economy-is-powered-by-oil-and-gas/" TargetMode="External"/><Relationship Id="rId39" Type="http://schemas.openxmlformats.org/officeDocument/2006/relationships/hyperlink" Target="https://www.api.org/oil-and-natural-gas/energy-primers/hydraulic-fracturing/how-many-jobs-has-the-oil-and-natural-gas-industry-created" TargetMode="External"/><Relationship Id="rId21" Type="http://schemas.openxmlformats.org/officeDocument/2006/relationships/hyperlink" Target="https://www.statista.com/statistics/265206/oil-production-in-the-european-union-in-barrels-per-day/" TargetMode="External"/><Relationship Id="rId34" Type="http://schemas.openxmlformats.org/officeDocument/2006/relationships/hyperlink" Target="https://www.api.org/news-policy-and-issues/news/2023/05/16/api-pwc-wv-2023?utm.com" TargetMode="External"/><Relationship Id="rId42" Type="http://schemas.openxmlformats.org/officeDocument/2006/relationships/hyperlink" Target="https://www.census.gov/data/tables/time-series/demo/voting-and-registration/voting-historical-time-series.html" TargetMode="External"/><Relationship Id="rId47" Type="http://schemas.openxmlformats.org/officeDocument/2006/relationships/hyperlink" Target="https://epic.uchicago.edu/insights/evidence-is-in-lobbying-crushed-climate-bills-hopes/" TargetMode="External"/><Relationship Id="rId50" Type="http://schemas.openxmlformats.org/officeDocument/2006/relationships/hyperlink" Target="https://business.columbia.edu/cgi-finance/chazen-global-insights/brussels-effect-sustainable-finance" TargetMode="External"/><Relationship Id="rId7" Type="http://schemas.openxmlformats.org/officeDocument/2006/relationships/hyperlink" Target="https://www.mofo.com/resources/insights/240909-prepare-to-disclose-california-legislature-declines" TargetMode="External"/><Relationship Id="rId2" Type="http://schemas.openxmlformats.org/officeDocument/2006/relationships/hyperlink" Target="https://www.ceres.org/news-center/press-releases/californias-first-nation-climate-disclosure-legislation-sets-new" TargetMode="External"/><Relationship Id="rId16" Type="http://schemas.openxmlformats.org/officeDocument/2006/relationships/hyperlink" Target="https://repository.uclawsf.edu/hastings_business_law_journal/vol20/iss1/3" TargetMode="External"/><Relationship Id="rId29" Type="http://schemas.openxmlformats.org/officeDocument/2006/relationships/hyperlink" Target="https://www.eia.gov/state/?sid=CA" TargetMode="External"/><Relationship Id="rId11" Type="http://schemas.openxmlformats.org/officeDocument/2006/relationships/hyperlink" Target="https://www.europarl.europa.eu/Europe2004/textes/2005-01-10-brochure-constitution-en-v02.pdf" TargetMode="External"/><Relationship Id="rId24" Type="http://schemas.openxmlformats.org/officeDocument/2006/relationships/hyperlink" Target="https://www.api.org/news-policy-and-issues/taxes/oil-and-natural-gas-contribution-to-us-economy-fact-sheet" TargetMode="External"/><Relationship Id="rId32" Type="http://schemas.openxmlformats.org/officeDocument/2006/relationships/hyperlink" Target="https://commodity.com/blog/states-fossil-fuels/" TargetMode="External"/><Relationship Id="rId37" Type="http://schemas.openxmlformats.org/officeDocument/2006/relationships/hyperlink" Target="https://comptroller.texas.gov/economy/economic-data/energy/2023/nat-gas.php" TargetMode="External"/><Relationship Id="rId40" Type="http://schemas.openxmlformats.org/officeDocument/2006/relationships/hyperlink" Target="http://www.ecb.europa.eu/pub/economicbulletin/articles/2020/html/ecb.ebart202007_03~5ead7cb1dc.en.html" TargetMode="External"/><Relationship Id="rId45" Type="http://schemas.openxmlformats.org/officeDocument/2006/relationships/hyperlink" Target="https://www.opensecrets.org/federal-lobbying/federal-and-state" TargetMode="External"/><Relationship Id="rId5" Type="http://schemas.openxmlformats.org/officeDocument/2006/relationships/hyperlink" Target="https://www.sec.gov/rules-regulations/2024/03/s7-10-22" TargetMode="External"/><Relationship Id="rId15" Type="http://schemas.openxmlformats.org/officeDocument/2006/relationships/hyperlink" Target="https://corpgov.law.harvard.edu/2020/08/03/legal-liability-for-esg-disclosures/" TargetMode="External"/><Relationship Id="rId23" Type="http://schemas.openxmlformats.org/officeDocument/2006/relationships/hyperlink" Target="https://www.eia.gov/outlooks/steo/index.php" TargetMode="External"/><Relationship Id="rId28" Type="http://schemas.openxmlformats.org/officeDocument/2006/relationships/hyperlink" Target="https://www.cfact.org/2018/10/09/california-ranks-1-in-sending-dollars-abroad-for-energy/" TargetMode="External"/><Relationship Id="rId36" Type="http://schemas.openxmlformats.org/officeDocument/2006/relationships/hyperlink" Target="https://laedc.org/wpcms/wp-content/uploads/2022/08/LAEDC_WSPA_FINAL_20190814.pdf" TargetMode="External"/><Relationship Id="rId49" Type="http://schemas.openxmlformats.org/officeDocument/2006/relationships/hyperlink" Target="https://scholarship.law.columbia.edu/books/232" TargetMode="External"/><Relationship Id="rId10" Type="http://schemas.openxmlformats.org/officeDocument/2006/relationships/hyperlink" Target="https://european-union.europa.eu/institutions-law-budget/institutions-and-bodies/types-institutions-and-bodies" TargetMode="External"/><Relationship Id="rId19" Type="http://schemas.openxmlformats.org/officeDocument/2006/relationships/hyperlink" Target="https://www.ag.state.la.us/Article/13199" TargetMode="External"/><Relationship Id="rId31" Type="http://schemas.openxmlformats.org/officeDocument/2006/relationships/hyperlink" Target="https://www.esgdive.com/news/4-key-states-shaping-us-esg-regulatory-discourse-analysis-FL-TX-CA-NY/700047/" TargetMode="External"/><Relationship Id="rId44" Type="http://schemas.openxmlformats.org/officeDocument/2006/relationships/hyperlink" Target="https://djilp.org/cross-atlantic-lobbying-styles-a-comparison-between-us-and-eu-interest-group-dynamics/" TargetMode="External"/><Relationship Id="rId4" Type="http://schemas.openxmlformats.org/officeDocument/2006/relationships/hyperlink" Target="https://eur-lex.europa.eu/legal-content/EN/TXT/?uri=CELEX:32022L2464" TargetMode="External"/><Relationship Id="rId9" Type="http://schemas.openxmlformats.org/officeDocument/2006/relationships/hyperlink" Target="https://www.sec.gov/newsroom/press-releases/2024-31" TargetMode="External"/><Relationship Id="rId14" Type="http://schemas.openxmlformats.org/officeDocument/2006/relationships/hyperlink" Target="https://www.corporate-sustainability-due-diligence-directive.com" TargetMode="External"/><Relationship Id="rId22" Type="http://schemas.openxmlformats.org/officeDocument/2006/relationships/hyperlink" Target="https://www.statista.com/statistics/240600/global-oil-importers-by-region-2011/" TargetMode="External"/><Relationship Id="rId27" Type="http://schemas.openxmlformats.org/officeDocument/2006/relationships/hyperlink" Target="https://www.energy.ca.gov/data-reports/energy-almanac/californias-petroleum-market/annual-oil-supply-sources-california" TargetMode="External"/><Relationship Id="rId30" Type="http://schemas.openxmlformats.org/officeDocument/2006/relationships/hyperlink" Target="https://calepa.ca.gov/climate-dashboard/" TargetMode="External"/><Relationship Id="rId35" Type="http://schemas.openxmlformats.org/officeDocument/2006/relationships/hyperlink" Target="https://ieefa.org/resources/declining-significance-petrochemical-industry-louisiana" TargetMode="External"/><Relationship Id="rId43" Type="http://schemas.openxmlformats.org/officeDocument/2006/relationships/hyperlink" Target="https://www.politico.eu/article/why-lobbying-in-america-is-different/" TargetMode="External"/><Relationship Id="rId48" Type="http://schemas.openxmlformats.org/officeDocument/2006/relationships/hyperlink" Target="https://www.epa.gov/climateleadership/scope-3-inventory-guidance" TargetMode="External"/><Relationship Id="rId8" Type="http://schemas.openxmlformats.org/officeDocument/2006/relationships/hyperlink" Target="https://leginfo.legislature.ca.gov/faces/billNavClient.xhtml?bill_id=202320240SB261" TargetMode="External"/><Relationship Id="rId51" Type="http://schemas.openxmlformats.org/officeDocument/2006/relationships/hyperlink" Target="https://corpgov.law.harvard.edu/2021/05/01/corporate-governance-update-materiality-in-america-and-abroad/" TargetMode="External"/><Relationship Id="rId3" Type="http://schemas.openxmlformats.org/officeDocument/2006/relationships/hyperlink" Target="https://finance.ec.europa.eu/capital-markets-union-and-financial-markets/company-reporting-and-auditing/company-reporting/corporate-sustainability-reporting_en" TargetMode="External"/><Relationship Id="rId12" Type="http://schemas.openxmlformats.org/officeDocument/2006/relationships/hyperlink" Target="https://eur-lex.europa.eu/legal-content/EN/TXT/?uri=CELEX:32021R1119" TargetMode="External"/><Relationship Id="rId17" Type="http://schemas.openxmlformats.org/officeDocument/2006/relationships/hyperlink" Target="https://www.sec.gov/newsroom/speeches-statements/rethinking-global-esg-metrics" TargetMode="External"/><Relationship Id="rId25" Type="http://schemas.openxmlformats.org/officeDocument/2006/relationships/hyperlink" Target="https://www.eia.gov/dnav/pet/hist/LeafHandler.ashx?n=PET&amp;s=RCRR01NUS_1&amp;f=A" TargetMode="External"/><Relationship Id="rId33" Type="http://schemas.openxmlformats.org/officeDocument/2006/relationships/hyperlink" Target="https://www.globaltrademag.com/u-s-states-most-dependent-on-fossil-fuels/" TargetMode="External"/><Relationship Id="rId38" Type="http://schemas.openxmlformats.org/officeDocument/2006/relationships/hyperlink" Target="https://tipro.org/tipro-energy-report-2024/" TargetMode="External"/><Relationship Id="rId46" Type="http://schemas.openxmlformats.org/officeDocument/2006/relationships/hyperlink" Target="https://www.opensecrets.org/federal-lobbying/federal-and-state" TargetMode="External"/><Relationship Id="rId20" Type="http://schemas.openxmlformats.org/officeDocument/2006/relationships/hyperlink" Target="https://www.jdsupra.com/legalnews/beyond-chevron-courts-vs-agencies-in-a-6626406/" TargetMode="External"/><Relationship Id="rId41" Type="http://schemas.openxmlformats.org/officeDocument/2006/relationships/hyperlink" Target="https://usafacts.org/articles/how-many-americans-vote-and-how-do-voting-rates-vary-state/" TargetMode="External"/><Relationship Id="rId1" Type="http://schemas.openxmlformats.org/officeDocument/2006/relationships/hyperlink" Target="https://www.stblaw.com/docs/default-source/publications/esg-alert_03_07_24.pdf" TargetMode="External"/><Relationship Id="rId6" Type="http://schemas.openxmlformats.org/officeDocument/2006/relationships/hyperlink" Target="https://leginfo.legislature.ca.gov/faces/billNavClient.xhtml?bill_id=202320240SB25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258E-7F11-964F-B75A-9C3F1FF5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11365</Words>
  <Characters>64781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Motala, Omar</dc:creator>
  <cp:keywords/>
  <dc:description/>
  <cp:lastModifiedBy>Motala, Omar-HLSCLINICS</cp:lastModifiedBy>
  <cp:revision>4</cp:revision>
  <cp:lastPrinted>2024-12-23T20:29:00Z</cp:lastPrinted>
  <dcterms:created xsi:type="dcterms:W3CDTF">2025-09-23T18:00:00Z</dcterms:created>
  <dcterms:modified xsi:type="dcterms:W3CDTF">2025-10-23T19:48:00Z</dcterms:modified>
</cp:coreProperties>
</file>